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3.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5.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footer6.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footer7.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footer8.xml" ContentType="application/vnd.openxmlformats-officedocument.wordprocessingml.foot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footer9.xml" ContentType="application/vnd.openxmlformats-officedocument.wordprocessingml.foot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footer10.xml" ContentType="application/vnd.openxmlformats-officedocument.wordprocessingml.foot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54B70" w14:textId="0B5930D1" w:rsidR="009B129E" w:rsidRPr="00871727" w:rsidRDefault="009B129E" w:rsidP="009B129E">
      <w:pPr>
        <w:pStyle w:val="Title"/>
        <w:spacing w:before="0" w:after="480" w:line="480" w:lineRule="auto"/>
        <w:rPr>
          <w:rFonts w:cs="Arial"/>
          <w:szCs w:val="36"/>
        </w:rPr>
      </w:pPr>
      <w:r>
        <w:rPr>
          <w:rFonts w:cs="Arial"/>
          <w:szCs w:val="36"/>
        </w:rPr>
        <w:t>Annual Report 2018-201</w:t>
      </w:r>
      <w:r w:rsidR="00C27251">
        <w:rPr>
          <w:rFonts w:cs="Arial"/>
          <w:szCs w:val="36"/>
        </w:rPr>
        <w:t>9</w:t>
      </w:r>
    </w:p>
    <w:p w14:paraId="27DBF349" w14:textId="77777777" w:rsidR="009B129E" w:rsidRPr="00E523EC" w:rsidRDefault="009B129E" w:rsidP="009B129E">
      <w:pPr>
        <w:pStyle w:val="Title"/>
        <w:spacing w:before="0" w:after="480" w:line="480" w:lineRule="auto"/>
        <w:rPr>
          <w:rFonts w:cs="Arial"/>
          <w:szCs w:val="36"/>
        </w:rPr>
      </w:pPr>
      <w:r w:rsidRPr="00E523EC">
        <w:rPr>
          <w:rFonts w:cs="Arial"/>
          <w:szCs w:val="36"/>
        </w:rPr>
        <w:t>Fa</w:t>
      </w:r>
      <w:r>
        <w:rPr>
          <w:rFonts w:cs="Arial"/>
          <w:szCs w:val="36"/>
        </w:rPr>
        <w:t>mily Responsibilities Commission</w:t>
      </w:r>
    </w:p>
    <w:p w14:paraId="3C110B11" w14:textId="77777777" w:rsidR="009B129E" w:rsidRDefault="009B129E" w:rsidP="009B129E">
      <w:pPr>
        <w:sectPr w:rsidR="009B129E" w:rsidSect="00FF71A1">
          <w:footerReference w:type="default" r:id="rId8"/>
          <w:pgSz w:w="11906" w:h="16838"/>
          <w:pgMar w:top="1440" w:right="1797" w:bottom="1440" w:left="1797" w:header="709" w:footer="709" w:gutter="0"/>
          <w:cols w:space="708"/>
          <w:titlePg/>
          <w:docGrid w:linePitch="360"/>
        </w:sectPr>
      </w:pPr>
    </w:p>
    <w:p w14:paraId="74E252F4" w14:textId="71E4D8B7" w:rsidR="009B129E" w:rsidRPr="009B129E" w:rsidRDefault="009B129E" w:rsidP="009B129E">
      <w:pPr>
        <w:rPr>
          <w:rFonts w:cs="Arial"/>
          <w:szCs w:val="20"/>
        </w:rPr>
      </w:pPr>
      <w:r w:rsidRPr="009B129E">
        <w:rPr>
          <w:rFonts w:cs="Arial"/>
          <w:szCs w:val="20"/>
        </w:rPr>
        <w:lastRenderedPageBreak/>
        <w:t xml:space="preserve">The annual report of the Family Responsibilities Commission </w:t>
      </w:r>
      <w:r w:rsidR="006A5891">
        <w:rPr>
          <w:rFonts w:cs="Arial"/>
          <w:szCs w:val="20"/>
        </w:rPr>
        <w:t xml:space="preserve">(FRC) </w:t>
      </w:r>
      <w:r w:rsidRPr="009B129E">
        <w:rPr>
          <w:rFonts w:cs="Arial"/>
          <w:szCs w:val="20"/>
        </w:rPr>
        <w:t>summarises the Commission and its financial and corporate performance for the period 1 July 2018 to 30 June 2019.</w:t>
      </w:r>
    </w:p>
    <w:p w14:paraId="29955B4B" w14:textId="77777777" w:rsidR="009B129E" w:rsidRPr="009B129E" w:rsidRDefault="009B129E" w:rsidP="009B129E">
      <w:pPr>
        <w:rPr>
          <w:rFonts w:cs="Arial"/>
          <w:szCs w:val="20"/>
        </w:rPr>
      </w:pPr>
      <w:r w:rsidRPr="009B129E">
        <w:rPr>
          <w:rFonts w:cs="Arial"/>
          <w:szCs w:val="20"/>
        </w:rPr>
        <w:t>Only limited copies of this annual report will be available in hard copy. To obtain a copy please contact:</w:t>
      </w:r>
    </w:p>
    <w:p w14:paraId="61DC2170" w14:textId="77777777" w:rsidR="009B129E" w:rsidRPr="009B129E" w:rsidRDefault="009B129E" w:rsidP="009B129E">
      <w:pPr>
        <w:spacing w:after="0"/>
        <w:rPr>
          <w:rFonts w:cs="Arial"/>
          <w:szCs w:val="20"/>
        </w:rPr>
      </w:pPr>
      <w:r w:rsidRPr="009B129E">
        <w:rPr>
          <w:rFonts w:cs="Arial"/>
          <w:szCs w:val="20"/>
        </w:rPr>
        <w:t>Family Responsibilities Commission</w:t>
      </w:r>
    </w:p>
    <w:p w14:paraId="54FBB3AE" w14:textId="77777777" w:rsidR="009B129E" w:rsidRPr="009B129E" w:rsidRDefault="009B129E" w:rsidP="009B129E">
      <w:pPr>
        <w:spacing w:after="0"/>
        <w:rPr>
          <w:rFonts w:cs="Arial"/>
          <w:szCs w:val="20"/>
        </w:rPr>
      </w:pPr>
      <w:r w:rsidRPr="009B129E">
        <w:rPr>
          <w:rFonts w:cs="Arial"/>
          <w:szCs w:val="20"/>
        </w:rPr>
        <w:t>PO Box 5438</w:t>
      </w:r>
    </w:p>
    <w:p w14:paraId="57290CED" w14:textId="77777777" w:rsidR="009B129E" w:rsidRPr="009B129E" w:rsidRDefault="009B129E" w:rsidP="009B129E">
      <w:pPr>
        <w:spacing w:after="0"/>
        <w:rPr>
          <w:rFonts w:cs="Arial"/>
          <w:szCs w:val="20"/>
        </w:rPr>
      </w:pPr>
      <w:r w:rsidRPr="009B129E">
        <w:rPr>
          <w:rFonts w:cs="Arial"/>
          <w:szCs w:val="20"/>
        </w:rPr>
        <w:t>Cairns QLD 4870</w:t>
      </w:r>
    </w:p>
    <w:p w14:paraId="5CE1BD75" w14:textId="77777777" w:rsidR="009B129E" w:rsidRPr="009B129E" w:rsidRDefault="009B129E" w:rsidP="009B129E">
      <w:pPr>
        <w:spacing w:after="0"/>
        <w:rPr>
          <w:rFonts w:cs="Arial"/>
          <w:szCs w:val="20"/>
        </w:rPr>
      </w:pPr>
      <w:r w:rsidRPr="009B129E">
        <w:rPr>
          <w:rFonts w:cs="Arial"/>
          <w:szCs w:val="20"/>
        </w:rPr>
        <w:t>Ph: (07) 4081 8400</w:t>
      </w:r>
    </w:p>
    <w:p w14:paraId="5B2E17C8" w14:textId="77777777" w:rsidR="009B129E" w:rsidRPr="009B129E" w:rsidRDefault="009B129E" w:rsidP="009B129E">
      <w:pPr>
        <w:spacing w:after="0"/>
        <w:rPr>
          <w:rFonts w:cs="Arial"/>
          <w:szCs w:val="20"/>
        </w:rPr>
      </w:pPr>
      <w:r w:rsidRPr="009B129E">
        <w:rPr>
          <w:rFonts w:cs="Arial"/>
          <w:szCs w:val="20"/>
        </w:rPr>
        <w:t>Fax: (07) 4041 0974</w:t>
      </w:r>
    </w:p>
    <w:p w14:paraId="12532B2D" w14:textId="77777777" w:rsidR="009B129E" w:rsidRPr="009B129E" w:rsidRDefault="009B129E" w:rsidP="009B129E">
      <w:pPr>
        <w:spacing w:after="0"/>
        <w:rPr>
          <w:rFonts w:cs="Arial"/>
          <w:szCs w:val="20"/>
        </w:rPr>
      </w:pPr>
    </w:p>
    <w:p w14:paraId="1BAC16D2" w14:textId="77777777" w:rsidR="009B129E" w:rsidRPr="009B129E" w:rsidRDefault="009B129E" w:rsidP="009B129E">
      <w:pPr>
        <w:spacing w:after="0"/>
        <w:rPr>
          <w:rFonts w:cs="Arial"/>
          <w:szCs w:val="20"/>
        </w:rPr>
      </w:pPr>
      <w:proofErr w:type="gramStart"/>
      <w:r w:rsidRPr="009B129E">
        <w:rPr>
          <w:rFonts w:cs="Arial"/>
          <w:szCs w:val="20"/>
        </w:rPr>
        <w:t>Alternatively</w:t>
      </w:r>
      <w:proofErr w:type="gramEnd"/>
      <w:r w:rsidRPr="009B129E">
        <w:rPr>
          <w:rFonts w:cs="Arial"/>
          <w:szCs w:val="20"/>
        </w:rPr>
        <w:t xml:space="preserve"> you can visit the following website:</w:t>
      </w:r>
    </w:p>
    <w:p w14:paraId="33F435FB" w14:textId="77777777" w:rsidR="009B129E" w:rsidRPr="009B129E" w:rsidRDefault="004C0B80" w:rsidP="009B129E">
      <w:pPr>
        <w:spacing w:after="0"/>
        <w:rPr>
          <w:rFonts w:cs="Arial"/>
          <w:b/>
          <w:szCs w:val="20"/>
        </w:rPr>
      </w:pPr>
      <w:hyperlink r:id="rId9" w:history="1">
        <w:r w:rsidR="009B129E" w:rsidRPr="009B129E">
          <w:rPr>
            <w:rStyle w:val="Hyperlink"/>
            <w:rFonts w:cs="Arial"/>
            <w:szCs w:val="20"/>
          </w:rPr>
          <w:t>www.frcq.org.au</w:t>
        </w:r>
      </w:hyperlink>
    </w:p>
    <w:p w14:paraId="3AC7A0CC" w14:textId="77777777" w:rsidR="009B129E" w:rsidRPr="009B129E" w:rsidRDefault="009B129E" w:rsidP="009B129E">
      <w:pPr>
        <w:spacing w:after="0"/>
        <w:rPr>
          <w:rFonts w:cs="Arial"/>
          <w:b/>
          <w:szCs w:val="20"/>
        </w:rPr>
      </w:pPr>
    </w:p>
    <w:p w14:paraId="177077F2" w14:textId="77777777" w:rsidR="009B129E" w:rsidRPr="009B129E" w:rsidRDefault="009B129E" w:rsidP="009B129E">
      <w:pPr>
        <w:rPr>
          <w:rFonts w:cs="Arial"/>
          <w:szCs w:val="20"/>
        </w:rPr>
      </w:pPr>
      <w:r w:rsidRPr="009B129E">
        <w:rPr>
          <w:rFonts w:cs="Arial"/>
          <w:szCs w:val="20"/>
        </w:rPr>
        <w:t>The Queensland Government is committed to providing accessible services to Queenslanders from all culturally and linguistically diverse backgrounds. If you have difficulty in understanding the annual report, and need an interpreter, please call the Translating and Interpreting Service (TIS National) on 131 450 and ask them to telephone the Family Responsibilities Commission on (07) 4081 8400.</w:t>
      </w:r>
    </w:p>
    <w:p w14:paraId="50B63D7A" w14:textId="77777777" w:rsidR="009B129E" w:rsidRPr="009B129E" w:rsidRDefault="009B129E" w:rsidP="009B129E">
      <w:pPr>
        <w:spacing w:after="0" w:line="240" w:lineRule="auto"/>
        <w:rPr>
          <w:rFonts w:cs="Arial"/>
          <w:szCs w:val="20"/>
          <w:lang w:eastAsia="en-AU"/>
        </w:rPr>
      </w:pPr>
    </w:p>
    <w:p w14:paraId="7A6164DB" w14:textId="77777777" w:rsidR="009B129E" w:rsidRPr="009B129E" w:rsidRDefault="009B129E" w:rsidP="009B129E">
      <w:pPr>
        <w:rPr>
          <w:rFonts w:cs="Arial"/>
          <w:szCs w:val="20"/>
        </w:rPr>
      </w:pPr>
    </w:p>
    <w:p w14:paraId="05672936" w14:textId="77777777" w:rsidR="009B129E" w:rsidRPr="009B129E" w:rsidRDefault="009B129E" w:rsidP="009B129E">
      <w:pPr>
        <w:rPr>
          <w:rFonts w:cs="Arial"/>
          <w:szCs w:val="20"/>
        </w:rPr>
      </w:pPr>
      <w:r w:rsidRPr="009B129E">
        <w:rPr>
          <w:rFonts w:cs="Arial"/>
          <w:b/>
          <w:szCs w:val="20"/>
        </w:rPr>
        <w:t>Front cover</w:t>
      </w:r>
      <w:r w:rsidRPr="004407C0">
        <w:rPr>
          <w:rFonts w:cs="Arial"/>
          <w:b/>
          <w:szCs w:val="20"/>
        </w:rPr>
        <w:t>:</w:t>
      </w:r>
      <w:r w:rsidRPr="009B129E">
        <w:rPr>
          <w:rFonts w:cs="Arial"/>
          <w:szCs w:val="20"/>
        </w:rPr>
        <w:t xml:space="preserve"> </w:t>
      </w:r>
      <w:proofErr w:type="spellStart"/>
      <w:r w:rsidRPr="009B129E">
        <w:rPr>
          <w:rFonts w:cs="Arial"/>
          <w:szCs w:val="20"/>
        </w:rPr>
        <w:t>Ly’xali</w:t>
      </w:r>
      <w:proofErr w:type="spellEnd"/>
      <w:r w:rsidRPr="009B129E">
        <w:rPr>
          <w:rFonts w:cs="Arial"/>
          <w:szCs w:val="20"/>
        </w:rPr>
        <w:t xml:space="preserve"> Bowen-Ludwick, Hope Vale</w:t>
      </w:r>
    </w:p>
    <w:p w14:paraId="61A4B5A3" w14:textId="77777777" w:rsidR="009B129E" w:rsidRPr="009B129E" w:rsidRDefault="009B129E" w:rsidP="009B129E">
      <w:pPr>
        <w:rPr>
          <w:rFonts w:cs="Arial"/>
          <w:b/>
          <w:szCs w:val="20"/>
        </w:rPr>
      </w:pPr>
      <w:r w:rsidRPr="009B129E">
        <w:rPr>
          <w:rFonts w:cs="Arial"/>
          <w:b/>
          <w:szCs w:val="20"/>
        </w:rPr>
        <w:t>© State of Queensland (Family Responsibilities Commission) 2019</w:t>
      </w:r>
    </w:p>
    <w:p w14:paraId="06D910D3" w14:textId="77777777" w:rsidR="009B129E" w:rsidRPr="009B129E" w:rsidRDefault="009B129E" w:rsidP="009B129E">
      <w:pPr>
        <w:rPr>
          <w:rFonts w:cs="Arial"/>
          <w:szCs w:val="20"/>
        </w:rPr>
      </w:pPr>
      <w:r w:rsidRPr="009B129E">
        <w:rPr>
          <w:rFonts w:cs="Arial"/>
          <w:szCs w:val="20"/>
        </w:rPr>
        <w:t>ISSN – 1837-4565</w:t>
      </w:r>
    </w:p>
    <w:p w14:paraId="506723A0" w14:textId="77777777" w:rsidR="009B129E" w:rsidRPr="009B129E" w:rsidRDefault="009B129E" w:rsidP="009B129E">
      <w:pPr>
        <w:spacing w:line="480" w:lineRule="auto"/>
        <w:rPr>
          <w:rFonts w:cs="Arial"/>
          <w:szCs w:val="20"/>
          <w:lang w:eastAsia="en-AU"/>
        </w:rPr>
      </w:pPr>
    </w:p>
    <w:p w14:paraId="1FCE9B13" w14:textId="77777777" w:rsidR="009B129E" w:rsidRDefault="009B129E" w:rsidP="009B129E">
      <w:pPr>
        <w:rPr>
          <w:rFonts w:cs="Arial"/>
          <w:szCs w:val="20"/>
        </w:rPr>
        <w:sectPr w:rsidR="009B129E" w:rsidSect="00047560">
          <w:headerReference w:type="even" r:id="rId10"/>
          <w:headerReference w:type="default" r:id="rId11"/>
          <w:headerReference w:type="first" r:id="rId12"/>
          <w:footerReference w:type="first" r:id="rId13"/>
          <w:footnotePr>
            <w:numRestart w:val="eachSect"/>
          </w:footnotePr>
          <w:pgSz w:w="11905" w:h="16837" w:code="9"/>
          <w:pgMar w:top="1440" w:right="1701" w:bottom="1440" w:left="1701" w:header="425" w:footer="709" w:gutter="0"/>
          <w:cols w:space="708"/>
          <w:titlePg/>
        </w:sectPr>
      </w:pPr>
    </w:p>
    <w:p w14:paraId="541FFB99" w14:textId="77777777" w:rsidR="009B129E" w:rsidRPr="00DC6835" w:rsidRDefault="009B129E" w:rsidP="009B129E">
      <w:pPr>
        <w:spacing w:line="480" w:lineRule="auto"/>
        <w:rPr>
          <w:lang w:val="en-US"/>
        </w:rPr>
      </w:pPr>
      <w:r w:rsidRPr="008E7494">
        <w:rPr>
          <w:rFonts w:cs="Swiss721BT-Bold"/>
          <w:b/>
          <w:bCs/>
          <w:i/>
          <w:color w:val="446E82"/>
          <w:sz w:val="24"/>
          <w:lang w:val="en-US"/>
        </w:rPr>
        <w:lastRenderedPageBreak/>
        <w:t xml:space="preserve">The Commission </w:t>
      </w:r>
      <w:r w:rsidRPr="008E7494">
        <w:rPr>
          <w:rFonts w:cs="Swiss721BT-Bold"/>
          <w:b/>
          <w:bCs/>
          <w:i/>
          <w:color w:val="446E82"/>
          <w:sz w:val="24"/>
        </w:rPr>
        <w:t>recognises</w:t>
      </w:r>
      <w:r w:rsidRPr="008E7494">
        <w:rPr>
          <w:rFonts w:cs="Swiss721BT-Bold"/>
          <w:b/>
          <w:bCs/>
          <w:i/>
          <w:color w:val="446E82"/>
          <w:sz w:val="24"/>
          <w:lang w:val="en-US"/>
        </w:rPr>
        <w:t xml:space="preserve"> we are visitors to the country we travel across and work in and that many of our Local Commissioners are Traditional Owners and Elders of their communities. The Commission acknowledges and pays our respects to the Traditional Owners, Elders and Teachers of these lands; to those of the past whose unseen hands guide the actions and decisions of the Commissioners today; to those of the present working for their communities setting the example for the next generation; and to those of the future, the Elders not yet born who will inherit the legacy of our efforts.</w:t>
      </w:r>
    </w:p>
    <w:p w14:paraId="6A03F24C" w14:textId="77777777" w:rsidR="009B129E" w:rsidRDefault="009B129E" w:rsidP="009B129E">
      <w:pPr>
        <w:rPr>
          <w:rFonts w:cs="Arial"/>
          <w:szCs w:val="20"/>
        </w:rPr>
      </w:pPr>
    </w:p>
    <w:p w14:paraId="34734605" w14:textId="77777777" w:rsidR="009B129E" w:rsidRDefault="009B129E" w:rsidP="009B129E">
      <w:pPr>
        <w:rPr>
          <w:rFonts w:cs="Arial"/>
          <w:szCs w:val="20"/>
        </w:rPr>
        <w:sectPr w:rsidR="009B129E" w:rsidSect="00047560">
          <w:headerReference w:type="even" r:id="rId14"/>
          <w:headerReference w:type="default" r:id="rId15"/>
          <w:headerReference w:type="first" r:id="rId16"/>
          <w:pgSz w:w="11906" w:h="16838"/>
          <w:pgMar w:top="1440" w:right="1418" w:bottom="1440" w:left="1418" w:header="425" w:footer="709" w:gutter="0"/>
          <w:cols w:space="708"/>
          <w:docGrid w:linePitch="360"/>
        </w:sectPr>
      </w:pPr>
    </w:p>
    <w:p w14:paraId="455203AF" w14:textId="77777777" w:rsidR="009B129E" w:rsidRPr="008E7494" w:rsidRDefault="009B129E" w:rsidP="009B129E">
      <w:pPr>
        <w:spacing w:after="0" w:line="240" w:lineRule="auto"/>
      </w:pPr>
    </w:p>
    <w:tbl>
      <w:tblPr>
        <w:tblW w:w="0" w:type="auto"/>
        <w:tblBorders>
          <w:bottom w:val="single" w:sz="4" w:space="0" w:color="auto"/>
        </w:tblBorders>
        <w:tblLook w:val="01E0" w:firstRow="1" w:lastRow="1" w:firstColumn="1" w:lastColumn="1" w:noHBand="0" w:noVBand="0"/>
      </w:tblPr>
      <w:tblGrid>
        <w:gridCol w:w="4249"/>
        <w:gridCol w:w="4255"/>
      </w:tblGrid>
      <w:tr w:rsidR="009B129E" w:rsidRPr="008E7494" w14:paraId="597DA47C" w14:textId="77777777" w:rsidTr="00047560">
        <w:tc>
          <w:tcPr>
            <w:tcW w:w="4260" w:type="dxa"/>
            <w:tcBorders>
              <w:bottom w:val="single" w:sz="4" w:space="0" w:color="auto"/>
            </w:tcBorders>
          </w:tcPr>
          <w:p w14:paraId="7664308E" w14:textId="5C3AD71A" w:rsidR="009B129E" w:rsidRPr="008E7494" w:rsidRDefault="009B129E" w:rsidP="00047560">
            <w:pPr>
              <w:spacing w:after="0" w:line="240" w:lineRule="auto"/>
              <w:rPr>
                <w:rFonts w:cs="Times"/>
                <w:szCs w:val="20"/>
                <w:lang w:val="en-US"/>
              </w:rPr>
            </w:pPr>
          </w:p>
        </w:tc>
        <w:tc>
          <w:tcPr>
            <w:tcW w:w="4261" w:type="dxa"/>
            <w:tcBorders>
              <w:bottom w:val="single" w:sz="4" w:space="0" w:color="auto"/>
            </w:tcBorders>
          </w:tcPr>
          <w:p w14:paraId="7CA7AB92" w14:textId="77777777" w:rsidR="009B129E" w:rsidRPr="008E7494" w:rsidRDefault="009B129E" w:rsidP="00047560">
            <w:pPr>
              <w:spacing w:after="0" w:line="240" w:lineRule="auto"/>
              <w:jc w:val="right"/>
              <w:rPr>
                <w:rFonts w:cs="Times"/>
                <w:b/>
                <w:color w:val="446E82"/>
                <w:szCs w:val="20"/>
                <w:lang w:val="en-US"/>
              </w:rPr>
            </w:pPr>
            <w:r w:rsidRPr="008E7494">
              <w:rPr>
                <w:rFonts w:cs="Times"/>
                <w:b/>
                <w:color w:val="446E82"/>
                <w:szCs w:val="20"/>
                <w:lang w:val="en-US"/>
              </w:rPr>
              <w:t>Family Responsibilities Commission</w:t>
            </w:r>
          </w:p>
          <w:p w14:paraId="476E0722" w14:textId="77777777" w:rsidR="009B129E" w:rsidRPr="008E7494" w:rsidRDefault="009B129E" w:rsidP="00047560">
            <w:pPr>
              <w:spacing w:after="0" w:line="240" w:lineRule="auto"/>
              <w:jc w:val="right"/>
              <w:rPr>
                <w:color w:val="446E82"/>
                <w:lang w:val="en-US"/>
              </w:rPr>
            </w:pPr>
            <w:r w:rsidRPr="008E7494">
              <w:rPr>
                <w:color w:val="446E82"/>
                <w:lang w:val="en-US"/>
              </w:rPr>
              <w:t>Cairns Commonwealth Centre</w:t>
            </w:r>
          </w:p>
          <w:p w14:paraId="6314905F" w14:textId="77777777" w:rsidR="009B129E" w:rsidRPr="008E7494" w:rsidRDefault="009B129E" w:rsidP="00047560">
            <w:pPr>
              <w:spacing w:after="0" w:line="240" w:lineRule="auto"/>
              <w:jc w:val="right"/>
              <w:rPr>
                <w:color w:val="446E82"/>
                <w:lang w:val="en-US"/>
              </w:rPr>
            </w:pPr>
            <w:r w:rsidRPr="008E7494">
              <w:rPr>
                <w:color w:val="446E82"/>
                <w:lang w:val="en-US"/>
              </w:rPr>
              <w:t>Level 3, 107 Lake Street, Cairns</w:t>
            </w:r>
          </w:p>
          <w:p w14:paraId="26F3715E" w14:textId="77777777" w:rsidR="009B129E" w:rsidRPr="008E7494" w:rsidRDefault="009B129E" w:rsidP="00047560">
            <w:pPr>
              <w:spacing w:after="0" w:line="240" w:lineRule="auto"/>
              <w:jc w:val="right"/>
              <w:rPr>
                <w:color w:val="446E82"/>
                <w:lang w:val="en-US"/>
              </w:rPr>
            </w:pPr>
            <w:r w:rsidRPr="008E7494">
              <w:rPr>
                <w:color w:val="446E82"/>
                <w:lang w:val="en-US"/>
              </w:rPr>
              <w:t>PO Box 5438</w:t>
            </w:r>
          </w:p>
          <w:p w14:paraId="6450E95B" w14:textId="77777777" w:rsidR="009B129E" w:rsidRPr="008E7494" w:rsidRDefault="009B129E" w:rsidP="00047560">
            <w:pPr>
              <w:spacing w:after="0" w:line="240" w:lineRule="auto"/>
              <w:jc w:val="right"/>
              <w:rPr>
                <w:color w:val="446E82"/>
                <w:lang w:val="en-US"/>
              </w:rPr>
            </w:pPr>
            <w:r w:rsidRPr="008E7494">
              <w:rPr>
                <w:color w:val="446E82"/>
                <w:lang w:val="en-US"/>
              </w:rPr>
              <w:t>Cairns Qld 4870</w:t>
            </w:r>
          </w:p>
          <w:p w14:paraId="0F152978" w14:textId="77777777" w:rsidR="009B129E" w:rsidRPr="008E7494" w:rsidRDefault="009B129E" w:rsidP="00047560">
            <w:pPr>
              <w:spacing w:after="0" w:line="240" w:lineRule="auto"/>
              <w:jc w:val="right"/>
              <w:rPr>
                <w:color w:val="446E82"/>
                <w:lang w:val="en-US"/>
              </w:rPr>
            </w:pPr>
          </w:p>
          <w:p w14:paraId="39E4992A" w14:textId="77777777" w:rsidR="009B129E" w:rsidRPr="008E7494" w:rsidRDefault="009B129E" w:rsidP="00047560">
            <w:pPr>
              <w:spacing w:after="0" w:line="240" w:lineRule="auto"/>
              <w:jc w:val="right"/>
              <w:rPr>
                <w:b/>
                <w:color w:val="446E82"/>
                <w:lang w:val="en-US"/>
              </w:rPr>
            </w:pPr>
            <w:r w:rsidRPr="008E7494">
              <w:rPr>
                <w:b/>
                <w:color w:val="446E82"/>
                <w:lang w:val="en-US"/>
              </w:rPr>
              <w:t>Ph: 07 4081 8400</w:t>
            </w:r>
          </w:p>
          <w:p w14:paraId="11D4BF6B" w14:textId="77777777" w:rsidR="009B129E" w:rsidRPr="008E7494" w:rsidRDefault="009B129E" w:rsidP="00047560">
            <w:pPr>
              <w:spacing w:after="0" w:line="240" w:lineRule="auto"/>
              <w:jc w:val="right"/>
              <w:rPr>
                <w:color w:val="446E82"/>
                <w:lang w:val="en-US"/>
              </w:rPr>
            </w:pPr>
            <w:r w:rsidRPr="008E7494">
              <w:rPr>
                <w:color w:val="446E82"/>
                <w:lang w:val="en-US"/>
              </w:rPr>
              <w:t>Fax: 07 4041 0974</w:t>
            </w:r>
          </w:p>
          <w:p w14:paraId="29C03993" w14:textId="77777777" w:rsidR="009B129E" w:rsidRPr="008E7494" w:rsidRDefault="009B129E" w:rsidP="00047560">
            <w:pPr>
              <w:spacing w:after="0" w:line="240" w:lineRule="auto"/>
              <w:jc w:val="right"/>
              <w:rPr>
                <w:b/>
                <w:color w:val="446E82"/>
                <w:lang w:val="en-US"/>
              </w:rPr>
            </w:pPr>
            <w:r w:rsidRPr="008E7494">
              <w:rPr>
                <w:b/>
                <w:color w:val="446E82"/>
                <w:lang w:val="en-US"/>
              </w:rPr>
              <w:t>www.frcq.org.au</w:t>
            </w:r>
          </w:p>
          <w:p w14:paraId="4E6D7DBD" w14:textId="77777777" w:rsidR="009B129E" w:rsidRPr="008E7494" w:rsidRDefault="009B129E" w:rsidP="00047560">
            <w:pPr>
              <w:spacing w:after="0" w:line="240" w:lineRule="auto"/>
              <w:rPr>
                <w:rFonts w:cs="Times"/>
                <w:szCs w:val="20"/>
                <w:lang w:val="en-US"/>
              </w:rPr>
            </w:pPr>
          </w:p>
        </w:tc>
      </w:tr>
    </w:tbl>
    <w:p w14:paraId="441C074F" w14:textId="77777777" w:rsidR="009B129E" w:rsidRPr="008E7494" w:rsidRDefault="009B129E" w:rsidP="009B129E">
      <w:pPr>
        <w:spacing w:after="0"/>
        <w:rPr>
          <w:lang w:val="en-US" w:eastAsia="en-AU"/>
        </w:rPr>
      </w:pPr>
    </w:p>
    <w:p w14:paraId="02512883" w14:textId="42A015B8" w:rsidR="009B129E" w:rsidRPr="008E7494" w:rsidRDefault="0038254C" w:rsidP="009B129E">
      <w:pPr>
        <w:spacing w:after="0"/>
        <w:rPr>
          <w:lang w:val="en-US" w:eastAsia="en-AU"/>
        </w:rPr>
      </w:pPr>
      <w:r w:rsidRPr="00446902">
        <w:rPr>
          <w:lang w:val="en-US" w:eastAsia="en-AU"/>
        </w:rPr>
        <w:t>30 August</w:t>
      </w:r>
      <w:r w:rsidR="009B129E" w:rsidRPr="00446902">
        <w:rPr>
          <w:lang w:val="en-US" w:eastAsia="en-AU"/>
        </w:rPr>
        <w:t xml:space="preserve"> 2019</w:t>
      </w:r>
    </w:p>
    <w:p w14:paraId="7E8BCFA6" w14:textId="77777777" w:rsidR="009B129E" w:rsidRPr="008E7494" w:rsidRDefault="009B129E" w:rsidP="009B129E">
      <w:pPr>
        <w:spacing w:after="0"/>
        <w:rPr>
          <w:lang w:val="en-US" w:eastAsia="en-AU"/>
        </w:rPr>
      </w:pPr>
    </w:p>
    <w:p w14:paraId="54AA1E00" w14:textId="77777777" w:rsidR="009B129E" w:rsidRPr="008E7494" w:rsidRDefault="009B129E" w:rsidP="009B129E">
      <w:pPr>
        <w:spacing w:after="0"/>
        <w:rPr>
          <w:lang w:val="en-US" w:eastAsia="en-AU"/>
        </w:rPr>
      </w:pPr>
    </w:p>
    <w:p w14:paraId="1D4DB8CC" w14:textId="77777777" w:rsidR="009B129E" w:rsidRPr="008E7494" w:rsidRDefault="009B129E" w:rsidP="009B129E">
      <w:pPr>
        <w:spacing w:after="0"/>
        <w:rPr>
          <w:lang w:val="en-US" w:eastAsia="en-AU"/>
        </w:rPr>
      </w:pPr>
    </w:p>
    <w:p w14:paraId="49B738EF" w14:textId="77777777" w:rsidR="009B129E" w:rsidRPr="008E7494" w:rsidRDefault="009B129E" w:rsidP="009B129E">
      <w:pPr>
        <w:spacing w:after="0" w:line="240" w:lineRule="auto"/>
      </w:pPr>
      <w:r w:rsidRPr="008E7494">
        <w:rPr>
          <w:rFonts w:cs="Arial"/>
        </w:rPr>
        <w:t>The Honourable Jackie Trad MP</w:t>
      </w:r>
    </w:p>
    <w:p w14:paraId="151005F7" w14:textId="77777777" w:rsidR="009B129E" w:rsidRPr="008E7494" w:rsidRDefault="009B129E" w:rsidP="009B129E">
      <w:pPr>
        <w:spacing w:after="0" w:line="240" w:lineRule="auto"/>
        <w:rPr>
          <w:rFonts w:cs="Arial"/>
        </w:rPr>
      </w:pPr>
      <w:r w:rsidRPr="008E7494">
        <w:rPr>
          <w:rFonts w:cs="Arial"/>
        </w:rPr>
        <w:t>Deputy Premier, Treasurer and</w:t>
      </w:r>
    </w:p>
    <w:p w14:paraId="22C17FBE" w14:textId="77777777" w:rsidR="009B129E" w:rsidRPr="008E7494" w:rsidRDefault="009B129E" w:rsidP="009B129E">
      <w:pPr>
        <w:spacing w:after="0" w:line="240" w:lineRule="auto"/>
      </w:pPr>
      <w:r w:rsidRPr="008E7494">
        <w:rPr>
          <w:rFonts w:cs="Arial"/>
        </w:rPr>
        <w:t>Minister for Aboriginal and Torres Strait Islander Partnerships</w:t>
      </w:r>
    </w:p>
    <w:p w14:paraId="744E5989" w14:textId="77777777" w:rsidR="009B129E" w:rsidRPr="008E7494" w:rsidRDefault="009B129E" w:rsidP="009B129E">
      <w:pPr>
        <w:spacing w:after="0" w:line="240" w:lineRule="auto"/>
        <w:rPr>
          <w:rFonts w:cs="Arial"/>
        </w:rPr>
      </w:pPr>
      <w:r w:rsidRPr="008E7494">
        <w:rPr>
          <w:rFonts w:cs="Arial"/>
        </w:rPr>
        <w:t>GPO Box 611</w:t>
      </w:r>
    </w:p>
    <w:p w14:paraId="7CCDE1D7" w14:textId="77777777" w:rsidR="009B129E" w:rsidRPr="008E7494" w:rsidRDefault="009B129E" w:rsidP="009B129E">
      <w:pPr>
        <w:spacing w:after="0" w:line="240" w:lineRule="auto"/>
        <w:rPr>
          <w:rFonts w:cs="Arial"/>
        </w:rPr>
      </w:pPr>
      <w:r w:rsidRPr="008E7494">
        <w:rPr>
          <w:rFonts w:cs="Arial"/>
        </w:rPr>
        <w:t>BRISBANE   QLD   4001</w:t>
      </w:r>
    </w:p>
    <w:p w14:paraId="015DE5BA" w14:textId="77777777" w:rsidR="009B129E" w:rsidRPr="008E7494" w:rsidRDefault="009B129E" w:rsidP="009B129E">
      <w:pPr>
        <w:spacing w:after="0"/>
        <w:rPr>
          <w:lang w:val="en-US" w:eastAsia="en-AU"/>
        </w:rPr>
      </w:pPr>
    </w:p>
    <w:p w14:paraId="0A42C459" w14:textId="77777777" w:rsidR="009B129E" w:rsidRPr="008E7494" w:rsidRDefault="009B129E" w:rsidP="009B129E">
      <w:pPr>
        <w:spacing w:after="0"/>
        <w:rPr>
          <w:lang w:val="en-US" w:eastAsia="en-AU"/>
        </w:rPr>
      </w:pPr>
    </w:p>
    <w:p w14:paraId="3E735184" w14:textId="77777777" w:rsidR="009B129E" w:rsidRPr="008E7494" w:rsidRDefault="009B129E" w:rsidP="009B129E">
      <w:pPr>
        <w:spacing w:after="0"/>
        <w:rPr>
          <w:lang w:val="en-US" w:eastAsia="en-AU"/>
        </w:rPr>
      </w:pPr>
    </w:p>
    <w:p w14:paraId="690B095C" w14:textId="77777777" w:rsidR="009B129E" w:rsidRPr="008E7494" w:rsidRDefault="009B129E" w:rsidP="009B129E">
      <w:pPr>
        <w:spacing w:after="0"/>
        <w:rPr>
          <w:lang w:val="en-US" w:eastAsia="en-AU"/>
        </w:rPr>
      </w:pPr>
      <w:r w:rsidRPr="008E7494">
        <w:t>Dear Minister Trad</w:t>
      </w:r>
    </w:p>
    <w:p w14:paraId="6772ECD4" w14:textId="77777777" w:rsidR="009B129E" w:rsidRPr="008E7494" w:rsidRDefault="009B129E" w:rsidP="009B129E">
      <w:pPr>
        <w:spacing w:after="0"/>
        <w:rPr>
          <w:lang w:val="en-US" w:eastAsia="en-AU"/>
        </w:rPr>
      </w:pPr>
    </w:p>
    <w:p w14:paraId="3EF47C20" w14:textId="77777777" w:rsidR="009B129E" w:rsidRPr="008E7494" w:rsidRDefault="009B129E" w:rsidP="009B129E">
      <w:pPr>
        <w:spacing w:after="0"/>
      </w:pPr>
      <w:r w:rsidRPr="008E7494">
        <w:t>I am pleased to submit for presentation to the Parliament the Annual Report 201</w:t>
      </w:r>
      <w:r>
        <w:t>8</w:t>
      </w:r>
      <w:r w:rsidRPr="008E7494">
        <w:t>-201</w:t>
      </w:r>
      <w:r>
        <w:t>9</w:t>
      </w:r>
      <w:r w:rsidRPr="008E7494">
        <w:t xml:space="preserve"> and financial statements for the Family Responsibilities Commission.</w:t>
      </w:r>
    </w:p>
    <w:p w14:paraId="444A9BCF" w14:textId="77777777" w:rsidR="009B129E" w:rsidRPr="008E7494" w:rsidRDefault="009B129E" w:rsidP="009B129E">
      <w:pPr>
        <w:spacing w:after="0"/>
        <w:rPr>
          <w:lang w:val="en-US" w:eastAsia="en-AU"/>
        </w:rPr>
      </w:pPr>
    </w:p>
    <w:p w14:paraId="7D483946" w14:textId="77777777" w:rsidR="009B129E" w:rsidRPr="008E7494" w:rsidRDefault="009B129E" w:rsidP="009B129E">
      <w:pPr>
        <w:spacing w:after="0"/>
      </w:pPr>
      <w:r w:rsidRPr="008E7494">
        <w:t>I certify that this Annual Report complies with:</w:t>
      </w:r>
    </w:p>
    <w:p w14:paraId="56CA33E8" w14:textId="77777777" w:rsidR="009B129E" w:rsidRPr="008E7494" w:rsidRDefault="009B129E" w:rsidP="009B129E">
      <w:pPr>
        <w:pStyle w:val="ListBullet2"/>
      </w:pPr>
      <w:r w:rsidRPr="008E7494">
        <w:t xml:space="preserve">the prescribed requirements of the </w:t>
      </w:r>
      <w:r w:rsidRPr="008E7494">
        <w:rPr>
          <w:i/>
        </w:rPr>
        <w:t>Financial Accountability Act 2009</w:t>
      </w:r>
      <w:r w:rsidRPr="008E7494">
        <w:t xml:space="preserve"> and the </w:t>
      </w:r>
      <w:r w:rsidRPr="008E7494">
        <w:rPr>
          <w:i/>
        </w:rPr>
        <w:t>Financial and Performance Management Standard 2009</w:t>
      </w:r>
      <w:r w:rsidRPr="008E7494">
        <w:t>, and</w:t>
      </w:r>
    </w:p>
    <w:p w14:paraId="26362054" w14:textId="77777777" w:rsidR="009B129E" w:rsidRPr="008E7494" w:rsidRDefault="009B129E" w:rsidP="009B129E">
      <w:pPr>
        <w:pStyle w:val="ListBullet2"/>
      </w:pPr>
      <w:r w:rsidRPr="008E7494">
        <w:t>the detailed requirements set out in the</w:t>
      </w:r>
      <w:r w:rsidRPr="008E7494">
        <w:rPr>
          <w:i/>
        </w:rPr>
        <w:t xml:space="preserve"> Annual Report Requirements for Queensland Government Agencies</w:t>
      </w:r>
      <w:r w:rsidRPr="008E7494">
        <w:t>.</w:t>
      </w:r>
    </w:p>
    <w:p w14:paraId="0582F037" w14:textId="77777777" w:rsidR="009B129E" w:rsidRPr="008E7494" w:rsidRDefault="009B129E" w:rsidP="009B129E">
      <w:pPr>
        <w:spacing w:after="0" w:line="240" w:lineRule="auto"/>
        <w:rPr>
          <w:rFonts w:cs="Arial"/>
          <w:szCs w:val="20"/>
          <w:lang w:val="en-US" w:eastAsia="en-AU"/>
        </w:rPr>
      </w:pPr>
    </w:p>
    <w:p w14:paraId="0B461C37" w14:textId="05021995" w:rsidR="009B129E" w:rsidRPr="008E7494" w:rsidRDefault="009B129E" w:rsidP="009B129E">
      <w:pPr>
        <w:rPr>
          <w:szCs w:val="20"/>
          <w:lang w:val="en-US" w:eastAsia="en-AU"/>
        </w:rPr>
      </w:pPr>
      <w:r w:rsidRPr="008E7494">
        <w:t xml:space="preserve">A checklist outlining the annual reporting requirements can be </w:t>
      </w:r>
      <w:r w:rsidRPr="00FD1AE1">
        <w:t xml:space="preserve">found at page </w:t>
      </w:r>
      <w:r w:rsidR="00215D36" w:rsidRPr="00FD1AE1">
        <w:t>1</w:t>
      </w:r>
      <w:r w:rsidR="005A0BCC" w:rsidRPr="00FD1AE1">
        <w:t>10</w:t>
      </w:r>
      <w:r w:rsidR="00215D36" w:rsidRPr="00FD1AE1">
        <w:t xml:space="preserve"> </w:t>
      </w:r>
      <w:r w:rsidRPr="00FD1AE1">
        <w:t>of this</w:t>
      </w:r>
      <w:r w:rsidRPr="008E7494">
        <w:t xml:space="preserve"> annual report.</w:t>
      </w:r>
    </w:p>
    <w:p w14:paraId="1BB5203B" w14:textId="77777777" w:rsidR="009B129E" w:rsidRPr="008E7494" w:rsidRDefault="009B129E" w:rsidP="009B129E">
      <w:pPr>
        <w:spacing w:after="0" w:line="240" w:lineRule="auto"/>
        <w:rPr>
          <w:rFonts w:cs="Arial"/>
          <w:szCs w:val="20"/>
          <w:lang w:val="en-US" w:eastAsia="en-AU"/>
        </w:rPr>
      </w:pPr>
    </w:p>
    <w:p w14:paraId="12B73FB4" w14:textId="77777777" w:rsidR="00446902" w:rsidRPr="008E7494" w:rsidRDefault="00446902" w:rsidP="00446902">
      <w:pPr>
        <w:spacing w:after="0"/>
        <w:rPr>
          <w:szCs w:val="20"/>
          <w:lang w:val="en-US" w:eastAsia="en-AU"/>
        </w:rPr>
      </w:pPr>
      <w:r w:rsidRPr="008E7494">
        <w:t>Yours sincerely</w:t>
      </w:r>
    </w:p>
    <w:p w14:paraId="1B139F4E" w14:textId="77777777" w:rsidR="00446902" w:rsidRPr="008E7494" w:rsidRDefault="00446902" w:rsidP="00446902">
      <w:pPr>
        <w:spacing w:after="0" w:line="240" w:lineRule="auto"/>
        <w:rPr>
          <w:rFonts w:cs="Arial"/>
          <w:szCs w:val="20"/>
          <w:lang w:val="en-US" w:eastAsia="en-AU"/>
        </w:rPr>
      </w:pPr>
    </w:p>
    <w:p w14:paraId="5AD32EAE" w14:textId="5DA796F8" w:rsidR="00446902" w:rsidRDefault="00446902" w:rsidP="00446902">
      <w:pPr>
        <w:spacing w:after="0" w:line="240" w:lineRule="auto"/>
        <w:rPr>
          <w:noProof/>
          <w:lang w:eastAsia="en-AU"/>
        </w:rPr>
      </w:pPr>
    </w:p>
    <w:p w14:paraId="01578130" w14:textId="77777777" w:rsidR="00827B67" w:rsidRPr="008E7494" w:rsidRDefault="00827B67" w:rsidP="00446902">
      <w:pPr>
        <w:spacing w:after="0" w:line="240" w:lineRule="auto"/>
        <w:rPr>
          <w:rFonts w:cs="Arial"/>
          <w:szCs w:val="20"/>
          <w:lang w:val="en-US" w:eastAsia="en-AU"/>
        </w:rPr>
      </w:pPr>
    </w:p>
    <w:p w14:paraId="72B29DA7" w14:textId="77777777" w:rsidR="00446902" w:rsidRPr="008E7494" w:rsidRDefault="00446902" w:rsidP="00446902">
      <w:pPr>
        <w:spacing w:after="0"/>
      </w:pPr>
      <w:r w:rsidRPr="008E7494">
        <w:t>David Glasgow</w:t>
      </w:r>
      <w:r>
        <w:t>,</w:t>
      </w:r>
      <w:r w:rsidRPr="008E7494">
        <w:t xml:space="preserve"> AM</w:t>
      </w:r>
    </w:p>
    <w:p w14:paraId="495704B5" w14:textId="77777777" w:rsidR="00446902" w:rsidRPr="008E7494" w:rsidRDefault="00446902" w:rsidP="00446902">
      <w:pPr>
        <w:spacing w:after="0"/>
      </w:pPr>
      <w:r w:rsidRPr="008E7494">
        <w:t>Commissioner</w:t>
      </w:r>
    </w:p>
    <w:p w14:paraId="2A5C631B" w14:textId="77777777" w:rsidR="00446902" w:rsidRPr="008E7494" w:rsidRDefault="00446902" w:rsidP="00446902">
      <w:pPr>
        <w:spacing w:after="0"/>
      </w:pPr>
      <w:r w:rsidRPr="008E7494">
        <w:t>Family Responsibilities Commission</w:t>
      </w:r>
    </w:p>
    <w:p w14:paraId="14FA57EB" w14:textId="77777777" w:rsidR="009B129E" w:rsidRPr="0001769E" w:rsidRDefault="009B129E" w:rsidP="009B129E">
      <w:pPr>
        <w:spacing w:after="0" w:line="240" w:lineRule="auto"/>
        <w:rPr>
          <w:rFonts w:ascii="Times New Roman" w:hAnsi="Times New Roman"/>
          <w:sz w:val="24"/>
          <w:lang w:eastAsia="en-AU"/>
        </w:rPr>
      </w:pPr>
    </w:p>
    <w:p w14:paraId="630B8D30" w14:textId="77777777" w:rsidR="00BF706B" w:rsidRDefault="00BF706B" w:rsidP="009B129E">
      <w:pPr>
        <w:rPr>
          <w:rFonts w:cs="Arial"/>
          <w:szCs w:val="20"/>
        </w:rPr>
        <w:sectPr w:rsidR="00BF706B" w:rsidSect="00047560">
          <w:headerReference w:type="even" r:id="rId17"/>
          <w:headerReference w:type="default" r:id="rId18"/>
          <w:headerReference w:type="first" r:id="rId19"/>
          <w:footnotePr>
            <w:numRestart w:val="eachSect"/>
          </w:footnotePr>
          <w:pgSz w:w="11906" w:h="16838"/>
          <w:pgMar w:top="1380" w:right="1701" w:bottom="567" w:left="1701" w:header="709" w:footer="709" w:gutter="0"/>
          <w:cols w:space="708"/>
          <w:docGrid w:linePitch="360"/>
        </w:sectPr>
      </w:pPr>
    </w:p>
    <w:tbl>
      <w:tblPr>
        <w:tblW w:w="7528" w:type="dxa"/>
        <w:tblInd w:w="93" w:type="dxa"/>
        <w:tblLook w:val="04A0" w:firstRow="1" w:lastRow="0" w:firstColumn="1" w:lastColumn="0" w:noHBand="0" w:noVBand="1"/>
      </w:tblPr>
      <w:tblGrid>
        <w:gridCol w:w="6678"/>
        <w:gridCol w:w="850"/>
      </w:tblGrid>
      <w:tr w:rsidR="00BF706B" w:rsidRPr="008E7494" w14:paraId="070A14B7" w14:textId="77777777" w:rsidTr="00047560">
        <w:trPr>
          <w:trHeight w:val="300"/>
        </w:trPr>
        <w:tc>
          <w:tcPr>
            <w:tcW w:w="6678" w:type="dxa"/>
            <w:noWrap/>
            <w:vAlign w:val="bottom"/>
            <w:hideMark/>
          </w:tcPr>
          <w:p w14:paraId="4D345AD4" w14:textId="77777777" w:rsidR="00BF706B" w:rsidRPr="008E7494" w:rsidRDefault="00BF706B" w:rsidP="00047560">
            <w:pPr>
              <w:rPr>
                <w:rFonts w:cs="Arial"/>
                <w:color w:val="000000"/>
                <w:szCs w:val="20"/>
              </w:rPr>
            </w:pPr>
            <w:r w:rsidRPr="008E7494">
              <w:rPr>
                <w:rFonts w:cs="Arial"/>
                <w:color w:val="000000"/>
                <w:szCs w:val="20"/>
              </w:rPr>
              <w:lastRenderedPageBreak/>
              <w:t>Preamble – Noel Pearson</w:t>
            </w:r>
          </w:p>
        </w:tc>
        <w:tc>
          <w:tcPr>
            <w:tcW w:w="850" w:type="dxa"/>
            <w:noWrap/>
            <w:vAlign w:val="bottom"/>
            <w:hideMark/>
          </w:tcPr>
          <w:p w14:paraId="6C8D6289" w14:textId="77777777" w:rsidR="00BF706B" w:rsidRPr="008E7494" w:rsidRDefault="00BF706B" w:rsidP="00047560">
            <w:pPr>
              <w:jc w:val="right"/>
              <w:rPr>
                <w:rFonts w:cs="Arial"/>
                <w:color w:val="000000"/>
                <w:szCs w:val="20"/>
              </w:rPr>
            </w:pPr>
            <w:r w:rsidRPr="008E7494">
              <w:rPr>
                <w:rFonts w:cs="Arial"/>
                <w:color w:val="000000"/>
                <w:szCs w:val="20"/>
              </w:rPr>
              <w:t>6</w:t>
            </w:r>
          </w:p>
        </w:tc>
      </w:tr>
      <w:tr w:rsidR="00BF706B" w:rsidRPr="008E7494" w14:paraId="24EECD5B" w14:textId="77777777" w:rsidTr="00047560">
        <w:trPr>
          <w:trHeight w:val="300"/>
        </w:trPr>
        <w:tc>
          <w:tcPr>
            <w:tcW w:w="6678" w:type="dxa"/>
            <w:noWrap/>
            <w:vAlign w:val="bottom"/>
            <w:hideMark/>
          </w:tcPr>
          <w:p w14:paraId="28C9562C" w14:textId="05CCF6A4" w:rsidR="00BF706B" w:rsidRPr="008E7494" w:rsidRDefault="00BF706B" w:rsidP="00047560">
            <w:pPr>
              <w:rPr>
                <w:rFonts w:cs="Arial"/>
                <w:color w:val="000000"/>
                <w:szCs w:val="20"/>
              </w:rPr>
            </w:pPr>
            <w:r w:rsidRPr="008E7494">
              <w:rPr>
                <w:rFonts w:cs="Arial"/>
                <w:color w:val="000000"/>
                <w:szCs w:val="20"/>
              </w:rPr>
              <w:t xml:space="preserve">Commissioner Glasgow's </w:t>
            </w:r>
            <w:r w:rsidR="005A2D61">
              <w:rPr>
                <w:rFonts w:cs="Arial"/>
                <w:color w:val="000000"/>
                <w:szCs w:val="20"/>
              </w:rPr>
              <w:t>m</w:t>
            </w:r>
            <w:r w:rsidRPr="008E7494">
              <w:rPr>
                <w:rFonts w:cs="Arial"/>
                <w:color w:val="000000"/>
                <w:szCs w:val="20"/>
              </w:rPr>
              <w:t>essage</w:t>
            </w:r>
          </w:p>
        </w:tc>
        <w:tc>
          <w:tcPr>
            <w:tcW w:w="850" w:type="dxa"/>
            <w:noWrap/>
            <w:vAlign w:val="bottom"/>
            <w:hideMark/>
          </w:tcPr>
          <w:p w14:paraId="4EFB9779" w14:textId="77777777" w:rsidR="00BF706B" w:rsidRPr="008E7494" w:rsidRDefault="00BF706B" w:rsidP="00047560">
            <w:pPr>
              <w:jc w:val="right"/>
              <w:rPr>
                <w:rFonts w:cs="Arial"/>
                <w:color w:val="000000"/>
                <w:szCs w:val="20"/>
              </w:rPr>
            </w:pPr>
            <w:r w:rsidRPr="008E7494">
              <w:rPr>
                <w:rFonts w:cs="Arial"/>
                <w:color w:val="000000"/>
                <w:szCs w:val="20"/>
              </w:rPr>
              <w:t>7</w:t>
            </w:r>
          </w:p>
        </w:tc>
      </w:tr>
      <w:tr w:rsidR="00BF706B" w:rsidRPr="008E7494" w14:paraId="213B541D" w14:textId="77777777" w:rsidTr="00047560">
        <w:trPr>
          <w:trHeight w:val="300"/>
        </w:trPr>
        <w:tc>
          <w:tcPr>
            <w:tcW w:w="6678" w:type="dxa"/>
            <w:noWrap/>
            <w:vAlign w:val="bottom"/>
            <w:hideMark/>
          </w:tcPr>
          <w:p w14:paraId="7848F213" w14:textId="231EA881" w:rsidR="00BF706B" w:rsidRPr="008E7494" w:rsidRDefault="00BF706B" w:rsidP="00047560">
            <w:pPr>
              <w:rPr>
                <w:rFonts w:cs="Arial"/>
                <w:color w:val="000000"/>
                <w:szCs w:val="20"/>
              </w:rPr>
            </w:pPr>
            <w:r w:rsidRPr="008E7494">
              <w:rPr>
                <w:rFonts w:cs="Arial"/>
                <w:color w:val="000000"/>
                <w:szCs w:val="20"/>
              </w:rPr>
              <w:t xml:space="preserve">Strategic </w:t>
            </w:r>
            <w:r w:rsidR="005A2D61">
              <w:rPr>
                <w:rFonts w:cs="Arial"/>
                <w:color w:val="000000"/>
                <w:szCs w:val="20"/>
              </w:rPr>
              <w:t>o</w:t>
            </w:r>
            <w:r w:rsidRPr="008E7494">
              <w:rPr>
                <w:rFonts w:cs="Arial"/>
                <w:color w:val="000000"/>
                <w:szCs w:val="20"/>
              </w:rPr>
              <w:t>verview</w:t>
            </w:r>
          </w:p>
        </w:tc>
        <w:tc>
          <w:tcPr>
            <w:tcW w:w="850" w:type="dxa"/>
            <w:noWrap/>
            <w:vAlign w:val="bottom"/>
            <w:hideMark/>
          </w:tcPr>
          <w:p w14:paraId="217BB0D3" w14:textId="3DAE90C8" w:rsidR="00BF706B" w:rsidRPr="008E7494" w:rsidRDefault="00BF706B" w:rsidP="00047560">
            <w:pPr>
              <w:jc w:val="right"/>
              <w:rPr>
                <w:rFonts w:cs="Arial"/>
                <w:color w:val="000000"/>
                <w:szCs w:val="20"/>
              </w:rPr>
            </w:pPr>
            <w:r w:rsidRPr="008E7494">
              <w:rPr>
                <w:rFonts w:cs="Arial"/>
                <w:color w:val="000000"/>
                <w:szCs w:val="20"/>
              </w:rPr>
              <w:t>1</w:t>
            </w:r>
            <w:r w:rsidR="00F27C8E">
              <w:rPr>
                <w:rFonts w:cs="Arial"/>
                <w:color w:val="000000"/>
                <w:szCs w:val="20"/>
              </w:rPr>
              <w:t>3</w:t>
            </w:r>
          </w:p>
        </w:tc>
      </w:tr>
      <w:tr w:rsidR="00BF706B" w:rsidRPr="008E7494" w14:paraId="6CBD7EFB" w14:textId="77777777" w:rsidTr="00047560">
        <w:trPr>
          <w:trHeight w:val="300"/>
        </w:trPr>
        <w:tc>
          <w:tcPr>
            <w:tcW w:w="6678" w:type="dxa"/>
            <w:noWrap/>
            <w:vAlign w:val="bottom"/>
            <w:hideMark/>
          </w:tcPr>
          <w:p w14:paraId="7C169E9E" w14:textId="6A3315CE" w:rsidR="00BF706B" w:rsidRPr="008E7494" w:rsidRDefault="00BF706B" w:rsidP="00047560">
            <w:pPr>
              <w:rPr>
                <w:rFonts w:cs="Arial"/>
                <w:color w:val="000000"/>
                <w:szCs w:val="20"/>
              </w:rPr>
            </w:pPr>
            <w:r w:rsidRPr="008E7494">
              <w:rPr>
                <w:rFonts w:cs="Arial"/>
                <w:color w:val="000000"/>
                <w:szCs w:val="20"/>
              </w:rPr>
              <w:t xml:space="preserve">How the Family Responsibilities Commission </w:t>
            </w:r>
            <w:r w:rsidR="005A2D61">
              <w:rPr>
                <w:rFonts w:cs="Arial"/>
                <w:color w:val="000000"/>
                <w:szCs w:val="20"/>
              </w:rPr>
              <w:t>w</w:t>
            </w:r>
            <w:r w:rsidRPr="008E7494">
              <w:rPr>
                <w:rFonts w:cs="Arial"/>
                <w:color w:val="000000"/>
                <w:szCs w:val="20"/>
              </w:rPr>
              <w:t>orks</w:t>
            </w:r>
          </w:p>
        </w:tc>
        <w:tc>
          <w:tcPr>
            <w:tcW w:w="850" w:type="dxa"/>
            <w:noWrap/>
            <w:vAlign w:val="bottom"/>
            <w:hideMark/>
          </w:tcPr>
          <w:p w14:paraId="0AD01B8C" w14:textId="7460B938" w:rsidR="00BF706B" w:rsidRPr="008E7494" w:rsidRDefault="00F27C8E" w:rsidP="00047560">
            <w:pPr>
              <w:jc w:val="right"/>
              <w:rPr>
                <w:rFonts w:cs="Arial"/>
                <w:color w:val="000000"/>
                <w:szCs w:val="20"/>
              </w:rPr>
            </w:pPr>
            <w:r>
              <w:rPr>
                <w:rFonts w:cs="Arial"/>
                <w:color w:val="000000"/>
                <w:szCs w:val="20"/>
              </w:rPr>
              <w:t>20</w:t>
            </w:r>
          </w:p>
        </w:tc>
      </w:tr>
      <w:tr w:rsidR="00BF706B" w:rsidRPr="008E7494" w14:paraId="1E3CC2BE" w14:textId="77777777" w:rsidTr="00047560">
        <w:trPr>
          <w:trHeight w:val="300"/>
        </w:trPr>
        <w:tc>
          <w:tcPr>
            <w:tcW w:w="6678" w:type="dxa"/>
            <w:noWrap/>
            <w:vAlign w:val="bottom"/>
            <w:hideMark/>
          </w:tcPr>
          <w:p w14:paraId="3CBD5B12" w14:textId="40F9CE33" w:rsidR="00BF706B" w:rsidRPr="008E7494" w:rsidRDefault="00BF706B" w:rsidP="00047560">
            <w:pPr>
              <w:rPr>
                <w:rFonts w:cs="Arial"/>
                <w:color w:val="000000"/>
                <w:szCs w:val="20"/>
              </w:rPr>
            </w:pPr>
            <w:r w:rsidRPr="008E7494">
              <w:rPr>
                <w:rFonts w:cs="Arial"/>
                <w:color w:val="000000"/>
                <w:szCs w:val="20"/>
              </w:rPr>
              <w:t xml:space="preserve">Who </w:t>
            </w:r>
            <w:r w:rsidR="005A2D61">
              <w:rPr>
                <w:rFonts w:cs="Arial"/>
                <w:color w:val="000000"/>
                <w:szCs w:val="20"/>
              </w:rPr>
              <w:t>m</w:t>
            </w:r>
            <w:r w:rsidRPr="008E7494">
              <w:rPr>
                <w:rFonts w:cs="Arial"/>
                <w:color w:val="000000"/>
                <w:szCs w:val="20"/>
              </w:rPr>
              <w:t xml:space="preserve">akes </w:t>
            </w:r>
            <w:r w:rsidR="005A2D61">
              <w:rPr>
                <w:rFonts w:cs="Arial"/>
                <w:color w:val="000000"/>
                <w:szCs w:val="20"/>
              </w:rPr>
              <w:t>u</w:t>
            </w:r>
            <w:r w:rsidRPr="008E7494">
              <w:rPr>
                <w:rFonts w:cs="Arial"/>
                <w:color w:val="000000"/>
                <w:szCs w:val="20"/>
              </w:rPr>
              <w:t>p the Commission</w:t>
            </w:r>
          </w:p>
        </w:tc>
        <w:tc>
          <w:tcPr>
            <w:tcW w:w="850" w:type="dxa"/>
            <w:noWrap/>
            <w:vAlign w:val="bottom"/>
            <w:hideMark/>
          </w:tcPr>
          <w:p w14:paraId="475B8CFE" w14:textId="1092D255" w:rsidR="00BF706B" w:rsidRPr="008E7494" w:rsidRDefault="00BF706B" w:rsidP="00047560">
            <w:pPr>
              <w:jc w:val="right"/>
              <w:rPr>
                <w:rFonts w:cs="Arial"/>
                <w:color w:val="000000"/>
                <w:szCs w:val="20"/>
              </w:rPr>
            </w:pPr>
            <w:r w:rsidRPr="008E7494">
              <w:rPr>
                <w:rFonts w:cs="Arial"/>
                <w:color w:val="000000"/>
                <w:szCs w:val="20"/>
              </w:rPr>
              <w:t>2</w:t>
            </w:r>
            <w:r w:rsidR="00F366EE">
              <w:rPr>
                <w:rFonts w:cs="Arial"/>
                <w:color w:val="000000"/>
                <w:szCs w:val="20"/>
              </w:rPr>
              <w:t>4</w:t>
            </w:r>
          </w:p>
        </w:tc>
      </w:tr>
      <w:tr w:rsidR="009C3592" w:rsidRPr="008E7494" w14:paraId="3EF08FFF" w14:textId="77777777" w:rsidTr="00047560">
        <w:trPr>
          <w:trHeight w:val="300"/>
        </w:trPr>
        <w:tc>
          <w:tcPr>
            <w:tcW w:w="6678" w:type="dxa"/>
            <w:noWrap/>
            <w:vAlign w:val="bottom"/>
          </w:tcPr>
          <w:p w14:paraId="77E19772" w14:textId="05ED0DB9" w:rsidR="009C3592" w:rsidRPr="008E7494" w:rsidRDefault="009C3592" w:rsidP="00047560">
            <w:pPr>
              <w:rPr>
                <w:rFonts w:cs="Arial"/>
                <w:color w:val="000000"/>
                <w:szCs w:val="20"/>
              </w:rPr>
            </w:pPr>
            <w:r>
              <w:rPr>
                <w:rFonts w:cs="Arial"/>
                <w:color w:val="000000"/>
                <w:szCs w:val="20"/>
              </w:rPr>
              <w:t xml:space="preserve">Client </w:t>
            </w:r>
            <w:r w:rsidR="005A2D61">
              <w:rPr>
                <w:rFonts w:cs="Arial"/>
                <w:color w:val="000000"/>
                <w:szCs w:val="20"/>
              </w:rPr>
              <w:t>p</w:t>
            </w:r>
            <w:r>
              <w:rPr>
                <w:rFonts w:cs="Arial"/>
                <w:color w:val="000000"/>
                <w:szCs w:val="20"/>
              </w:rPr>
              <w:t xml:space="preserve">rofile – A </w:t>
            </w:r>
            <w:r w:rsidR="005A2D61">
              <w:rPr>
                <w:rFonts w:cs="Arial"/>
                <w:color w:val="000000"/>
                <w:szCs w:val="20"/>
              </w:rPr>
              <w:t>m</w:t>
            </w:r>
            <w:r>
              <w:rPr>
                <w:rFonts w:cs="Arial"/>
                <w:color w:val="000000"/>
                <w:szCs w:val="20"/>
              </w:rPr>
              <w:t xml:space="preserve">oment in </w:t>
            </w:r>
            <w:r w:rsidR="005A2D61">
              <w:rPr>
                <w:rFonts w:cs="Arial"/>
                <w:color w:val="000000"/>
                <w:szCs w:val="20"/>
              </w:rPr>
              <w:t>t</w:t>
            </w:r>
            <w:r>
              <w:rPr>
                <w:rFonts w:cs="Arial"/>
                <w:color w:val="000000"/>
                <w:szCs w:val="20"/>
              </w:rPr>
              <w:t>ime</w:t>
            </w:r>
          </w:p>
        </w:tc>
        <w:tc>
          <w:tcPr>
            <w:tcW w:w="850" w:type="dxa"/>
            <w:noWrap/>
            <w:vAlign w:val="bottom"/>
          </w:tcPr>
          <w:p w14:paraId="247BDD96" w14:textId="786FFCF6" w:rsidR="009C3592" w:rsidRPr="008E7494" w:rsidRDefault="009C3592" w:rsidP="00047560">
            <w:pPr>
              <w:jc w:val="right"/>
              <w:rPr>
                <w:rFonts w:cs="Arial"/>
                <w:color w:val="000000"/>
                <w:szCs w:val="20"/>
              </w:rPr>
            </w:pPr>
            <w:r>
              <w:rPr>
                <w:rFonts w:cs="Arial"/>
                <w:color w:val="000000"/>
                <w:szCs w:val="20"/>
              </w:rPr>
              <w:t>33</w:t>
            </w:r>
          </w:p>
        </w:tc>
      </w:tr>
      <w:tr w:rsidR="00BF706B" w:rsidRPr="008E7494" w14:paraId="556E73E3" w14:textId="77777777" w:rsidTr="00047560">
        <w:trPr>
          <w:trHeight w:val="300"/>
        </w:trPr>
        <w:tc>
          <w:tcPr>
            <w:tcW w:w="6678" w:type="dxa"/>
            <w:noWrap/>
            <w:vAlign w:val="bottom"/>
            <w:hideMark/>
          </w:tcPr>
          <w:p w14:paraId="2381DBD9" w14:textId="5423ACEE" w:rsidR="00BF706B" w:rsidRPr="008E7494" w:rsidRDefault="00BF706B" w:rsidP="00047560">
            <w:pPr>
              <w:rPr>
                <w:rFonts w:cs="Arial"/>
                <w:color w:val="000000"/>
                <w:szCs w:val="20"/>
              </w:rPr>
            </w:pPr>
            <w:r w:rsidRPr="008E7494">
              <w:rPr>
                <w:rFonts w:cs="Arial"/>
                <w:color w:val="000000"/>
                <w:szCs w:val="20"/>
              </w:rPr>
              <w:t xml:space="preserve">Local Commissioners’ </w:t>
            </w:r>
            <w:r w:rsidR="005A2D61">
              <w:rPr>
                <w:rFonts w:cs="Arial"/>
                <w:color w:val="000000"/>
                <w:szCs w:val="20"/>
              </w:rPr>
              <w:t>y</w:t>
            </w:r>
            <w:r w:rsidRPr="008E7494">
              <w:rPr>
                <w:rFonts w:cs="Arial"/>
                <w:color w:val="000000"/>
                <w:szCs w:val="20"/>
              </w:rPr>
              <w:t xml:space="preserve">ear in </w:t>
            </w:r>
            <w:r w:rsidR="005A2D61">
              <w:rPr>
                <w:rFonts w:cs="Arial"/>
                <w:color w:val="000000"/>
                <w:szCs w:val="20"/>
              </w:rPr>
              <w:t>r</w:t>
            </w:r>
            <w:r w:rsidRPr="008E7494">
              <w:rPr>
                <w:rFonts w:cs="Arial"/>
                <w:color w:val="000000"/>
                <w:szCs w:val="20"/>
              </w:rPr>
              <w:t xml:space="preserve">eview – </w:t>
            </w:r>
            <w:r>
              <w:rPr>
                <w:rFonts w:cs="Arial"/>
                <w:color w:val="000000"/>
                <w:szCs w:val="20"/>
              </w:rPr>
              <w:t>Aurukun</w:t>
            </w:r>
          </w:p>
        </w:tc>
        <w:tc>
          <w:tcPr>
            <w:tcW w:w="850" w:type="dxa"/>
            <w:noWrap/>
            <w:vAlign w:val="bottom"/>
            <w:hideMark/>
          </w:tcPr>
          <w:p w14:paraId="47DBC702" w14:textId="77777777" w:rsidR="00BF706B" w:rsidRPr="008E7494" w:rsidRDefault="00BF706B" w:rsidP="00047560">
            <w:pPr>
              <w:jc w:val="right"/>
              <w:rPr>
                <w:rFonts w:cs="Arial"/>
                <w:color w:val="000000"/>
                <w:szCs w:val="20"/>
              </w:rPr>
            </w:pPr>
            <w:r>
              <w:rPr>
                <w:rFonts w:cs="Arial"/>
                <w:color w:val="000000"/>
                <w:szCs w:val="20"/>
              </w:rPr>
              <w:t>34</w:t>
            </w:r>
          </w:p>
        </w:tc>
      </w:tr>
      <w:tr w:rsidR="00BF706B" w:rsidRPr="008E7494" w14:paraId="16CF71B9" w14:textId="77777777" w:rsidTr="00047560">
        <w:trPr>
          <w:trHeight w:val="300"/>
        </w:trPr>
        <w:tc>
          <w:tcPr>
            <w:tcW w:w="6678" w:type="dxa"/>
            <w:noWrap/>
            <w:vAlign w:val="bottom"/>
          </w:tcPr>
          <w:p w14:paraId="0960B558" w14:textId="7C819235" w:rsidR="00BF706B" w:rsidRPr="008E7494" w:rsidRDefault="00BF706B" w:rsidP="00047560">
            <w:pPr>
              <w:rPr>
                <w:rFonts w:cs="Arial"/>
                <w:color w:val="000000"/>
                <w:szCs w:val="20"/>
              </w:rPr>
            </w:pPr>
            <w:r w:rsidRPr="008E7494">
              <w:rPr>
                <w:rFonts w:cs="Arial"/>
                <w:color w:val="000000"/>
                <w:szCs w:val="20"/>
              </w:rPr>
              <w:t xml:space="preserve">Local Commissioners’ </w:t>
            </w:r>
            <w:r w:rsidR="005A2D61">
              <w:rPr>
                <w:rFonts w:cs="Arial"/>
                <w:color w:val="000000"/>
                <w:szCs w:val="20"/>
              </w:rPr>
              <w:t>y</w:t>
            </w:r>
            <w:r w:rsidRPr="008E7494">
              <w:rPr>
                <w:rFonts w:cs="Arial"/>
                <w:color w:val="000000"/>
                <w:szCs w:val="20"/>
              </w:rPr>
              <w:t xml:space="preserve">ear in </w:t>
            </w:r>
            <w:r w:rsidR="005A2D61">
              <w:rPr>
                <w:rFonts w:cs="Arial"/>
                <w:color w:val="000000"/>
                <w:szCs w:val="20"/>
              </w:rPr>
              <w:t>r</w:t>
            </w:r>
            <w:r w:rsidRPr="008E7494">
              <w:rPr>
                <w:rFonts w:cs="Arial"/>
                <w:color w:val="000000"/>
                <w:szCs w:val="20"/>
              </w:rPr>
              <w:t>eview – Coen</w:t>
            </w:r>
          </w:p>
        </w:tc>
        <w:tc>
          <w:tcPr>
            <w:tcW w:w="850" w:type="dxa"/>
            <w:noWrap/>
            <w:vAlign w:val="bottom"/>
          </w:tcPr>
          <w:p w14:paraId="5E199755" w14:textId="77777777" w:rsidR="00BF706B" w:rsidRDefault="00BF706B" w:rsidP="00047560">
            <w:pPr>
              <w:jc w:val="right"/>
              <w:rPr>
                <w:rFonts w:cs="Arial"/>
                <w:color w:val="000000"/>
                <w:szCs w:val="20"/>
              </w:rPr>
            </w:pPr>
            <w:r>
              <w:rPr>
                <w:rFonts w:cs="Arial"/>
                <w:color w:val="000000"/>
                <w:szCs w:val="20"/>
              </w:rPr>
              <w:t>36</w:t>
            </w:r>
          </w:p>
        </w:tc>
      </w:tr>
      <w:tr w:rsidR="00BF706B" w:rsidRPr="008E7494" w14:paraId="33BA3432" w14:textId="77777777" w:rsidTr="00047560">
        <w:trPr>
          <w:trHeight w:val="300"/>
        </w:trPr>
        <w:tc>
          <w:tcPr>
            <w:tcW w:w="6678" w:type="dxa"/>
            <w:noWrap/>
            <w:vAlign w:val="bottom"/>
            <w:hideMark/>
          </w:tcPr>
          <w:p w14:paraId="2F4A7184" w14:textId="67C31547" w:rsidR="00BF706B" w:rsidRPr="008E7494" w:rsidRDefault="00BF706B" w:rsidP="00047560">
            <w:pPr>
              <w:rPr>
                <w:rFonts w:cs="Arial"/>
                <w:color w:val="000000"/>
                <w:szCs w:val="20"/>
              </w:rPr>
            </w:pPr>
            <w:r w:rsidRPr="008E7494">
              <w:rPr>
                <w:rFonts w:cs="Arial"/>
                <w:color w:val="000000"/>
                <w:szCs w:val="20"/>
              </w:rPr>
              <w:t xml:space="preserve">Local Commissioners’ </w:t>
            </w:r>
            <w:r w:rsidR="005A2D61">
              <w:rPr>
                <w:rFonts w:cs="Arial"/>
                <w:color w:val="000000"/>
                <w:szCs w:val="20"/>
              </w:rPr>
              <w:t>y</w:t>
            </w:r>
            <w:r w:rsidRPr="008E7494">
              <w:rPr>
                <w:rFonts w:cs="Arial"/>
                <w:color w:val="000000"/>
                <w:szCs w:val="20"/>
              </w:rPr>
              <w:t xml:space="preserve">ear in </w:t>
            </w:r>
            <w:r w:rsidR="005A2D61">
              <w:rPr>
                <w:rFonts w:cs="Arial"/>
                <w:color w:val="000000"/>
                <w:szCs w:val="20"/>
              </w:rPr>
              <w:t>r</w:t>
            </w:r>
            <w:r w:rsidRPr="008E7494">
              <w:rPr>
                <w:rFonts w:cs="Arial"/>
                <w:color w:val="000000"/>
                <w:szCs w:val="20"/>
              </w:rPr>
              <w:t>eview – Hope Vale</w:t>
            </w:r>
          </w:p>
        </w:tc>
        <w:tc>
          <w:tcPr>
            <w:tcW w:w="850" w:type="dxa"/>
            <w:noWrap/>
            <w:vAlign w:val="bottom"/>
            <w:hideMark/>
          </w:tcPr>
          <w:p w14:paraId="55F1AE57" w14:textId="77777777" w:rsidR="00BF706B" w:rsidRPr="008E7494" w:rsidRDefault="00BF706B" w:rsidP="00047560">
            <w:pPr>
              <w:jc w:val="right"/>
              <w:rPr>
                <w:rFonts w:cs="Arial"/>
                <w:color w:val="000000"/>
                <w:szCs w:val="20"/>
              </w:rPr>
            </w:pPr>
            <w:r>
              <w:rPr>
                <w:rFonts w:cs="Arial"/>
                <w:color w:val="000000"/>
                <w:szCs w:val="20"/>
              </w:rPr>
              <w:t>38</w:t>
            </w:r>
          </w:p>
        </w:tc>
      </w:tr>
      <w:tr w:rsidR="00BF706B" w:rsidRPr="008E7494" w14:paraId="2712A337" w14:textId="77777777" w:rsidTr="00047560">
        <w:trPr>
          <w:trHeight w:val="300"/>
        </w:trPr>
        <w:tc>
          <w:tcPr>
            <w:tcW w:w="6678" w:type="dxa"/>
            <w:noWrap/>
            <w:vAlign w:val="bottom"/>
            <w:hideMark/>
          </w:tcPr>
          <w:p w14:paraId="09712DEC" w14:textId="1CEFF019" w:rsidR="00BF706B" w:rsidRPr="008E7494" w:rsidRDefault="00BF706B" w:rsidP="00047560">
            <w:pPr>
              <w:rPr>
                <w:rFonts w:cs="Arial"/>
                <w:color w:val="000000"/>
                <w:szCs w:val="20"/>
              </w:rPr>
            </w:pPr>
            <w:r w:rsidRPr="008E7494">
              <w:rPr>
                <w:rFonts w:cs="Arial"/>
                <w:color w:val="000000"/>
                <w:szCs w:val="20"/>
              </w:rPr>
              <w:t xml:space="preserve">Local Commissioners’ </w:t>
            </w:r>
            <w:r w:rsidR="005A2D61">
              <w:rPr>
                <w:rFonts w:cs="Arial"/>
                <w:color w:val="000000"/>
                <w:szCs w:val="20"/>
              </w:rPr>
              <w:t>y</w:t>
            </w:r>
            <w:r w:rsidRPr="008E7494">
              <w:rPr>
                <w:rFonts w:cs="Arial"/>
                <w:color w:val="000000"/>
                <w:szCs w:val="20"/>
              </w:rPr>
              <w:t xml:space="preserve">ear in </w:t>
            </w:r>
            <w:r w:rsidR="005A2D61">
              <w:rPr>
                <w:rFonts w:cs="Arial"/>
                <w:color w:val="000000"/>
                <w:szCs w:val="20"/>
              </w:rPr>
              <w:t>r</w:t>
            </w:r>
            <w:r w:rsidRPr="008E7494">
              <w:rPr>
                <w:rFonts w:cs="Arial"/>
                <w:color w:val="000000"/>
                <w:szCs w:val="20"/>
              </w:rPr>
              <w:t>eview – Mossman Gorge</w:t>
            </w:r>
          </w:p>
        </w:tc>
        <w:tc>
          <w:tcPr>
            <w:tcW w:w="850" w:type="dxa"/>
            <w:noWrap/>
            <w:vAlign w:val="bottom"/>
            <w:hideMark/>
          </w:tcPr>
          <w:p w14:paraId="55FB5C59" w14:textId="77777777" w:rsidR="00BF706B" w:rsidRPr="008E7494" w:rsidRDefault="00BF706B" w:rsidP="00047560">
            <w:pPr>
              <w:jc w:val="right"/>
              <w:rPr>
                <w:rFonts w:cs="Arial"/>
                <w:color w:val="000000"/>
                <w:szCs w:val="20"/>
              </w:rPr>
            </w:pPr>
            <w:r>
              <w:rPr>
                <w:rFonts w:cs="Arial"/>
                <w:color w:val="000000"/>
                <w:szCs w:val="20"/>
              </w:rPr>
              <w:t>40</w:t>
            </w:r>
          </w:p>
        </w:tc>
      </w:tr>
      <w:tr w:rsidR="00BF706B" w:rsidRPr="008E7494" w14:paraId="21D61B86" w14:textId="77777777" w:rsidTr="00047560">
        <w:trPr>
          <w:trHeight w:val="300"/>
        </w:trPr>
        <w:tc>
          <w:tcPr>
            <w:tcW w:w="6678" w:type="dxa"/>
            <w:noWrap/>
            <w:vAlign w:val="bottom"/>
            <w:hideMark/>
          </w:tcPr>
          <w:p w14:paraId="110C4981" w14:textId="500ADD8F" w:rsidR="00BF706B" w:rsidRPr="008E7494" w:rsidRDefault="00BF706B" w:rsidP="00047560">
            <w:pPr>
              <w:rPr>
                <w:rFonts w:cs="Arial"/>
                <w:color w:val="000000"/>
                <w:szCs w:val="20"/>
              </w:rPr>
            </w:pPr>
            <w:r w:rsidRPr="008E7494">
              <w:rPr>
                <w:rFonts w:cs="Arial"/>
                <w:color w:val="000000"/>
                <w:szCs w:val="20"/>
              </w:rPr>
              <w:t xml:space="preserve">Local Commissioners’ </w:t>
            </w:r>
            <w:r w:rsidR="005A2D61">
              <w:rPr>
                <w:rFonts w:cs="Arial"/>
                <w:color w:val="000000"/>
                <w:szCs w:val="20"/>
              </w:rPr>
              <w:t>y</w:t>
            </w:r>
            <w:r w:rsidRPr="008E7494">
              <w:rPr>
                <w:rFonts w:cs="Arial"/>
                <w:color w:val="000000"/>
                <w:szCs w:val="20"/>
              </w:rPr>
              <w:t xml:space="preserve">ear in </w:t>
            </w:r>
            <w:r w:rsidR="005A2D61">
              <w:rPr>
                <w:rFonts w:cs="Arial"/>
                <w:color w:val="000000"/>
                <w:szCs w:val="20"/>
              </w:rPr>
              <w:t>r</w:t>
            </w:r>
            <w:r w:rsidRPr="008E7494">
              <w:rPr>
                <w:rFonts w:cs="Arial"/>
                <w:color w:val="000000"/>
                <w:szCs w:val="20"/>
              </w:rPr>
              <w:t xml:space="preserve">eview – </w:t>
            </w:r>
            <w:r>
              <w:rPr>
                <w:rFonts w:cs="Arial"/>
                <w:color w:val="000000"/>
                <w:szCs w:val="20"/>
              </w:rPr>
              <w:t>Doomadgee</w:t>
            </w:r>
          </w:p>
        </w:tc>
        <w:tc>
          <w:tcPr>
            <w:tcW w:w="850" w:type="dxa"/>
            <w:noWrap/>
            <w:vAlign w:val="bottom"/>
            <w:hideMark/>
          </w:tcPr>
          <w:p w14:paraId="1F6C8925" w14:textId="77777777" w:rsidR="00BF706B" w:rsidRPr="008E7494" w:rsidRDefault="00BF706B" w:rsidP="00047560">
            <w:pPr>
              <w:jc w:val="right"/>
              <w:rPr>
                <w:rFonts w:cs="Arial"/>
                <w:color w:val="000000"/>
                <w:szCs w:val="20"/>
              </w:rPr>
            </w:pPr>
            <w:r>
              <w:rPr>
                <w:rFonts w:cs="Arial"/>
                <w:color w:val="000000"/>
                <w:szCs w:val="20"/>
              </w:rPr>
              <w:t>42</w:t>
            </w:r>
          </w:p>
        </w:tc>
      </w:tr>
      <w:tr w:rsidR="00BF706B" w:rsidRPr="008E7494" w14:paraId="00029711" w14:textId="77777777" w:rsidTr="00047560">
        <w:trPr>
          <w:trHeight w:val="300"/>
        </w:trPr>
        <w:tc>
          <w:tcPr>
            <w:tcW w:w="6678" w:type="dxa"/>
            <w:noWrap/>
            <w:vAlign w:val="bottom"/>
          </w:tcPr>
          <w:p w14:paraId="2DEA974F" w14:textId="77777777" w:rsidR="00BF706B" w:rsidRPr="008E7494" w:rsidRDefault="00BF706B" w:rsidP="00047560">
            <w:pPr>
              <w:rPr>
                <w:rFonts w:cs="Arial"/>
                <w:color w:val="000000"/>
                <w:szCs w:val="20"/>
              </w:rPr>
            </w:pPr>
            <w:r>
              <w:rPr>
                <w:rFonts w:cs="Arial"/>
                <w:color w:val="000000"/>
                <w:szCs w:val="20"/>
              </w:rPr>
              <w:t>Deputy Commissioner</w:t>
            </w:r>
          </w:p>
        </w:tc>
        <w:tc>
          <w:tcPr>
            <w:tcW w:w="850" w:type="dxa"/>
            <w:noWrap/>
            <w:vAlign w:val="bottom"/>
          </w:tcPr>
          <w:p w14:paraId="1BBB6AF2" w14:textId="77777777" w:rsidR="00BF706B" w:rsidRDefault="00BF706B" w:rsidP="00047560">
            <w:pPr>
              <w:jc w:val="right"/>
              <w:rPr>
                <w:rFonts w:cs="Arial"/>
                <w:color w:val="000000"/>
                <w:szCs w:val="20"/>
              </w:rPr>
            </w:pPr>
            <w:r>
              <w:rPr>
                <w:rFonts w:cs="Arial"/>
                <w:color w:val="000000"/>
                <w:szCs w:val="20"/>
              </w:rPr>
              <w:t>45</w:t>
            </w:r>
          </w:p>
        </w:tc>
      </w:tr>
      <w:tr w:rsidR="00BF706B" w:rsidRPr="008E7494" w14:paraId="1C87D8B7" w14:textId="77777777" w:rsidTr="00047560">
        <w:trPr>
          <w:trHeight w:val="300"/>
        </w:trPr>
        <w:tc>
          <w:tcPr>
            <w:tcW w:w="6678" w:type="dxa"/>
            <w:noWrap/>
            <w:vAlign w:val="bottom"/>
            <w:hideMark/>
          </w:tcPr>
          <w:p w14:paraId="7E6A0FC9" w14:textId="4BFF1C65" w:rsidR="00BF706B" w:rsidRPr="008E7494" w:rsidRDefault="00BF706B" w:rsidP="00047560">
            <w:pPr>
              <w:rPr>
                <w:rFonts w:cs="Arial"/>
                <w:color w:val="000000"/>
                <w:szCs w:val="20"/>
              </w:rPr>
            </w:pPr>
            <w:r w:rsidRPr="008E7494">
              <w:rPr>
                <w:rFonts w:cs="Arial"/>
                <w:color w:val="000000"/>
                <w:szCs w:val="20"/>
              </w:rPr>
              <w:t>Registrar</w:t>
            </w:r>
            <w:r>
              <w:rPr>
                <w:rFonts w:cs="Arial"/>
                <w:color w:val="000000"/>
                <w:szCs w:val="20"/>
              </w:rPr>
              <w:t>’</w:t>
            </w:r>
            <w:r w:rsidRPr="008E7494">
              <w:rPr>
                <w:rFonts w:cs="Arial"/>
                <w:color w:val="000000"/>
                <w:szCs w:val="20"/>
              </w:rPr>
              <w:t xml:space="preserve">s </w:t>
            </w:r>
            <w:r w:rsidR="005A2D61">
              <w:rPr>
                <w:rFonts w:cs="Arial"/>
                <w:color w:val="000000"/>
                <w:szCs w:val="20"/>
              </w:rPr>
              <w:t>y</w:t>
            </w:r>
            <w:r w:rsidRPr="008E7494">
              <w:rPr>
                <w:rFonts w:cs="Arial"/>
                <w:color w:val="000000"/>
                <w:szCs w:val="20"/>
              </w:rPr>
              <w:t xml:space="preserve">ear in </w:t>
            </w:r>
            <w:r w:rsidR="005A2D61">
              <w:rPr>
                <w:rFonts w:cs="Arial"/>
                <w:color w:val="000000"/>
                <w:szCs w:val="20"/>
              </w:rPr>
              <w:t>r</w:t>
            </w:r>
            <w:r w:rsidRPr="008E7494">
              <w:rPr>
                <w:rFonts w:cs="Arial"/>
                <w:color w:val="000000"/>
                <w:szCs w:val="20"/>
              </w:rPr>
              <w:t>eview</w:t>
            </w:r>
          </w:p>
        </w:tc>
        <w:tc>
          <w:tcPr>
            <w:tcW w:w="850" w:type="dxa"/>
            <w:noWrap/>
            <w:vAlign w:val="bottom"/>
            <w:hideMark/>
          </w:tcPr>
          <w:p w14:paraId="45EC7D18" w14:textId="77777777" w:rsidR="00BF706B" w:rsidRPr="008E7494" w:rsidRDefault="00BF706B" w:rsidP="00047560">
            <w:pPr>
              <w:jc w:val="right"/>
              <w:rPr>
                <w:rFonts w:cs="Arial"/>
                <w:color w:val="000000"/>
                <w:szCs w:val="20"/>
              </w:rPr>
            </w:pPr>
            <w:r>
              <w:rPr>
                <w:rFonts w:cs="Arial"/>
                <w:color w:val="000000"/>
                <w:szCs w:val="20"/>
              </w:rPr>
              <w:t>46</w:t>
            </w:r>
          </w:p>
        </w:tc>
      </w:tr>
      <w:tr w:rsidR="00BF706B" w:rsidRPr="008E7494" w14:paraId="35E555B0" w14:textId="77777777" w:rsidTr="00047560">
        <w:trPr>
          <w:trHeight w:val="300"/>
        </w:trPr>
        <w:tc>
          <w:tcPr>
            <w:tcW w:w="6678" w:type="dxa"/>
            <w:noWrap/>
            <w:vAlign w:val="bottom"/>
            <w:hideMark/>
          </w:tcPr>
          <w:p w14:paraId="2291938A" w14:textId="77777777" w:rsidR="00BF706B" w:rsidRPr="008E7494" w:rsidRDefault="00BF706B" w:rsidP="00047560">
            <w:pPr>
              <w:rPr>
                <w:rFonts w:cs="Arial"/>
                <w:color w:val="000000"/>
                <w:szCs w:val="20"/>
              </w:rPr>
            </w:pPr>
            <w:r w:rsidRPr="008E7494">
              <w:rPr>
                <w:rFonts w:cs="Arial"/>
                <w:color w:val="000000"/>
                <w:szCs w:val="20"/>
              </w:rPr>
              <w:t>Local Commissioner Development Week</w:t>
            </w:r>
          </w:p>
        </w:tc>
        <w:tc>
          <w:tcPr>
            <w:tcW w:w="850" w:type="dxa"/>
            <w:noWrap/>
            <w:vAlign w:val="bottom"/>
            <w:hideMark/>
          </w:tcPr>
          <w:p w14:paraId="45D5CB4E" w14:textId="77777777" w:rsidR="00BF706B" w:rsidRPr="008E7494" w:rsidRDefault="00BF706B" w:rsidP="00047560">
            <w:pPr>
              <w:jc w:val="right"/>
              <w:rPr>
                <w:rFonts w:cs="Arial"/>
                <w:color w:val="000000"/>
                <w:szCs w:val="20"/>
              </w:rPr>
            </w:pPr>
            <w:r w:rsidRPr="008E7494">
              <w:rPr>
                <w:rFonts w:cs="Arial"/>
                <w:color w:val="000000"/>
                <w:szCs w:val="20"/>
              </w:rPr>
              <w:t>5</w:t>
            </w:r>
            <w:r>
              <w:rPr>
                <w:rFonts w:cs="Arial"/>
                <w:color w:val="000000"/>
                <w:szCs w:val="20"/>
              </w:rPr>
              <w:t>0</w:t>
            </w:r>
          </w:p>
        </w:tc>
      </w:tr>
      <w:tr w:rsidR="00BF706B" w:rsidRPr="008E7494" w14:paraId="17B22358" w14:textId="77777777" w:rsidTr="00047560">
        <w:trPr>
          <w:trHeight w:val="300"/>
        </w:trPr>
        <w:tc>
          <w:tcPr>
            <w:tcW w:w="6678" w:type="dxa"/>
            <w:noWrap/>
            <w:vAlign w:val="bottom"/>
            <w:hideMark/>
          </w:tcPr>
          <w:p w14:paraId="3A151F6C" w14:textId="6522F9BA" w:rsidR="00BF706B" w:rsidRPr="008E7494" w:rsidRDefault="00BF706B" w:rsidP="00047560">
            <w:pPr>
              <w:rPr>
                <w:rFonts w:cs="Arial"/>
                <w:color w:val="000000"/>
                <w:szCs w:val="20"/>
              </w:rPr>
            </w:pPr>
            <w:r w:rsidRPr="008E7494">
              <w:rPr>
                <w:rFonts w:cs="Arial"/>
                <w:color w:val="000000"/>
                <w:szCs w:val="20"/>
              </w:rPr>
              <w:t xml:space="preserve">Our </w:t>
            </w:r>
            <w:r w:rsidR="007C08F1">
              <w:rPr>
                <w:rFonts w:cs="Arial"/>
                <w:color w:val="000000"/>
                <w:szCs w:val="20"/>
              </w:rPr>
              <w:t>p</w:t>
            </w:r>
            <w:r w:rsidRPr="008E7494">
              <w:rPr>
                <w:rFonts w:cs="Arial"/>
                <w:color w:val="000000"/>
                <w:szCs w:val="20"/>
              </w:rPr>
              <w:t xml:space="preserve">erformance – </w:t>
            </w:r>
            <w:r w:rsidR="007C08F1">
              <w:rPr>
                <w:rFonts w:cs="Arial"/>
                <w:color w:val="000000"/>
                <w:szCs w:val="20"/>
              </w:rPr>
              <w:t>r</w:t>
            </w:r>
            <w:r w:rsidRPr="008E7494">
              <w:rPr>
                <w:rFonts w:cs="Arial"/>
                <w:color w:val="000000"/>
                <w:szCs w:val="20"/>
              </w:rPr>
              <w:t xml:space="preserve">eview of </w:t>
            </w:r>
            <w:r w:rsidR="007C08F1">
              <w:rPr>
                <w:rFonts w:cs="Arial"/>
                <w:color w:val="000000"/>
                <w:szCs w:val="20"/>
              </w:rPr>
              <w:t>o</w:t>
            </w:r>
            <w:r w:rsidRPr="008E7494">
              <w:rPr>
                <w:rFonts w:cs="Arial"/>
                <w:color w:val="000000"/>
                <w:szCs w:val="20"/>
              </w:rPr>
              <w:t>perations</w:t>
            </w:r>
          </w:p>
        </w:tc>
        <w:tc>
          <w:tcPr>
            <w:tcW w:w="850" w:type="dxa"/>
            <w:noWrap/>
            <w:vAlign w:val="bottom"/>
            <w:hideMark/>
          </w:tcPr>
          <w:p w14:paraId="57634DF2" w14:textId="77777777" w:rsidR="00BF706B" w:rsidRPr="008E7494" w:rsidRDefault="00BF706B" w:rsidP="00047560">
            <w:pPr>
              <w:jc w:val="right"/>
              <w:rPr>
                <w:rFonts w:cs="Arial"/>
                <w:color w:val="000000"/>
                <w:szCs w:val="20"/>
              </w:rPr>
            </w:pPr>
            <w:r w:rsidRPr="008E7494">
              <w:rPr>
                <w:rFonts w:cs="Arial"/>
                <w:color w:val="000000"/>
                <w:szCs w:val="20"/>
              </w:rPr>
              <w:t>5</w:t>
            </w:r>
            <w:r>
              <w:rPr>
                <w:rFonts w:cs="Arial"/>
                <w:color w:val="000000"/>
                <w:szCs w:val="20"/>
              </w:rPr>
              <w:t>2</w:t>
            </w:r>
          </w:p>
        </w:tc>
      </w:tr>
      <w:tr w:rsidR="009C3592" w:rsidRPr="008E7494" w14:paraId="58B2A7C3" w14:textId="77777777" w:rsidTr="00047560">
        <w:trPr>
          <w:trHeight w:val="300"/>
        </w:trPr>
        <w:tc>
          <w:tcPr>
            <w:tcW w:w="6678" w:type="dxa"/>
            <w:noWrap/>
            <w:vAlign w:val="bottom"/>
          </w:tcPr>
          <w:p w14:paraId="24ED0124" w14:textId="07297DF4" w:rsidR="009C3592" w:rsidRPr="008E7494" w:rsidRDefault="009C3592" w:rsidP="00047560">
            <w:pPr>
              <w:rPr>
                <w:rFonts w:cs="Arial"/>
                <w:color w:val="000000"/>
                <w:szCs w:val="20"/>
              </w:rPr>
            </w:pPr>
            <w:r>
              <w:rPr>
                <w:rFonts w:cs="Arial"/>
                <w:color w:val="000000"/>
                <w:szCs w:val="20"/>
              </w:rPr>
              <w:t xml:space="preserve">Income </w:t>
            </w:r>
            <w:r w:rsidR="007C08F1">
              <w:rPr>
                <w:rFonts w:cs="Arial"/>
                <w:color w:val="000000"/>
                <w:szCs w:val="20"/>
              </w:rPr>
              <w:t>m</w:t>
            </w:r>
            <w:r>
              <w:rPr>
                <w:rFonts w:cs="Arial"/>
                <w:color w:val="000000"/>
                <w:szCs w:val="20"/>
              </w:rPr>
              <w:t xml:space="preserve">anagement </w:t>
            </w:r>
            <w:r w:rsidR="007C08F1">
              <w:rPr>
                <w:rFonts w:cs="Arial"/>
                <w:color w:val="000000"/>
                <w:szCs w:val="20"/>
              </w:rPr>
              <w:t>m</w:t>
            </w:r>
            <w:r>
              <w:rPr>
                <w:rFonts w:cs="Arial"/>
                <w:color w:val="000000"/>
                <w:szCs w:val="20"/>
              </w:rPr>
              <w:t>odels</w:t>
            </w:r>
          </w:p>
        </w:tc>
        <w:tc>
          <w:tcPr>
            <w:tcW w:w="850" w:type="dxa"/>
            <w:noWrap/>
            <w:vAlign w:val="bottom"/>
          </w:tcPr>
          <w:p w14:paraId="33518045" w14:textId="129D0B6C" w:rsidR="009C3592" w:rsidRPr="008E7494" w:rsidRDefault="009C3592" w:rsidP="00047560">
            <w:pPr>
              <w:jc w:val="right"/>
              <w:rPr>
                <w:rFonts w:cs="Arial"/>
                <w:color w:val="000000"/>
                <w:szCs w:val="20"/>
              </w:rPr>
            </w:pPr>
            <w:r>
              <w:rPr>
                <w:rFonts w:cs="Arial"/>
                <w:color w:val="000000"/>
                <w:szCs w:val="20"/>
              </w:rPr>
              <w:t>64</w:t>
            </w:r>
          </w:p>
        </w:tc>
      </w:tr>
      <w:tr w:rsidR="00BF706B" w:rsidRPr="008E7494" w14:paraId="6596176F" w14:textId="77777777" w:rsidTr="00047560">
        <w:trPr>
          <w:trHeight w:val="300"/>
        </w:trPr>
        <w:tc>
          <w:tcPr>
            <w:tcW w:w="6678" w:type="dxa"/>
            <w:noWrap/>
            <w:vAlign w:val="bottom"/>
            <w:hideMark/>
          </w:tcPr>
          <w:p w14:paraId="2802A60F" w14:textId="5DD1BBE0" w:rsidR="00BF706B" w:rsidRPr="008E7494" w:rsidRDefault="00BF706B" w:rsidP="00047560">
            <w:pPr>
              <w:rPr>
                <w:rFonts w:cs="Arial"/>
                <w:color w:val="000000"/>
                <w:szCs w:val="20"/>
              </w:rPr>
            </w:pPr>
            <w:r w:rsidRPr="008E7494">
              <w:rPr>
                <w:rFonts w:cs="Arial"/>
                <w:color w:val="000000"/>
                <w:szCs w:val="20"/>
              </w:rPr>
              <w:t xml:space="preserve">Challenges and </w:t>
            </w:r>
            <w:r w:rsidR="007C08F1">
              <w:rPr>
                <w:rFonts w:cs="Arial"/>
                <w:color w:val="000000"/>
                <w:szCs w:val="20"/>
              </w:rPr>
              <w:t>o</w:t>
            </w:r>
            <w:r w:rsidRPr="008E7494">
              <w:rPr>
                <w:rFonts w:cs="Arial"/>
                <w:color w:val="000000"/>
                <w:szCs w:val="20"/>
              </w:rPr>
              <w:t>utlook</w:t>
            </w:r>
          </w:p>
        </w:tc>
        <w:tc>
          <w:tcPr>
            <w:tcW w:w="850" w:type="dxa"/>
            <w:noWrap/>
            <w:vAlign w:val="bottom"/>
            <w:hideMark/>
          </w:tcPr>
          <w:p w14:paraId="08A9650B" w14:textId="7B5EC259" w:rsidR="00BF706B" w:rsidRPr="008E7494" w:rsidRDefault="00BF706B" w:rsidP="00047560">
            <w:pPr>
              <w:jc w:val="right"/>
              <w:rPr>
                <w:rFonts w:cs="Arial"/>
                <w:color w:val="000000"/>
                <w:szCs w:val="20"/>
              </w:rPr>
            </w:pPr>
            <w:r>
              <w:rPr>
                <w:rFonts w:cs="Arial"/>
                <w:color w:val="000000"/>
                <w:szCs w:val="20"/>
              </w:rPr>
              <w:t>6</w:t>
            </w:r>
            <w:r w:rsidR="009C3592">
              <w:rPr>
                <w:rFonts w:cs="Arial"/>
                <w:color w:val="000000"/>
                <w:szCs w:val="20"/>
              </w:rPr>
              <w:t>7</w:t>
            </w:r>
          </w:p>
        </w:tc>
      </w:tr>
      <w:tr w:rsidR="00BF706B" w:rsidRPr="008E7494" w14:paraId="09DF38C9" w14:textId="77777777" w:rsidTr="00047560">
        <w:trPr>
          <w:trHeight w:val="300"/>
        </w:trPr>
        <w:tc>
          <w:tcPr>
            <w:tcW w:w="6678" w:type="dxa"/>
            <w:noWrap/>
            <w:vAlign w:val="bottom"/>
            <w:hideMark/>
          </w:tcPr>
          <w:p w14:paraId="4C5B1552" w14:textId="77777777" w:rsidR="00BF706B" w:rsidRPr="008E7494" w:rsidRDefault="00BF706B" w:rsidP="00047560">
            <w:pPr>
              <w:rPr>
                <w:rFonts w:cs="Arial"/>
                <w:color w:val="000000"/>
                <w:szCs w:val="20"/>
              </w:rPr>
            </w:pPr>
            <w:r w:rsidRPr="008E7494">
              <w:rPr>
                <w:rFonts w:cs="Arial"/>
                <w:color w:val="000000"/>
                <w:szCs w:val="20"/>
              </w:rPr>
              <w:t>Governance</w:t>
            </w:r>
          </w:p>
        </w:tc>
        <w:tc>
          <w:tcPr>
            <w:tcW w:w="850" w:type="dxa"/>
            <w:noWrap/>
            <w:vAlign w:val="bottom"/>
            <w:hideMark/>
          </w:tcPr>
          <w:p w14:paraId="5D4DB9D6" w14:textId="7D52C930" w:rsidR="00BF706B" w:rsidRPr="008E7494" w:rsidRDefault="009C3592" w:rsidP="00047560">
            <w:pPr>
              <w:jc w:val="right"/>
              <w:rPr>
                <w:rFonts w:cs="Arial"/>
                <w:color w:val="000000"/>
                <w:szCs w:val="20"/>
              </w:rPr>
            </w:pPr>
            <w:r>
              <w:rPr>
                <w:rFonts w:cs="Arial"/>
                <w:color w:val="000000"/>
                <w:szCs w:val="20"/>
              </w:rPr>
              <w:t>70</w:t>
            </w:r>
          </w:p>
        </w:tc>
      </w:tr>
      <w:tr w:rsidR="00957111" w:rsidRPr="008E7494" w14:paraId="605435AC" w14:textId="77777777" w:rsidTr="00047560">
        <w:trPr>
          <w:trHeight w:val="300"/>
        </w:trPr>
        <w:tc>
          <w:tcPr>
            <w:tcW w:w="6678" w:type="dxa"/>
            <w:noWrap/>
            <w:vAlign w:val="bottom"/>
          </w:tcPr>
          <w:p w14:paraId="17419579" w14:textId="67D61BE3" w:rsidR="00957111" w:rsidRPr="008E7494" w:rsidRDefault="00957111" w:rsidP="00047560">
            <w:pPr>
              <w:rPr>
                <w:rFonts w:cs="Arial"/>
                <w:color w:val="000000"/>
                <w:szCs w:val="20"/>
              </w:rPr>
            </w:pPr>
            <w:r>
              <w:rPr>
                <w:rFonts w:cs="Arial"/>
                <w:color w:val="000000"/>
                <w:szCs w:val="20"/>
              </w:rPr>
              <w:t xml:space="preserve">Client </w:t>
            </w:r>
            <w:r w:rsidR="007C08F1">
              <w:rPr>
                <w:rFonts w:cs="Arial"/>
                <w:color w:val="000000"/>
                <w:szCs w:val="20"/>
              </w:rPr>
              <w:t>p</w:t>
            </w:r>
            <w:r>
              <w:rPr>
                <w:rFonts w:cs="Arial"/>
                <w:color w:val="000000"/>
                <w:szCs w:val="20"/>
              </w:rPr>
              <w:t xml:space="preserve">rofile – My </w:t>
            </w:r>
            <w:r w:rsidR="007C08F1">
              <w:rPr>
                <w:rFonts w:cs="Arial"/>
                <w:color w:val="000000"/>
                <w:szCs w:val="20"/>
              </w:rPr>
              <w:t>s</w:t>
            </w:r>
            <w:r>
              <w:rPr>
                <w:rFonts w:cs="Arial"/>
                <w:color w:val="000000"/>
                <w:szCs w:val="20"/>
              </w:rPr>
              <w:t>tory</w:t>
            </w:r>
          </w:p>
        </w:tc>
        <w:tc>
          <w:tcPr>
            <w:tcW w:w="850" w:type="dxa"/>
            <w:noWrap/>
            <w:vAlign w:val="bottom"/>
          </w:tcPr>
          <w:p w14:paraId="4A0FEF18" w14:textId="5C66A621" w:rsidR="00957111" w:rsidRDefault="009C3592" w:rsidP="00047560">
            <w:pPr>
              <w:jc w:val="right"/>
              <w:rPr>
                <w:rFonts w:cs="Arial"/>
                <w:color w:val="000000"/>
                <w:szCs w:val="20"/>
              </w:rPr>
            </w:pPr>
            <w:r>
              <w:rPr>
                <w:rFonts w:cs="Arial"/>
                <w:color w:val="000000"/>
                <w:szCs w:val="20"/>
              </w:rPr>
              <w:t>81</w:t>
            </w:r>
          </w:p>
        </w:tc>
      </w:tr>
      <w:tr w:rsidR="00BF706B" w:rsidRPr="008E7494" w14:paraId="59157801" w14:textId="77777777" w:rsidTr="00047560">
        <w:trPr>
          <w:trHeight w:val="300"/>
        </w:trPr>
        <w:tc>
          <w:tcPr>
            <w:tcW w:w="6678" w:type="dxa"/>
            <w:noWrap/>
            <w:vAlign w:val="bottom"/>
            <w:hideMark/>
          </w:tcPr>
          <w:p w14:paraId="53923C07" w14:textId="1BF8C522" w:rsidR="00BF706B" w:rsidRPr="008E7494" w:rsidRDefault="00BF706B" w:rsidP="00047560">
            <w:pPr>
              <w:rPr>
                <w:rFonts w:cs="Arial"/>
                <w:color w:val="000000"/>
                <w:szCs w:val="20"/>
              </w:rPr>
            </w:pPr>
            <w:r w:rsidRPr="008E7494">
              <w:rPr>
                <w:rFonts w:cs="Arial"/>
                <w:color w:val="000000"/>
                <w:szCs w:val="20"/>
              </w:rPr>
              <w:t xml:space="preserve">Financial </w:t>
            </w:r>
            <w:r w:rsidR="007C08F1">
              <w:rPr>
                <w:rFonts w:cs="Arial"/>
                <w:color w:val="000000"/>
                <w:szCs w:val="20"/>
              </w:rPr>
              <w:t>s</w:t>
            </w:r>
            <w:r w:rsidRPr="008E7494">
              <w:rPr>
                <w:rFonts w:cs="Arial"/>
                <w:color w:val="000000"/>
                <w:szCs w:val="20"/>
              </w:rPr>
              <w:t>tatement</w:t>
            </w:r>
            <w:r w:rsidR="00EA3A08">
              <w:rPr>
                <w:rFonts w:cs="Arial"/>
                <w:color w:val="000000"/>
                <w:szCs w:val="20"/>
              </w:rPr>
              <w:t>s</w:t>
            </w:r>
          </w:p>
        </w:tc>
        <w:tc>
          <w:tcPr>
            <w:tcW w:w="850" w:type="dxa"/>
            <w:noWrap/>
            <w:vAlign w:val="bottom"/>
            <w:hideMark/>
          </w:tcPr>
          <w:p w14:paraId="2C15BD8C" w14:textId="69002DC2" w:rsidR="00BF706B" w:rsidRPr="008E7494" w:rsidRDefault="009C3592" w:rsidP="00047560">
            <w:pPr>
              <w:jc w:val="right"/>
              <w:rPr>
                <w:rFonts w:cs="Arial"/>
                <w:color w:val="000000"/>
                <w:szCs w:val="20"/>
              </w:rPr>
            </w:pPr>
            <w:r>
              <w:rPr>
                <w:rFonts w:cs="Arial"/>
                <w:color w:val="000000"/>
                <w:szCs w:val="20"/>
              </w:rPr>
              <w:t>82</w:t>
            </w:r>
          </w:p>
        </w:tc>
      </w:tr>
      <w:tr w:rsidR="00BF706B" w:rsidRPr="008E7494" w14:paraId="61ADB8AF" w14:textId="77777777" w:rsidTr="00047560">
        <w:trPr>
          <w:trHeight w:val="300"/>
        </w:trPr>
        <w:tc>
          <w:tcPr>
            <w:tcW w:w="6678" w:type="dxa"/>
            <w:noWrap/>
            <w:vAlign w:val="bottom"/>
            <w:hideMark/>
          </w:tcPr>
          <w:p w14:paraId="27A99788" w14:textId="77777777" w:rsidR="00BF706B" w:rsidRPr="008E7494" w:rsidRDefault="00BF706B" w:rsidP="00047560">
            <w:pPr>
              <w:rPr>
                <w:rFonts w:cs="Arial"/>
                <w:color w:val="000000"/>
                <w:szCs w:val="20"/>
              </w:rPr>
            </w:pPr>
            <w:r w:rsidRPr="008E7494">
              <w:rPr>
                <w:rFonts w:cs="Arial"/>
                <w:color w:val="000000"/>
                <w:szCs w:val="20"/>
              </w:rPr>
              <w:t>Appendices</w:t>
            </w:r>
          </w:p>
        </w:tc>
        <w:tc>
          <w:tcPr>
            <w:tcW w:w="850" w:type="dxa"/>
            <w:noWrap/>
            <w:vAlign w:val="bottom"/>
            <w:hideMark/>
          </w:tcPr>
          <w:p w14:paraId="3026F5BA" w14:textId="1C4C53CA" w:rsidR="00BF706B" w:rsidRPr="008E7494" w:rsidRDefault="00BF706B" w:rsidP="00047560">
            <w:pPr>
              <w:jc w:val="right"/>
              <w:rPr>
                <w:rFonts w:cs="Arial"/>
                <w:color w:val="000000"/>
                <w:szCs w:val="20"/>
              </w:rPr>
            </w:pPr>
            <w:r w:rsidRPr="008E7494">
              <w:rPr>
                <w:rFonts w:cs="Arial"/>
                <w:color w:val="000000"/>
                <w:szCs w:val="20"/>
              </w:rPr>
              <w:t>1</w:t>
            </w:r>
            <w:r>
              <w:rPr>
                <w:rFonts w:cs="Arial"/>
                <w:color w:val="000000"/>
                <w:szCs w:val="20"/>
              </w:rPr>
              <w:t>0</w:t>
            </w:r>
            <w:r w:rsidR="008C4658">
              <w:rPr>
                <w:rFonts w:cs="Arial"/>
                <w:color w:val="000000"/>
                <w:szCs w:val="20"/>
              </w:rPr>
              <w:t>7</w:t>
            </w:r>
          </w:p>
        </w:tc>
      </w:tr>
      <w:tr w:rsidR="00BF706B" w:rsidRPr="008E7494" w14:paraId="3CE3B2FD" w14:textId="77777777" w:rsidTr="00047560">
        <w:trPr>
          <w:trHeight w:val="300"/>
        </w:trPr>
        <w:tc>
          <w:tcPr>
            <w:tcW w:w="6678" w:type="dxa"/>
            <w:noWrap/>
            <w:vAlign w:val="bottom"/>
            <w:hideMark/>
          </w:tcPr>
          <w:p w14:paraId="609302CA" w14:textId="31AF71E2" w:rsidR="00BF706B" w:rsidRPr="008E7494" w:rsidRDefault="00BF706B" w:rsidP="00047560">
            <w:pPr>
              <w:rPr>
                <w:rFonts w:cs="Arial"/>
                <w:color w:val="000000"/>
                <w:szCs w:val="20"/>
              </w:rPr>
            </w:pPr>
            <w:r w:rsidRPr="008E7494">
              <w:rPr>
                <w:rFonts w:cs="Arial"/>
                <w:color w:val="000000"/>
                <w:szCs w:val="20"/>
              </w:rPr>
              <w:t xml:space="preserve">Glossary of </w:t>
            </w:r>
            <w:r w:rsidR="007C08F1">
              <w:rPr>
                <w:rFonts w:cs="Arial"/>
                <w:color w:val="000000"/>
                <w:szCs w:val="20"/>
              </w:rPr>
              <w:t>t</w:t>
            </w:r>
            <w:r w:rsidRPr="008E7494">
              <w:rPr>
                <w:rFonts w:cs="Arial"/>
                <w:color w:val="000000"/>
                <w:szCs w:val="20"/>
              </w:rPr>
              <w:t>erms</w:t>
            </w:r>
          </w:p>
        </w:tc>
        <w:tc>
          <w:tcPr>
            <w:tcW w:w="850" w:type="dxa"/>
            <w:noWrap/>
            <w:vAlign w:val="bottom"/>
            <w:hideMark/>
          </w:tcPr>
          <w:p w14:paraId="02DEEAD6" w14:textId="58505F3E" w:rsidR="00BF706B" w:rsidRPr="008E7494" w:rsidRDefault="00BF706B" w:rsidP="00047560">
            <w:pPr>
              <w:jc w:val="right"/>
              <w:rPr>
                <w:rFonts w:cs="Arial"/>
                <w:color w:val="000000"/>
                <w:szCs w:val="20"/>
              </w:rPr>
            </w:pPr>
            <w:r w:rsidRPr="008E7494">
              <w:rPr>
                <w:rFonts w:cs="Arial"/>
                <w:color w:val="000000"/>
                <w:szCs w:val="20"/>
              </w:rPr>
              <w:t>1</w:t>
            </w:r>
            <w:r w:rsidR="009C3592">
              <w:rPr>
                <w:rFonts w:cs="Arial"/>
                <w:color w:val="000000"/>
                <w:szCs w:val="20"/>
              </w:rPr>
              <w:t>13</w:t>
            </w:r>
          </w:p>
        </w:tc>
      </w:tr>
      <w:tr w:rsidR="00BF706B" w:rsidRPr="008E7494" w14:paraId="5661C13E" w14:textId="77777777" w:rsidTr="00047560">
        <w:trPr>
          <w:trHeight w:val="300"/>
        </w:trPr>
        <w:tc>
          <w:tcPr>
            <w:tcW w:w="6678" w:type="dxa"/>
            <w:noWrap/>
            <w:vAlign w:val="bottom"/>
            <w:hideMark/>
          </w:tcPr>
          <w:p w14:paraId="065663F1" w14:textId="32B0BE59" w:rsidR="00BF706B" w:rsidRPr="008E7494" w:rsidRDefault="00BF706B" w:rsidP="00047560">
            <w:pPr>
              <w:rPr>
                <w:rFonts w:cs="Arial"/>
                <w:color w:val="000000"/>
                <w:szCs w:val="20"/>
              </w:rPr>
            </w:pPr>
            <w:r w:rsidRPr="008E7494">
              <w:rPr>
                <w:rFonts w:cs="Arial"/>
                <w:color w:val="000000"/>
                <w:szCs w:val="20"/>
              </w:rPr>
              <w:t xml:space="preserve">Contact </w:t>
            </w:r>
            <w:r w:rsidR="007C08F1">
              <w:rPr>
                <w:rFonts w:cs="Arial"/>
                <w:color w:val="000000"/>
                <w:szCs w:val="20"/>
              </w:rPr>
              <w:t>d</w:t>
            </w:r>
            <w:r w:rsidRPr="008E7494">
              <w:rPr>
                <w:rFonts w:cs="Arial"/>
                <w:color w:val="000000"/>
                <w:szCs w:val="20"/>
              </w:rPr>
              <w:t>etails</w:t>
            </w:r>
          </w:p>
        </w:tc>
        <w:tc>
          <w:tcPr>
            <w:tcW w:w="850" w:type="dxa"/>
            <w:noWrap/>
            <w:vAlign w:val="bottom"/>
            <w:hideMark/>
          </w:tcPr>
          <w:p w14:paraId="3B44B85E" w14:textId="1E62B2AE" w:rsidR="00BF706B" w:rsidRPr="008E7494" w:rsidRDefault="00BF706B" w:rsidP="00047560">
            <w:pPr>
              <w:jc w:val="right"/>
              <w:rPr>
                <w:rFonts w:cs="Arial"/>
                <w:color w:val="000000"/>
                <w:szCs w:val="20"/>
              </w:rPr>
            </w:pPr>
            <w:r w:rsidRPr="008E7494">
              <w:rPr>
                <w:rFonts w:cs="Arial"/>
                <w:color w:val="000000"/>
                <w:szCs w:val="20"/>
              </w:rPr>
              <w:t>1</w:t>
            </w:r>
            <w:r>
              <w:rPr>
                <w:rFonts w:cs="Arial"/>
                <w:color w:val="000000"/>
                <w:szCs w:val="20"/>
              </w:rPr>
              <w:t>1</w:t>
            </w:r>
            <w:r w:rsidR="009C3592">
              <w:rPr>
                <w:rFonts w:cs="Arial"/>
                <w:color w:val="000000"/>
                <w:szCs w:val="20"/>
              </w:rPr>
              <w:t>4</w:t>
            </w:r>
          </w:p>
        </w:tc>
      </w:tr>
    </w:tbl>
    <w:p w14:paraId="7F3F5238" w14:textId="77777777" w:rsidR="00BF706B" w:rsidRPr="0001769E" w:rsidRDefault="00BF706B" w:rsidP="00BF706B">
      <w:pPr>
        <w:spacing w:line="260" w:lineRule="atLeast"/>
        <w:rPr>
          <w:rFonts w:ascii="Times New Roman" w:hAnsi="Times New Roman"/>
          <w:sz w:val="24"/>
          <w:lang w:eastAsia="en-AU"/>
        </w:rPr>
      </w:pPr>
    </w:p>
    <w:p w14:paraId="3B42215C" w14:textId="77777777" w:rsidR="00BF706B" w:rsidRDefault="00BF706B" w:rsidP="009B129E">
      <w:pPr>
        <w:rPr>
          <w:rFonts w:cs="Arial"/>
          <w:szCs w:val="20"/>
        </w:rPr>
        <w:sectPr w:rsidR="00BF706B" w:rsidSect="00047560">
          <w:headerReference w:type="even" r:id="rId20"/>
          <w:headerReference w:type="default" r:id="rId21"/>
          <w:headerReference w:type="first" r:id="rId22"/>
          <w:pgSz w:w="11906" w:h="16838"/>
          <w:pgMar w:top="2948" w:right="1701" w:bottom="567" w:left="1701" w:header="0" w:footer="567" w:gutter="0"/>
          <w:cols w:space="708"/>
          <w:docGrid w:linePitch="360"/>
        </w:sectPr>
      </w:pPr>
    </w:p>
    <w:p w14:paraId="7306995D" w14:textId="77777777" w:rsidR="00407A0D" w:rsidRDefault="00407A0D" w:rsidP="00407A0D">
      <w:pPr>
        <w:spacing w:line="260" w:lineRule="atLeast"/>
        <w:rPr>
          <w:rFonts w:cs="Swiss721BT-Bold"/>
          <w:b/>
          <w:bCs/>
          <w:i/>
          <w:color w:val="446E82"/>
          <w:szCs w:val="20"/>
        </w:rPr>
      </w:pPr>
      <w:r>
        <w:rPr>
          <w:rFonts w:cs="Swiss721BT-Bold"/>
          <w:b/>
          <w:bCs/>
          <w:i/>
          <w:color w:val="446E82"/>
          <w:szCs w:val="20"/>
        </w:rPr>
        <w:lastRenderedPageBreak/>
        <w:t xml:space="preserve">The FRC has over 11 years demonstrated again and again the great power of self-reliance and responsibility for families to be supported to </w:t>
      </w:r>
      <w:r w:rsidRPr="00B2638E">
        <w:rPr>
          <w:rFonts w:cs="Swiss721BT-Bold"/>
          <w:b/>
          <w:bCs/>
          <w:i/>
          <w:color w:val="446E82"/>
          <w:szCs w:val="20"/>
        </w:rPr>
        <w:t>take control of their lives</w:t>
      </w:r>
      <w:r>
        <w:rPr>
          <w:rFonts w:cs="Swiss721BT-Bold"/>
          <w:b/>
          <w:bCs/>
          <w:i/>
          <w:color w:val="446E82"/>
          <w:szCs w:val="20"/>
        </w:rPr>
        <w:t>. The dedication and work of the FRC is the highest expression of self-determination that I have seen in Australia and, on behalf of my own people, I am so very grateful for the work of the FRC and the scores of lives that have been affected and saved.</w:t>
      </w:r>
    </w:p>
    <w:p w14:paraId="5F3687E8" w14:textId="77777777" w:rsidR="00407A0D" w:rsidRDefault="00407A0D" w:rsidP="00407A0D">
      <w:pPr>
        <w:spacing w:line="260" w:lineRule="atLeast"/>
        <w:rPr>
          <w:rFonts w:cs="Swiss721BT-Bold"/>
          <w:b/>
          <w:bCs/>
          <w:i/>
          <w:color w:val="446E82"/>
          <w:szCs w:val="20"/>
        </w:rPr>
      </w:pPr>
      <w:r>
        <w:rPr>
          <w:rFonts w:cs="Swiss721BT-Bold"/>
          <w:b/>
          <w:bCs/>
          <w:i/>
          <w:color w:val="446E82"/>
          <w:szCs w:val="20"/>
        </w:rPr>
        <w:t>At the heart of the FRC are the courageous Local Commissioners of Aurukun, Coen, Doomadgee, Hope Vale and Mossman Gorge, who work so tirelessly and with great love to motivate and support their people to take up and manage their most fundamental responsibilities to themselves and to their families. Their carriage of this great power and love never sleeps and never rests and the Commissioners have been resolute and steadfast in their dedication to serve their people.</w:t>
      </w:r>
    </w:p>
    <w:p w14:paraId="4A08CAB0" w14:textId="77777777" w:rsidR="00407A0D" w:rsidRDefault="00407A0D" w:rsidP="00407A0D">
      <w:pPr>
        <w:spacing w:line="260" w:lineRule="atLeast"/>
        <w:rPr>
          <w:rFonts w:cs="Swiss721BT-Bold"/>
          <w:b/>
          <w:bCs/>
          <w:i/>
          <w:color w:val="446E82"/>
          <w:szCs w:val="20"/>
        </w:rPr>
      </w:pPr>
      <w:r>
        <w:rPr>
          <w:rFonts w:cs="Swiss721BT-Bold"/>
          <w:b/>
          <w:bCs/>
          <w:i/>
          <w:color w:val="446E82"/>
          <w:szCs w:val="20"/>
        </w:rPr>
        <w:t>The ongoing uncertainty over the future of the Queensland Government’s support for the FRC and its core principles is incredibly disappointing and must end. The current lack of support for the FRC by the Queensland Government is a defining moment for its future.</w:t>
      </w:r>
    </w:p>
    <w:p w14:paraId="4E54A1FF" w14:textId="64A2BBA3" w:rsidR="00407A0D" w:rsidRDefault="00407A0D" w:rsidP="00407A0D">
      <w:pPr>
        <w:spacing w:line="260" w:lineRule="atLeast"/>
        <w:rPr>
          <w:rFonts w:cs="Swiss721BT-Bold"/>
          <w:b/>
          <w:bCs/>
          <w:i/>
          <w:color w:val="446E82"/>
          <w:szCs w:val="20"/>
        </w:rPr>
      </w:pPr>
      <w:r>
        <w:rPr>
          <w:rFonts w:cs="Swiss721BT-Bold"/>
          <w:b/>
          <w:bCs/>
          <w:i/>
          <w:color w:val="446E82"/>
          <w:szCs w:val="20"/>
        </w:rPr>
        <w:t xml:space="preserve">The FRC was at the outset, and remains today, a cutting-edge innovation. It stands alone in providing a model of highly targeted Income Management, with authority for Income Management decisions vesting in Local Commissioners, not with the </w:t>
      </w:r>
      <w:r w:rsidR="00440E87">
        <w:rPr>
          <w:rFonts w:cs="Swiss721BT-Bold"/>
          <w:b/>
          <w:bCs/>
          <w:i/>
          <w:color w:val="446E82"/>
          <w:szCs w:val="20"/>
        </w:rPr>
        <w:t>S</w:t>
      </w:r>
      <w:r>
        <w:rPr>
          <w:rFonts w:cs="Swiss721BT-Bold"/>
          <w:b/>
          <w:bCs/>
          <w:i/>
          <w:color w:val="446E82"/>
          <w:szCs w:val="20"/>
        </w:rPr>
        <w:t>tate. Income Management is the primary tool used to great effect by Local Commissioners as an instrument of support rather than punishment.</w:t>
      </w:r>
    </w:p>
    <w:p w14:paraId="1FD7883C" w14:textId="77777777" w:rsidR="00407A0D" w:rsidRDefault="00407A0D" w:rsidP="00407A0D">
      <w:pPr>
        <w:spacing w:line="260" w:lineRule="atLeast"/>
        <w:rPr>
          <w:rFonts w:cs="Swiss721BT-Bold"/>
          <w:b/>
          <w:bCs/>
          <w:i/>
          <w:color w:val="446E82"/>
          <w:szCs w:val="20"/>
        </w:rPr>
      </w:pPr>
      <w:r>
        <w:rPr>
          <w:rFonts w:cs="Swiss721BT-Bold"/>
          <w:b/>
          <w:bCs/>
          <w:i/>
          <w:color w:val="446E82"/>
          <w:szCs w:val="20"/>
        </w:rPr>
        <w:t>The FRC and the Australian Government are clearly focussed on making the FRC the strongest and most effective vehicle of Indigenous agency, authority and responsibility that it can possibly be. This means by necessity that the FRC must be supported in its endeavours to expand to those communities that have asked for the FRC’s support and to continue to build on the hard-won gains of the past 11 years. An expanded FRC has great opportunity to continue to build up the effectiveness of the FRC model of Income Management, with an expanded armoury of services for families to get the support that they need to build their capabilities and take responsibility.</w:t>
      </w:r>
    </w:p>
    <w:p w14:paraId="2A921C0C" w14:textId="77777777" w:rsidR="00407A0D" w:rsidRDefault="00407A0D" w:rsidP="00407A0D">
      <w:pPr>
        <w:spacing w:line="260" w:lineRule="atLeast"/>
        <w:rPr>
          <w:rFonts w:cs="Swiss721BT-Bold"/>
          <w:b/>
          <w:bCs/>
          <w:i/>
          <w:color w:val="446E82"/>
          <w:szCs w:val="20"/>
        </w:rPr>
      </w:pPr>
      <w:r>
        <w:rPr>
          <w:rFonts w:cs="Swiss721BT-Bold"/>
          <w:b/>
          <w:bCs/>
          <w:i/>
          <w:color w:val="446E82"/>
          <w:szCs w:val="20"/>
        </w:rPr>
        <w:t>I thank former Deputy Commissioner Rod Curtin for his service to our people, and particularly for the work that he has done to help the Doomadgee Local Commissioners to establish their FRC over the last five years.</w:t>
      </w:r>
    </w:p>
    <w:p w14:paraId="424ABF51" w14:textId="77777777" w:rsidR="00407A0D" w:rsidRPr="00A020D7" w:rsidRDefault="00407A0D" w:rsidP="00407A0D">
      <w:pPr>
        <w:spacing w:line="260" w:lineRule="atLeast"/>
        <w:rPr>
          <w:rFonts w:cs="Swiss721BT-Bold"/>
          <w:b/>
          <w:bCs/>
          <w:i/>
          <w:color w:val="446E82"/>
          <w:szCs w:val="20"/>
        </w:rPr>
      </w:pPr>
      <w:r>
        <w:rPr>
          <w:rFonts w:cs="Swiss721BT-Bold"/>
          <w:b/>
          <w:bCs/>
          <w:i/>
          <w:color w:val="446E82"/>
          <w:szCs w:val="20"/>
        </w:rPr>
        <w:t>Finally, I would like to pay tribute to the absolute dedication of foundation Commissioner David Glasgow. I can think of no finer measure of his service than the deep and abiding esteem he is held in by the Local Commissioners. Thank you, David.</w:t>
      </w:r>
    </w:p>
    <w:p w14:paraId="489A60CA" w14:textId="77777777" w:rsidR="00407A0D" w:rsidRDefault="00407A0D" w:rsidP="00407A0D">
      <w:pPr>
        <w:spacing w:after="0"/>
        <w:jc w:val="right"/>
        <w:rPr>
          <w:b/>
          <w:i/>
        </w:rPr>
      </w:pPr>
      <w:r>
        <w:rPr>
          <w:b/>
          <w:i/>
        </w:rPr>
        <w:t>Noel Pearson</w:t>
      </w:r>
    </w:p>
    <w:p w14:paraId="65800178" w14:textId="77777777" w:rsidR="00407A0D" w:rsidRPr="0001769E" w:rsidRDefault="00407A0D" w:rsidP="00407A0D">
      <w:pPr>
        <w:rPr>
          <w:lang w:eastAsia="en-AU"/>
        </w:rPr>
      </w:pPr>
    </w:p>
    <w:p w14:paraId="7AC53B7F" w14:textId="77777777" w:rsidR="00407A0D" w:rsidRDefault="00407A0D" w:rsidP="009B129E">
      <w:pPr>
        <w:rPr>
          <w:rFonts w:cs="Arial"/>
          <w:szCs w:val="20"/>
        </w:rPr>
        <w:sectPr w:rsidR="00407A0D" w:rsidSect="00047560">
          <w:headerReference w:type="even" r:id="rId23"/>
          <w:headerReference w:type="default" r:id="rId24"/>
          <w:headerReference w:type="first" r:id="rId25"/>
          <w:footnotePr>
            <w:numRestart w:val="eachSect"/>
          </w:footnotePr>
          <w:pgSz w:w="11906" w:h="16838"/>
          <w:pgMar w:top="2948" w:right="1701" w:bottom="567" w:left="1701" w:header="0" w:footer="567" w:gutter="0"/>
          <w:cols w:space="708"/>
          <w:docGrid w:linePitch="360"/>
        </w:sectPr>
      </w:pPr>
    </w:p>
    <w:p w14:paraId="7B886E58" w14:textId="77777777" w:rsidR="00B97CB7" w:rsidRPr="00F855B1" w:rsidRDefault="00B97CB7" w:rsidP="00F855B1">
      <w:pPr>
        <w:pStyle w:val="Heading2"/>
      </w:pPr>
      <w:r w:rsidRPr="00F855B1">
        <w:lastRenderedPageBreak/>
        <w:t>From the Commissioner</w:t>
      </w:r>
    </w:p>
    <w:p w14:paraId="3BFE25DF" w14:textId="3C8252F7" w:rsidR="00B97CB7" w:rsidRPr="008E7494" w:rsidRDefault="00B97CB7" w:rsidP="00B97CB7">
      <w:r w:rsidRPr="008E7494">
        <w:rPr>
          <w:color w:val="000000"/>
        </w:rPr>
        <w:t>T</w:t>
      </w:r>
      <w:r>
        <w:rPr>
          <w:color w:val="000000"/>
        </w:rPr>
        <w:t xml:space="preserve">he </w:t>
      </w:r>
      <w:r w:rsidR="000E37EE">
        <w:rPr>
          <w:color w:val="000000"/>
        </w:rPr>
        <w:t xml:space="preserve">Family Responsibilities </w:t>
      </w:r>
      <w:r w:rsidR="0067256C">
        <w:rPr>
          <w:color w:val="000000"/>
        </w:rPr>
        <w:t>Commission</w:t>
      </w:r>
      <w:r>
        <w:rPr>
          <w:color w:val="000000"/>
        </w:rPr>
        <w:t xml:space="preserve"> has completed eleven years of operations in the four </w:t>
      </w:r>
      <w:r w:rsidR="002C1AFC">
        <w:rPr>
          <w:color w:val="000000"/>
        </w:rPr>
        <w:t>Cape York W</w:t>
      </w:r>
      <w:r>
        <w:rPr>
          <w:color w:val="000000"/>
        </w:rPr>
        <w:t xml:space="preserve">elfare </w:t>
      </w:r>
      <w:r w:rsidR="002C1AFC">
        <w:rPr>
          <w:color w:val="000000"/>
        </w:rPr>
        <w:t>R</w:t>
      </w:r>
      <w:r>
        <w:rPr>
          <w:color w:val="000000"/>
        </w:rPr>
        <w:t xml:space="preserve">eform </w:t>
      </w:r>
      <w:r w:rsidR="002C1AFC">
        <w:rPr>
          <w:color w:val="000000"/>
        </w:rPr>
        <w:t xml:space="preserve">(CYWR) </w:t>
      </w:r>
      <w:r>
        <w:rPr>
          <w:color w:val="000000"/>
        </w:rPr>
        <w:t xml:space="preserve">communities </w:t>
      </w:r>
      <w:r w:rsidRPr="008E7494">
        <w:rPr>
          <w:color w:val="000000"/>
        </w:rPr>
        <w:t xml:space="preserve">of Aurukun, Coen, Hope Vale and Mossman Gorge, and </w:t>
      </w:r>
      <w:r>
        <w:rPr>
          <w:color w:val="000000"/>
        </w:rPr>
        <w:t xml:space="preserve">five </w:t>
      </w:r>
      <w:r w:rsidRPr="008E7494">
        <w:rPr>
          <w:color w:val="000000"/>
        </w:rPr>
        <w:t>years</w:t>
      </w:r>
      <w:r>
        <w:rPr>
          <w:color w:val="000000"/>
        </w:rPr>
        <w:t xml:space="preserve"> </w:t>
      </w:r>
      <w:r w:rsidRPr="008E7494">
        <w:rPr>
          <w:color w:val="000000"/>
        </w:rPr>
        <w:t>in Doomadgee.</w:t>
      </w:r>
    </w:p>
    <w:p w14:paraId="1FFFB840" w14:textId="3BB051DD" w:rsidR="00B97CB7" w:rsidRDefault="00B97CB7" w:rsidP="00B97CB7">
      <w:pPr>
        <w:rPr>
          <w:color w:val="000000"/>
        </w:rPr>
      </w:pPr>
      <w:r>
        <w:rPr>
          <w:color w:val="000000"/>
        </w:rPr>
        <w:t xml:space="preserve">I have </w:t>
      </w:r>
      <w:r w:rsidRPr="000F29F4">
        <w:rPr>
          <w:color w:val="000000"/>
        </w:rPr>
        <w:t>had the privilege of leading the Commission since our commencement on 1 July 2008, ably assisted since</w:t>
      </w:r>
      <w:r w:rsidR="005B5DF6" w:rsidRPr="000F29F4">
        <w:rPr>
          <w:color w:val="000000"/>
        </w:rPr>
        <w:t xml:space="preserve"> July</w:t>
      </w:r>
      <w:r w:rsidRPr="000F29F4">
        <w:rPr>
          <w:color w:val="000000"/>
        </w:rPr>
        <w:t xml:space="preserve"> 2010 by Deputy Commissioners Jim Brooks</w:t>
      </w:r>
      <w:r w:rsidR="00CD4AD5" w:rsidRPr="000F29F4">
        <w:rPr>
          <w:color w:val="000000"/>
        </w:rPr>
        <w:t>, who</w:t>
      </w:r>
      <w:r w:rsidR="00AB1EEC" w:rsidRPr="000F29F4">
        <w:rPr>
          <w:color w:val="000000"/>
        </w:rPr>
        <w:t>se</w:t>
      </w:r>
      <w:r w:rsidR="00CD4AD5" w:rsidRPr="000F29F4">
        <w:rPr>
          <w:color w:val="000000"/>
        </w:rPr>
        <w:t xml:space="preserve"> </w:t>
      </w:r>
      <w:r w:rsidR="003D0428" w:rsidRPr="000F29F4">
        <w:rPr>
          <w:color w:val="000000"/>
        </w:rPr>
        <w:t>appointment expired</w:t>
      </w:r>
      <w:r w:rsidRPr="000F29F4">
        <w:rPr>
          <w:color w:val="000000"/>
        </w:rPr>
        <w:t xml:space="preserve"> </w:t>
      </w:r>
      <w:r w:rsidR="007A08E7" w:rsidRPr="000F29F4">
        <w:rPr>
          <w:color w:val="000000"/>
        </w:rPr>
        <w:t xml:space="preserve">on 1 </w:t>
      </w:r>
      <w:r w:rsidR="007C6AED" w:rsidRPr="000F29F4">
        <w:rPr>
          <w:color w:val="000000"/>
        </w:rPr>
        <w:t>January</w:t>
      </w:r>
      <w:r w:rsidR="00473114" w:rsidRPr="000F29F4">
        <w:rPr>
          <w:color w:val="000000"/>
        </w:rPr>
        <w:t xml:space="preserve"> </w:t>
      </w:r>
      <w:r w:rsidRPr="000F29F4">
        <w:rPr>
          <w:color w:val="000000"/>
        </w:rPr>
        <w:t>201</w:t>
      </w:r>
      <w:r w:rsidR="007C6AED" w:rsidRPr="000F29F4">
        <w:rPr>
          <w:color w:val="000000"/>
        </w:rPr>
        <w:t>2</w:t>
      </w:r>
      <w:r w:rsidR="00AB1EEC" w:rsidRPr="000F29F4">
        <w:rPr>
          <w:color w:val="000000"/>
        </w:rPr>
        <w:t>,</w:t>
      </w:r>
      <w:r w:rsidRPr="000F29F4">
        <w:rPr>
          <w:color w:val="000000"/>
        </w:rPr>
        <w:t xml:space="preserve"> and Rodney Curtin</w:t>
      </w:r>
      <w:r w:rsidR="00AB1EEC" w:rsidRPr="000F29F4">
        <w:rPr>
          <w:color w:val="000000"/>
        </w:rPr>
        <w:t>,</w:t>
      </w:r>
      <w:r w:rsidRPr="000F29F4">
        <w:rPr>
          <w:color w:val="000000"/>
        </w:rPr>
        <w:t xml:space="preserve"> </w:t>
      </w:r>
      <w:r w:rsidR="00AB1EEC" w:rsidRPr="000F29F4">
        <w:rPr>
          <w:color w:val="000000"/>
        </w:rPr>
        <w:t xml:space="preserve">whose </w:t>
      </w:r>
      <w:r w:rsidR="003D0428" w:rsidRPr="000F29F4">
        <w:rPr>
          <w:color w:val="000000"/>
        </w:rPr>
        <w:t>appointment expired</w:t>
      </w:r>
      <w:r w:rsidRPr="000F29F4">
        <w:rPr>
          <w:color w:val="000000"/>
        </w:rPr>
        <w:t xml:space="preserve"> </w:t>
      </w:r>
      <w:r w:rsidR="00AB1EEC" w:rsidRPr="000F29F4">
        <w:rPr>
          <w:color w:val="000000"/>
        </w:rPr>
        <w:t xml:space="preserve">on </w:t>
      </w:r>
      <w:r w:rsidRPr="000F29F4">
        <w:rPr>
          <w:color w:val="000000"/>
        </w:rPr>
        <w:t>31 December 2018.</w:t>
      </w:r>
      <w:r w:rsidR="001A5D2B" w:rsidRPr="000F29F4">
        <w:rPr>
          <w:color w:val="000000"/>
        </w:rPr>
        <w:t xml:space="preserve"> I</w:t>
      </w:r>
      <w:r w:rsidR="00EB642A" w:rsidRPr="000F29F4">
        <w:rPr>
          <w:color w:val="000000"/>
        </w:rPr>
        <w:t xml:space="preserve"> </w:t>
      </w:r>
      <w:r w:rsidR="001A5D2B" w:rsidRPr="000F29F4">
        <w:rPr>
          <w:color w:val="000000"/>
        </w:rPr>
        <w:t xml:space="preserve">retire </w:t>
      </w:r>
      <w:r w:rsidR="00EB642A" w:rsidRPr="000F29F4">
        <w:rPr>
          <w:color w:val="000000"/>
        </w:rPr>
        <w:t xml:space="preserve">as Commissioner </w:t>
      </w:r>
      <w:r w:rsidR="001A5D2B" w:rsidRPr="000F29F4">
        <w:rPr>
          <w:color w:val="000000"/>
        </w:rPr>
        <w:t xml:space="preserve">on </w:t>
      </w:r>
      <w:r w:rsidR="00A31E20" w:rsidRPr="000F29F4">
        <w:rPr>
          <w:color w:val="000000"/>
        </w:rPr>
        <w:t>1 September</w:t>
      </w:r>
      <w:r w:rsidR="001A5D2B" w:rsidRPr="000F29F4">
        <w:rPr>
          <w:color w:val="000000"/>
        </w:rPr>
        <w:t xml:space="preserve"> 2019.</w:t>
      </w:r>
    </w:p>
    <w:p w14:paraId="2B8DFA9B" w14:textId="070BCDCC" w:rsidR="001A5D2B" w:rsidRDefault="00B97CB7" w:rsidP="00B97CB7">
      <w:pPr>
        <w:rPr>
          <w:color w:val="000000"/>
        </w:rPr>
      </w:pPr>
      <w:r>
        <w:rPr>
          <w:color w:val="000000"/>
        </w:rPr>
        <w:t xml:space="preserve">Since </w:t>
      </w:r>
      <w:r w:rsidRPr="00A02D2F">
        <w:rPr>
          <w:color w:val="000000"/>
        </w:rPr>
        <w:t>1 January my role has been conducted without the support of a Deputy which has limited the occasions I have been able to visit our communities</w:t>
      </w:r>
      <w:r w:rsidR="00F51DB7">
        <w:rPr>
          <w:color w:val="000000"/>
        </w:rPr>
        <w:t>.</w:t>
      </w:r>
    </w:p>
    <w:p w14:paraId="48351CE1" w14:textId="16D8FC20" w:rsidR="001A5D2B" w:rsidRDefault="00B97CB7" w:rsidP="00B97CB7">
      <w:pPr>
        <w:rPr>
          <w:color w:val="000000"/>
        </w:rPr>
      </w:pPr>
      <w:r w:rsidRPr="00A02D2F">
        <w:rPr>
          <w:color w:val="000000"/>
        </w:rPr>
        <w:t>Though fully capable of carrying out their functions and</w:t>
      </w:r>
      <w:r w:rsidR="00B16F6B">
        <w:rPr>
          <w:color w:val="000000"/>
        </w:rPr>
        <w:t xml:space="preserve"> conduct</w:t>
      </w:r>
      <w:r w:rsidR="00170939">
        <w:rPr>
          <w:color w:val="000000"/>
        </w:rPr>
        <w:t>ing</w:t>
      </w:r>
      <w:r w:rsidRPr="00A02D2F">
        <w:rPr>
          <w:color w:val="000000"/>
        </w:rPr>
        <w:t xml:space="preserve"> conferencing, there are frequent occasions where Local Commissioners have sought support and guidance. </w:t>
      </w:r>
    </w:p>
    <w:p w14:paraId="304C39BB" w14:textId="555435EC" w:rsidR="00B97CB7" w:rsidRPr="00A02D2F" w:rsidRDefault="005E33C4" w:rsidP="00B97CB7">
      <w:pPr>
        <w:rPr>
          <w:color w:val="000000"/>
        </w:rPr>
      </w:pPr>
      <w:r>
        <w:rPr>
          <w:color w:val="000000"/>
        </w:rPr>
        <w:t xml:space="preserve">My successor will be required to travel extensively </w:t>
      </w:r>
      <w:r w:rsidR="00C80190">
        <w:rPr>
          <w:color w:val="000000"/>
        </w:rPr>
        <w:t>to</w:t>
      </w:r>
      <w:r>
        <w:rPr>
          <w:color w:val="000000"/>
        </w:rPr>
        <w:t xml:space="preserve"> regularly visit the five communities</w:t>
      </w:r>
      <w:r w:rsidR="00C80190">
        <w:rPr>
          <w:color w:val="000000"/>
        </w:rPr>
        <w:t>,</w:t>
      </w:r>
      <w:r>
        <w:rPr>
          <w:color w:val="000000"/>
        </w:rPr>
        <w:t xml:space="preserve"> not only to become familiar with each</w:t>
      </w:r>
      <w:r w:rsidR="006C306D">
        <w:rPr>
          <w:color w:val="000000"/>
        </w:rPr>
        <w:t>, but to get to know</w:t>
      </w:r>
      <w:r>
        <w:rPr>
          <w:color w:val="000000"/>
        </w:rPr>
        <w:t xml:space="preserve"> the </w:t>
      </w:r>
      <w:r w:rsidR="00B951C8">
        <w:rPr>
          <w:color w:val="000000"/>
        </w:rPr>
        <w:t xml:space="preserve">Local </w:t>
      </w:r>
      <w:r>
        <w:rPr>
          <w:color w:val="000000"/>
        </w:rPr>
        <w:t xml:space="preserve">Commissioners </w:t>
      </w:r>
      <w:r w:rsidR="006C306D">
        <w:rPr>
          <w:color w:val="000000"/>
        </w:rPr>
        <w:t>and proactively</w:t>
      </w:r>
      <w:r>
        <w:rPr>
          <w:color w:val="000000"/>
        </w:rPr>
        <w:t xml:space="preserve"> manage the many and varied challenges facing the </w:t>
      </w:r>
      <w:r w:rsidR="00B951C8">
        <w:rPr>
          <w:color w:val="000000"/>
        </w:rPr>
        <w:t xml:space="preserve">Local </w:t>
      </w:r>
      <w:r>
        <w:rPr>
          <w:color w:val="000000"/>
        </w:rPr>
        <w:t>Commissioners in their work</w:t>
      </w:r>
      <w:r w:rsidR="006C306D">
        <w:rPr>
          <w:color w:val="000000"/>
        </w:rPr>
        <w:t xml:space="preserve">. These challenges </w:t>
      </w:r>
      <w:r>
        <w:rPr>
          <w:color w:val="000000"/>
        </w:rPr>
        <w:t>includ</w:t>
      </w:r>
      <w:r w:rsidR="006C306D">
        <w:rPr>
          <w:color w:val="000000"/>
        </w:rPr>
        <w:t>e</w:t>
      </w:r>
      <w:r>
        <w:rPr>
          <w:color w:val="000000"/>
        </w:rPr>
        <w:t xml:space="preserve"> the </w:t>
      </w:r>
      <w:r w:rsidR="00B97CB7" w:rsidRPr="00A02D2F">
        <w:rPr>
          <w:color w:val="000000"/>
        </w:rPr>
        <w:t xml:space="preserve">performance of service providers, community and family conflicts, dealings with and performance by government officers, </w:t>
      </w:r>
      <w:r w:rsidR="00EB642A">
        <w:rPr>
          <w:color w:val="000000"/>
        </w:rPr>
        <w:t xml:space="preserve">explaining the impact of legislation and </w:t>
      </w:r>
      <w:r w:rsidR="00B97CB7" w:rsidRPr="00A02D2F">
        <w:rPr>
          <w:color w:val="000000"/>
        </w:rPr>
        <w:t>debriefing</w:t>
      </w:r>
      <w:r w:rsidR="00EB642A">
        <w:rPr>
          <w:color w:val="000000"/>
        </w:rPr>
        <w:t xml:space="preserve"> after difficult conferencing sessions. A</w:t>
      </w:r>
      <w:r w:rsidR="006C306D">
        <w:rPr>
          <w:color w:val="000000"/>
        </w:rPr>
        <w:t>dditionally</w:t>
      </w:r>
      <w:r w:rsidR="00EB642A">
        <w:rPr>
          <w:color w:val="000000"/>
        </w:rPr>
        <w:t xml:space="preserve">, the Commissioner is regularly called </w:t>
      </w:r>
      <w:r w:rsidR="006C306D">
        <w:rPr>
          <w:color w:val="000000"/>
        </w:rPr>
        <w:t xml:space="preserve">upon </w:t>
      </w:r>
      <w:r w:rsidR="00EB642A">
        <w:rPr>
          <w:color w:val="000000"/>
        </w:rPr>
        <w:t xml:space="preserve">to assist community members and </w:t>
      </w:r>
      <w:r w:rsidR="00B951C8">
        <w:rPr>
          <w:color w:val="000000"/>
        </w:rPr>
        <w:t xml:space="preserve">Local </w:t>
      </w:r>
      <w:r w:rsidR="00EB642A">
        <w:rPr>
          <w:color w:val="000000"/>
        </w:rPr>
        <w:t xml:space="preserve">Commissioners </w:t>
      </w:r>
      <w:r w:rsidR="00F51DB7">
        <w:rPr>
          <w:color w:val="000000"/>
        </w:rPr>
        <w:t xml:space="preserve">with advice </w:t>
      </w:r>
      <w:r w:rsidR="00EB642A">
        <w:rPr>
          <w:color w:val="000000"/>
        </w:rPr>
        <w:t>on personal matters</w:t>
      </w:r>
      <w:r w:rsidR="00F51DB7">
        <w:rPr>
          <w:color w:val="000000"/>
        </w:rPr>
        <w:t>.</w:t>
      </w:r>
    </w:p>
    <w:p w14:paraId="774F8389" w14:textId="5857795A" w:rsidR="00B97CB7" w:rsidRDefault="00B97CB7" w:rsidP="00B97CB7">
      <w:pPr>
        <w:rPr>
          <w:color w:val="000000"/>
        </w:rPr>
      </w:pPr>
      <w:r w:rsidRPr="00A02D2F">
        <w:rPr>
          <w:color w:val="000000"/>
        </w:rPr>
        <w:t>Availability of advice and continuing in-situ support is essential in my view, as is the opportunity for them to attend at an annual conference of all Commissioners and have access to confidential professional counselling when required. T</w:t>
      </w:r>
      <w:r w:rsidR="00F51DB7">
        <w:rPr>
          <w:color w:val="000000"/>
        </w:rPr>
        <w:t>heir ability to rely o</w:t>
      </w:r>
      <w:r w:rsidR="00F9133C">
        <w:rPr>
          <w:color w:val="000000"/>
        </w:rPr>
        <w:t>n</w:t>
      </w:r>
      <w:r w:rsidR="00F51DB7">
        <w:rPr>
          <w:color w:val="000000"/>
        </w:rPr>
        <w:t xml:space="preserve"> such </w:t>
      </w:r>
      <w:r w:rsidRPr="00A02D2F">
        <w:rPr>
          <w:color w:val="000000"/>
        </w:rPr>
        <w:t>assistance is critical to their ongoing success and development.</w:t>
      </w:r>
    </w:p>
    <w:p w14:paraId="40761F59" w14:textId="0E24FE03" w:rsidR="00B97CB7" w:rsidRDefault="00784129" w:rsidP="00B97CB7">
      <w:pPr>
        <w:rPr>
          <w:color w:val="000000"/>
        </w:rPr>
      </w:pPr>
      <w:r w:rsidRPr="00784129">
        <w:rPr>
          <w:color w:val="000000"/>
        </w:rPr>
        <w:t xml:space="preserve">In November 2018 the </w:t>
      </w:r>
      <w:r w:rsidR="00D807BC">
        <w:rPr>
          <w:color w:val="000000"/>
        </w:rPr>
        <w:t>Australian</w:t>
      </w:r>
      <w:r w:rsidRPr="00784129">
        <w:rPr>
          <w:color w:val="000000"/>
        </w:rPr>
        <w:t xml:space="preserve"> Government announced a </w:t>
      </w:r>
      <w:proofErr w:type="gramStart"/>
      <w:r w:rsidRPr="00784129">
        <w:rPr>
          <w:color w:val="000000"/>
        </w:rPr>
        <w:t>three year</w:t>
      </w:r>
      <w:proofErr w:type="gramEnd"/>
      <w:r w:rsidRPr="00784129">
        <w:rPr>
          <w:color w:val="000000"/>
        </w:rPr>
        <w:t xml:space="preserve"> funding commitment to the FRC from 1 January 2019 to 31 December 2021. The release of these funds is subject to the finalisation of a Memorandum of Understanding with the Queensland Government which is still in negotiations. Consequently</w:t>
      </w:r>
      <w:r w:rsidR="00CA6D77">
        <w:rPr>
          <w:color w:val="000000"/>
        </w:rPr>
        <w:t>,</w:t>
      </w:r>
      <w:r w:rsidRPr="00784129">
        <w:rPr>
          <w:color w:val="000000"/>
        </w:rPr>
        <w:t xml:space="preserve"> the Commission completed this financial year with a deficit of $183,015.</w:t>
      </w:r>
    </w:p>
    <w:p w14:paraId="0E9D677C" w14:textId="77777777" w:rsidR="00B97CB7" w:rsidRPr="002C013C" w:rsidRDefault="00B97CB7" w:rsidP="00F855B1">
      <w:pPr>
        <w:pStyle w:val="Heading3"/>
        <w:rPr>
          <w:i/>
        </w:rPr>
      </w:pPr>
      <w:r w:rsidRPr="002C013C">
        <w:t>Local Commissioners</w:t>
      </w:r>
    </w:p>
    <w:p w14:paraId="4797C4D5" w14:textId="77777777" w:rsidR="00B97CB7" w:rsidRDefault="00B97CB7" w:rsidP="00B97CB7">
      <w:pPr>
        <w:rPr>
          <w:color w:val="000000"/>
        </w:rPr>
      </w:pPr>
      <w:r>
        <w:rPr>
          <w:color w:val="000000"/>
        </w:rPr>
        <w:t>I again acknowledge t</w:t>
      </w:r>
      <w:r w:rsidRPr="008E7494">
        <w:rPr>
          <w:color w:val="000000"/>
        </w:rPr>
        <w:t xml:space="preserve">he women and men who </w:t>
      </w:r>
      <w:r>
        <w:rPr>
          <w:color w:val="000000"/>
        </w:rPr>
        <w:t>are the</w:t>
      </w:r>
      <w:r w:rsidRPr="008E7494">
        <w:rPr>
          <w:color w:val="000000"/>
        </w:rPr>
        <w:t xml:space="preserve"> Local Commissioners</w:t>
      </w:r>
      <w:r>
        <w:rPr>
          <w:color w:val="000000"/>
        </w:rPr>
        <w:t>. They</w:t>
      </w:r>
      <w:r w:rsidRPr="008E7494">
        <w:rPr>
          <w:color w:val="000000"/>
        </w:rPr>
        <w:t xml:space="preserve"> are leaders of outstanding capability who are as comfortable negotiating with bureaucrats and Ministers, as they are meeting with and </w:t>
      </w:r>
      <w:r>
        <w:rPr>
          <w:color w:val="000000"/>
        </w:rPr>
        <w:t>assisting</w:t>
      </w:r>
      <w:r w:rsidRPr="008E7494">
        <w:rPr>
          <w:color w:val="000000"/>
        </w:rPr>
        <w:t xml:space="preserve"> their fellow community members.</w:t>
      </w:r>
    </w:p>
    <w:p w14:paraId="2466EF7B" w14:textId="535B49AA" w:rsidR="003E1F2B" w:rsidRDefault="00B97CB7" w:rsidP="00B97CB7">
      <w:pPr>
        <w:rPr>
          <w:color w:val="000000"/>
        </w:rPr>
      </w:pPr>
      <w:r>
        <w:rPr>
          <w:color w:val="000000"/>
        </w:rPr>
        <w:t xml:space="preserve">They have, however, been perplexed with the unexplained changes in Queensland Government policy concerning the Commission and have been unable to obtain any clarity of detail </w:t>
      </w:r>
      <w:proofErr w:type="gramStart"/>
      <w:r>
        <w:rPr>
          <w:color w:val="000000"/>
        </w:rPr>
        <w:t>in regard to</w:t>
      </w:r>
      <w:proofErr w:type="gramEnd"/>
      <w:r>
        <w:rPr>
          <w:color w:val="000000"/>
        </w:rPr>
        <w:t xml:space="preserve"> that policy.</w:t>
      </w:r>
    </w:p>
    <w:p w14:paraId="7025CE7B" w14:textId="77777777" w:rsidR="003E1F2B" w:rsidRDefault="003E1F2B">
      <w:pPr>
        <w:spacing w:after="160" w:line="259" w:lineRule="auto"/>
        <w:rPr>
          <w:color w:val="000000"/>
        </w:rPr>
      </w:pPr>
      <w:r>
        <w:rPr>
          <w:color w:val="000000"/>
        </w:rPr>
        <w:br w:type="page"/>
      </w:r>
    </w:p>
    <w:p w14:paraId="1BFDFBD5" w14:textId="763D7BB9" w:rsidR="00B97CB7" w:rsidRDefault="00B97CB7" w:rsidP="00B97CB7">
      <w:pPr>
        <w:rPr>
          <w:color w:val="000000"/>
        </w:rPr>
      </w:pPr>
      <w:r w:rsidRPr="005163D7">
        <w:rPr>
          <w:color w:val="000000"/>
        </w:rPr>
        <w:lastRenderedPageBreak/>
        <w:t>In the current year Local Commissioners have</w:t>
      </w:r>
      <w:r w:rsidR="00171741">
        <w:rPr>
          <w:color w:val="000000"/>
        </w:rPr>
        <w:t xml:space="preserve"> independently</w:t>
      </w:r>
      <w:r>
        <w:rPr>
          <w:color w:val="000000"/>
        </w:rPr>
        <w:t xml:space="preserve"> conducted </w:t>
      </w:r>
      <w:r w:rsidRPr="005163D7">
        <w:rPr>
          <w:color w:val="000000"/>
        </w:rPr>
        <w:t xml:space="preserve">most conferences. The </w:t>
      </w:r>
      <w:r>
        <w:rPr>
          <w:color w:val="000000"/>
        </w:rPr>
        <w:t xml:space="preserve">following </w:t>
      </w:r>
      <w:r w:rsidRPr="005163D7">
        <w:rPr>
          <w:color w:val="000000"/>
        </w:rPr>
        <w:t>table shows the</w:t>
      </w:r>
      <w:r>
        <w:rPr>
          <w:color w:val="000000"/>
        </w:rPr>
        <w:t>ir workload.</w:t>
      </w:r>
    </w:p>
    <w:p w14:paraId="79B2CC0E" w14:textId="11E999D9" w:rsidR="00B97CB7" w:rsidRPr="00433A96" w:rsidRDefault="00B97CB7" w:rsidP="00B97CB7">
      <w:pPr>
        <w:widowControl w:val="0"/>
        <w:autoSpaceDE w:val="0"/>
        <w:autoSpaceDN w:val="0"/>
        <w:adjustRightInd w:val="0"/>
        <w:ind w:left="720" w:hanging="720"/>
        <w:rPr>
          <w:rFonts w:ascii="Helvetica" w:hAnsi="Helvetica" w:cs="Helvetica"/>
          <w:b/>
          <w:bCs/>
          <w:sz w:val="17"/>
          <w:szCs w:val="17"/>
          <w:lang w:val="en-US"/>
        </w:rPr>
      </w:pPr>
      <w:r w:rsidRPr="00433A96">
        <w:rPr>
          <w:rFonts w:ascii="Helvetica" w:hAnsi="Helvetica" w:cs="Helvetica"/>
          <w:b/>
          <w:bCs/>
          <w:sz w:val="17"/>
          <w:szCs w:val="17"/>
          <w:lang w:val="en-US"/>
        </w:rPr>
        <w:t>Table 1: The percentage of conferences conducted with Local Commissioners sitting alone by community</w:t>
      </w:r>
      <w:r w:rsidR="008F7C6D">
        <w:rPr>
          <w:rFonts w:ascii="Helvetica" w:hAnsi="Helvetica" w:cs="Helvetica"/>
          <w:b/>
          <w:bCs/>
          <w:sz w:val="17"/>
          <w:szCs w:val="17"/>
          <w:lang w:val="en-US"/>
        </w:rPr>
        <w:br/>
      </w:r>
      <w:r w:rsidRPr="00433A96">
        <w:rPr>
          <w:rFonts w:ascii="Helvetica" w:hAnsi="Helvetica" w:cs="Helvetica"/>
          <w:b/>
          <w:bCs/>
          <w:sz w:val="17"/>
          <w:szCs w:val="17"/>
          <w:lang w:val="en-US"/>
        </w:rPr>
        <w:t>1 July 2018 to 30 June 2019.</w:t>
      </w:r>
    </w:p>
    <w:tbl>
      <w:tblPr>
        <w:tblW w:w="7796" w:type="dxa"/>
        <w:tblInd w:w="342" w:type="dxa"/>
        <w:tblCellMar>
          <w:left w:w="0" w:type="dxa"/>
          <w:right w:w="0" w:type="dxa"/>
        </w:tblCellMar>
        <w:tblLook w:val="04A0" w:firstRow="1" w:lastRow="0" w:firstColumn="1" w:lastColumn="0" w:noHBand="0" w:noVBand="1"/>
      </w:tblPr>
      <w:tblGrid>
        <w:gridCol w:w="1843"/>
        <w:gridCol w:w="1984"/>
        <w:gridCol w:w="1843"/>
        <w:gridCol w:w="2126"/>
      </w:tblGrid>
      <w:tr w:rsidR="00B97CB7" w14:paraId="19F37725" w14:textId="77777777" w:rsidTr="00047560">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4B1F55" w14:textId="77777777" w:rsidR="00B97CB7" w:rsidRPr="0049642B" w:rsidRDefault="00B97CB7" w:rsidP="00047560">
            <w:pPr>
              <w:spacing w:after="0"/>
              <w:rPr>
                <w:rFonts w:cs="Arial"/>
                <w:b/>
                <w:bCs/>
                <w:sz w:val="18"/>
                <w:szCs w:val="18"/>
              </w:rPr>
            </w:pPr>
            <w:r w:rsidRPr="0049642B">
              <w:rPr>
                <w:b/>
                <w:bCs/>
                <w:sz w:val="18"/>
                <w:szCs w:val="18"/>
              </w:rPr>
              <w:t>Community</w:t>
            </w:r>
          </w:p>
        </w:tc>
        <w:tc>
          <w:tcPr>
            <w:tcW w:w="1984" w:type="dxa"/>
            <w:tcBorders>
              <w:top w:val="single" w:sz="8" w:space="0" w:color="auto"/>
              <w:left w:val="nil"/>
              <w:bottom w:val="single" w:sz="8" w:space="0" w:color="auto"/>
              <w:right w:val="single" w:sz="8" w:space="0" w:color="auto"/>
            </w:tcBorders>
            <w:shd w:val="clear" w:color="auto" w:fill="CCCCFF"/>
            <w:tcMar>
              <w:top w:w="0" w:type="dxa"/>
              <w:left w:w="108" w:type="dxa"/>
              <w:bottom w:w="0" w:type="dxa"/>
              <w:right w:w="108" w:type="dxa"/>
            </w:tcMar>
            <w:vAlign w:val="bottom"/>
            <w:hideMark/>
          </w:tcPr>
          <w:p w14:paraId="6BFDEF98" w14:textId="77777777" w:rsidR="00B97CB7" w:rsidRPr="0049642B" w:rsidRDefault="00B97CB7" w:rsidP="00047560">
            <w:pPr>
              <w:spacing w:after="0"/>
              <w:jc w:val="center"/>
              <w:rPr>
                <w:rFonts w:ascii="Calibri" w:hAnsi="Calibri" w:cs="Calibri"/>
                <w:b/>
                <w:bCs/>
                <w:sz w:val="18"/>
                <w:szCs w:val="18"/>
              </w:rPr>
            </w:pPr>
            <w:r w:rsidRPr="0049642B">
              <w:rPr>
                <w:b/>
                <w:bCs/>
                <w:sz w:val="18"/>
                <w:szCs w:val="18"/>
              </w:rPr>
              <w:t>Conferences with Local Commissioners Sitting Alone</w:t>
            </w:r>
          </w:p>
        </w:tc>
        <w:tc>
          <w:tcPr>
            <w:tcW w:w="1843" w:type="dxa"/>
            <w:tcBorders>
              <w:top w:val="single" w:sz="8" w:space="0" w:color="auto"/>
              <w:left w:val="nil"/>
              <w:bottom w:val="single" w:sz="8" w:space="0" w:color="auto"/>
              <w:right w:val="single" w:sz="8" w:space="0" w:color="auto"/>
            </w:tcBorders>
            <w:shd w:val="clear" w:color="auto" w:fill="CCCCFF"/>
            <w:tcMar>
              <w:top w:w="0" w:type="dxa"/>
              <w:left w:w="108" w:type="dxa"/>
              <w:bottom w:w="0" w:type="dxa"/>
              <w:right w:w="108" w:type="dxa"/>
            </w:tcMar>
            <w:vAlign w:val="bottom"/>
            <w:hideMark/>
          </w:tcPr>
          <w:p w14:paraId="07DD93C2" w14:textId="77777777" w:rsidR="00B97CB7" w:rsidRPr="0049642B" w:rsidRDefault="00B97CB7" w:rsidP="00047560">
            <w:pPr>
              <w:spacing w:after="0"/>
              <w:jc w:val="center"/>
              <w:rPr>
                <w:b/>
                <w:bCs/>
                <w:sz w:val="18"/>
                <w:szCs w:val="18"/>
              </w:rPr>
            </w:pPr>
            <w:r w:rsidRPr="0049642B">
              <w:rPr>
                <w:b/>
                <w:bCs/>
                <w:sz w:val="18"/>
                <w:szCs w:val="18"/>
              </w:rPr>
              <w:t>Total Number of Conferences Held</w:t>
            </w:r>
          </w:p>
        </w:tc>
        <w:tc>
          <w:tcPr>
            <w:tcW w:w="2126" w:type="dxa"/>
            <w:tcBorders>
              <w:top w:val="single" w:sz="8" w:space="0" w:color="auto"/>
              <w:left w:val="nil"/>
              <w:bottom w:val="single" w:sz="8" w:space="0" w:color="auto"/>
              <w:right w:val="single" w:sz="8" w:space="0" w:color="auto"/>
            </w:tcBorders>
            <w:shd w:val="clear" w:color="auto" w:fill="CCCCFF"/>
            <w:tcMar>
              <w:top w:w="0" w:type="dxa"/>
              <w:left w:w="108" w:type="dxa"/>
              <w:bottom w:w="0" w:type="dxa"/>
              <w:right w:w="108" w:type="dxa"/>
            </w:tcMar>
            <w:vAlign w:val="bottom"/>
            <w:hideMark/>
          </w:tcPr>
          <w:p w14:paraId="5A7A1E91" w14:textId="77777777" w:rsidR="00B97CB7" w:rsidRPr="0049642B" w:rsidRDefault="00B97CB7" w:rsidP="00047560">
            <w:pPr>
              <w:spacing w:after="0"/>
              <w:jc w:val="center"/>
              <w:rPr>
                <w:b/>
                <w:bCs/>
                <w:sz w:val="18"/>
                <w:szCs w:val="18"/>
              </w:rPr>
            </w:pPr>
            <w:r w:rsidRPr="0049642B">
              <w:rPr>
                <w:b/>
                <w:bCs/>
                <w:sz w:val="18"/>
                <w:szCs w:val="18"/>
              </w:rPr>
              <w:t>Percentage of Conferences with Local Commissioners Sitting Alone</w:t>
            </w:r>
          </w:p>
        </w:tc>
      </w:tr>
      <w:tr w:rsidR="00B97CB7" w14:paraId="417B8E6B" w14:textId="77777777" w:rsidTr="00047560">
        <w:tc>
          <w:tcPr>
            <w:tcW w:w="1843" w:type="dxa"/>
            <w:tcBorders>
              <w:top w:val="nil"/>
              <w:left w:val="single" w:sz="8" w:space="0" w:color="auto"/>
              <w:bottom w:val="single" w:sz="8" w:space="0" w:color="auto"/>
              <w:right w:val="single" w:sz="8" w:space="0" w:color="auto"/>
            </w:tcBorders>
            <w:shd w:val="clear" w:color="auto" w:fill="CCCCFF"/>
            <w:tcMar>
              <w:top w:w="0" w:type="dxa"/>
              <w:left w:w="108" w:type="dxa"/>
              <w:bottom w:w="0" w:type="dxa"/>
              <w:right w:w="108" w:type="dxa"/>
            </w:tcMar>
            <w:hideMark/>
          </w:tcPr>
          <w:p w14:paraId="2C2E9172" w14:textId="77777777" w:rsidR="00B97CB7" w:rsidRDefault="00B97CB7" w:rsidP="00047560">
            <w:pPr>
              <w:spacing w:after="0"/>
            </w:pPr>
            <w:r>
              <w:t>Aurukun</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18E9570" w14:textId="77777777" w:rsidR="00B97CB7" w:rsidRPr="0005155A" w:rsidRDefault="00B97CB7" w:rsidP="00047560">
            <w:pPr>
              <w:spacing w:after="0"/>
              <w:jc w:val="right"/>
            </w:pPr>
            <w:r w:rsidRPr="0005155A">
              <w:t>1,066</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607A70E" w14:textId="77777777" w:rsidR="00B97CB7" w:rsidRPr="0005155A" w:rsidRDefault="00B97CB7" w:rsidP="00047560">
            <w:pPr>
              <w:spacing w:after="0"/>
              <w:jc w:val="right"/>
            </w:pPr>
            <w:r w:rsidRPr="0005155A">
              <w:t>1,090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EA094DD" w14:textId="77777777" w:rsidR="00B97CB7" w:rsidRPr="0005155A" w:rsidRDefault="00B97CB7" w:rsidP="00047560">
            <w:pPr>
              <w:spacing w:after="0"/>
              <w:jc w:val="right"/>
            </w:pPr>
            <w:r w:rsidRPr="0005155A">
              <w:t>97.8%</w:t>
            </w:r>
          </w:p>
        </w:tc>
      </w:tr>
      <w:tr w:rsidR="00B97CB7" w14:paraId="552531C6" w14:textId="77777777" w:rsidTr="00047560">
        <w:tc>
          <w:tcPr>
            <w:tcW w:w="1843" w:type="dxa"/>
            <w:tcBorders>
              <w:top w:val="nil"/>
              <w:left w:val="single" w:sz="8" w:space="0" w:color="auto"/>
              <w:bottom w:val="single" w:sz="8" w:space="0" w:color="auto"/>
              <w:right w:val="single" w:sz="8" w:space="0" w:color="auto"/>
            </w:tcBorders>
            <w:shd w:val="clear" w:color="auto" w:fill="CCCCFF"/>
            <w:tcMar>
              <w:top w:w="0" w:type="dxa"/>
              <w:left w:w="108" w:type="dxa"/>
              <w:bottom w:w="0" w:type="dxa"/>
              <w:right w:w="108" w:type="dxa"/>
            </w:tcMar>
            <w:hideMark/>
          </w:tcPr>
          <w:p w14:paraId="3C137830" w14:textId="0804AB25" w:rsidR="00B97CB7" w:rsidRDefault="00B97CB7" w:rsidP="00047560">
            <w:pPr>
              <w:spacing w:after="0"/>
            </w:pPr>
            <w:r>
              <w:t>Coen</w:t>
            </w:r>
            <w:r w:rsidR="00CB6723" w:rsidRPr="00A87B7C">
              <w:rPr>
                <w:vertAlign w:val="superscript"/>
              </w:rPr>
              <w:t>1</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1F690B2" w14:textId="77777777" w:rsidR="00B97CB7" w:rsidRPr="0005155A" w:rsidRDefault="00B97CB7" w:rsidP="00047560">
            <w:pPr>
              <w:spacing w:after="0"/>
              <w:jc w:val="right"/>
            </w:pPr>
            <w:r w:rsidRPr="0005155A">
              <w:t>34</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B19CC89" w14:textId="77777777" w:rsidR="00B97CB7" w:rsidRPr="0005155A" w:rsidRDefault="00B97CB7" w:rsidP="00047560">
            <w:pPr>
              <w:spacing w:after="0"/>
              <w:jc w:val="right"/>
            </w:pPr>
            <w:r w:rsidRPr="0005155A">
              <w:t>79</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7C895BD" w14:textId="77777777" w:rsidR="00B97CB7" w:rsidRPr="0005155A" w:rsidRDefault="00B97CB7" w:rsidP="00047560">
            <w:pPr>
              <w:spacing w:after="0"/>
              <w:jc w:val="right"/>
            </w:pPr>
            <w:r w:rsidRPr="0005155A">
              <w:t>43.</w:t>
            </w:r>
            <w:r>
              <w:t>0</w:t>
            </w:r>
            <w:r w:rsidRPr="0005155A">
              <w:t>%</w:t>
            </w:r>
          </w:p>
        </w:tc>
      </w:tr>
      <w:tr w:rsidR="00B97CB7" w14:paraId="1F020120" w14:textId="77777777" w:rsidTr="00047560">
        <w:tc>
          <w:tcPr>
            <w:tcW w:w="1843" w:type="dxa"/>
            <w:tcBorders>
              <w:top w:val="nil"/>
              <w:left w:val="single" w:sz="8" w:space="0" w:color="auto"/>
              <w:bottom w:val="single" w:sz="8" w:space="0" w:color="auto"/>
              <w:right w:val="single" w:sz="8" w:space="0" w:color="auto"/>
            </w:tcBorders>
            <w:shd w:val="clear" w:color="auto" w:fill="CCCCFF"/>
            <w:tcMar>
              <w:top w:w="0" w:type="dxa"/>
              <w:left w:w="108" w:type="dxa"/>
              <w:bottom w:w="0" w:type="dxa"/>
              <w:right w:w="108" w:type="dxa"/>
            </w:tcMar>
            <w:hideMark/>
          </w:tcPr>
          <w:p w14:paraId="0EF36907" w14:textId="77777777" w:rsidR="00B97CB7" w:rsidRDefault="00B97CB7" w:rsidP="00047560">
            <w:pPr>
              <w:spacing w:after="0"/>
            </w:pPr>
            <w:r>
              <w:t>Doomadgee</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B10DAD4" w14:textId="77777777" w:rsidR="00B97CB7" w:rsidRPr="0005155A" w:rsidRDefault="00B97CB7" w:rsidP="00047560">
            <w:pPr>
              <w:spacing w:after="0"/>
              <w:jc w:val="right"/>
            </w:pPr>
            <w:r w:rsidRPr="0005155A">
              <w:t>1,048</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0A7D414" w14:textId="77777777" w:rsidR="00B97CB7" w:rsidRPr="0005155A" w:rsidRDefault="00B97CB7" w:rsidP="00047560">
            <w:pPr>
              <w:spacing w:after="0"/>
              <w:jc w:val="right"/>
            </w:pPr>
            <w:r w:rsidRPr="0005155A">
              <w:t>1,051</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17FCDAC" w14:textId="77777777" w:rsidR="00B97CB7" w:rsidRPr="0005155A" w:rsidRDefault="00B97CB7" w:rsidP="00047560">
            <w:pPr>
              <w:spacing w:after="0"/>
              <w:jc w:val="right"/>
            </w:pPr>
            <w:r w:rsidRPr="0005155A">
              <w:t>99.7%</w:t>
            </w:r>
          </w:p>
        </w:tc>
      </w:tr>
      <w:tr w:rsidR="00B97CB7" w14:paraId="478C0730" w14:textId="77777777" w:rsidTr="00047560">
        <w:tc>
          <w:tcPr>
            <w:tcW w:w="1843" w:type="dxa"/>
            <w:tcBorders>
              <w:top w:val="nil"/>
              <w:left w:val="single" w:sz="8" w:space="0" w:color="auto"/>
              <w:bottom w:val="single" w:sz="8" w:space="0" w:color="auto"/>
              <w:right w:val="single" w:sz="8" w:space="0" w:color="auto"/>
            </w:tcBorders>
            <w:shd w:val="clear" w:color="auto" w:fill="CCCCFF"/>
            <w:tcMar>
              <w:top w:w="0" w:type="dxa"/>
              <w:left w:w="108" w:type="dxa"/>
              <w:bottom w:w="0" w:type="dxa"/>
              <w:right w:w="108" w:type="dxa"/>
            </w:tcMar>
            <w:hideMark/>
          </w:tcPr>
          <w:p w14:paraId="2AF1E099" w14:textId="77777777" w:rsidR="00B97CB7" w:rsidRDefault="00B97CB7" w:rsidP="00047560">
            <w:pPr>
              <w:spacing w:after="0"/>
            </w:pPr>
            <w:r>
              <w:t>Hope Vale</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C4226DD" w14:textId="77777777" w:rsidR="00B97CB7" w:rsidRPr="0005155A" w:rsidRDefault="00B97CB7" w:rsidP="00047560">
            <w:pPr>
              <w:spacing w:after="0"/>
              <w:jc w:val="right"/>
            </w:pPr>
            <w:r w:rsidRPr="0005155A">
              <w:t>326</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0D99CE1" w14:textId="77777777" w:rsidR="00B97CB7" w:rsidRPr="0005155A" w:rsidRDefault="00B97CB7" w:rsidP="00047560">
            <w:pPr>
              <w:spacing w:after="0"/>
              <w:jc w:val="right"/>
            </w:pPr>
            <w:r w:rsidRPr="0005155A">
              <w:t>337</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764227E" w14:textId="77777777" w:rsidR="00B97CB7" w:rsidRPr="0005155A" w:rsidRDefault="00B97CB7" w:rsidP="00047560">
            <w:pPr>
              <w:spacing w:after="0"/>
              <w:jc w:val="right"/>
            </w:pPr>
            <w:r w:rsidRPr="0005155A">
              <w:t>96.7%</w:t>
            </w:r>
          </w:p>
        </w:tc>
      </w:tr>
      <w:tr w:rsidR="00B97CB7" w14:paraId="5515CBC3" w14:textId="77777777" w:rsidTr="00047560">
        <w:tc>
          <w:tcPr>
            <w:tcW w:w="1843" w:type="dxa"/>
            <w:tcBorders>
              <w:top w:val="nil"/>
              <w:left w:val="single" w:sz="8" w:space="0" w:color="auto"/>
              <w:bottom w:val="single" w:sz="8" w:space="0" w:color="auto"/>
              <w:right w:val="single" w:sz="8" w:space="0" w:color="auto"/>
            </w:tcBorders>
            <w:shd w:val="clear" w:color="auto" w:fill="CCCCFF"/>
            <w:tcMar>
              <w:top w:w="0" w:type="dxa"/>
              <w:left w:w="108" w:type="dxa"/>
              <w:bottom w:w="0" w:type="dxa"/>
              <w:right w:w="108" w:type="dxa"/>
            </w:tcMar>
            <w:hideMark/>
          </w:tcPr>
          <w:p w14:paraId="61FCA29A" w14:textId="77777777" w:rsidR="00B97CB7" w:rsidRDefault="00B97CB7" w:rsidP="00047560">
            <w:pPr>
              <w:spacing w:after="0"/>
            </w:pPr>
            <w:r>
              <w:t>Mossman Gorge</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3F6CE28" w14:textId="77777777" w:rsidR="00B97CB7" w:rsidRPr="0005155A" w:rsidRDefault="00B97CB7" w:rsidP="00047560">
            <w:pPr>
              <w:spacing w:after="0"/>
              <w:jc w:val="right"/>
            </w:pPr>
            <w:r w:rsidRPr="0005155A">
              <w:t>125</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E4F90B3" w14:textId="77777777" w:rsidR="00B97CB7" w:rsidRPr="0005155A" w:rsidRDefault="00B97CB7" w:rsidP="00047560">
            <w:pPr>
              <w:spacing w:after="0"/>
              <w:jc w:val="right"/>
            </w:pPr>
            <w:r w:rsidRPr="0005155A">
              <w:t>125</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D6EF765" w14:textId="77777777" w:rsidR="00B97CB7" w:rsidRPr="0005155A" w:rsidRDefault="00B97CB7" w:rsidP="00047560">
            <w:pPr>
              <w:spacing w:after="0"/>
              <w:jc w:val="right"/>
            </w:pPr>
            <w:r w:rsidRPr="0005155A">
              <w:t>100.0%</w:t>
            </w:r>
          </w:p>
        </w:tc>
      </w:tr>
      <w:tr w:rsidR="00B97CB7" w14:paraId="3E2A2605" w14:textId="77777777" w:rsidTr="00047560">
        <w:tc>
          <w:tcPr>
            <w:tcW w:w="1843" w:type="dxa"/>
            <w:tcBorders>
              <w:top w:val="nil"/>
              <w:left w:val="single" w:sz="8" w:space="0" w:color="auto"/>
              <w:bottom w:val="single" w:sz="8" w:space="0" w:color="auto"/>
              <w:right w:val="single" w:sz="8" w:space="0" w:color="auto"/>
            </w:tcBorders>
            <w:shd w:val="clear" w:color="auto" w:fill="CCCCFF"/>
            <w:tcMar>
              <w:top w:w="0" w:type="dxa"/>
              <w:left w:w="108" w:type="dxa"/>
              <w:bottom w:w="0" w:type="dxa"/>
              <w:right w:w="108" w:type="dxa"/>
            </w:tcMar>
            <w:hideMark/>
          </w:tcPr>
          <w:p w14:paraId="4036CB3C" w14:textId="77777777" w:rsidR="00B97CB7" w:rsidRDefault="00B97CB7" w:rsidP="00047560">
            <w:pPr>
              <w:spacing w:after="0"/>
              <w:rPr>
                <w:b/>
                <w:bCs/>
              </w:rPr>
            </w:pPr>
            <w:r>
              <w:rPr>
                <w:b/>
                <w:bCs/>
              </w:rPr>
              <w:t>Total</w:t>
            </w:r>
          </w:p>
        </w:tc>
        <w:tc>
          <w:tcPr>
            <w:tcW w:w="1984" w:type="dxa"/>
            <w:tcBorders>
              <w:top w:val="nil"/>
              <w:left w:val="nil"/>
              <w:bottom w:val="single" w:sz="8" w:space="0" w:color="auto"/>
              <w:right w:val="single" w:sz="8" w:space="0" w:color="auto"/>
            </w:tcBorders>
            <w:shd w:val="clear" w:color="auto" w:fill="CCCCFF"/>
            <w:tcMar>
              <w:top w:w="0" w:type="dxa"/>
              <w:left w:w="108" w:type="dxa"/>
              <w:bottom w:w="0" w:type="dxa"/>
              <w:right w:w="108" w:type="dxa"/>
            </w:tcMar>
            <w:vAlign w:val="bottom"/>
            <w:hideMark/>
          </w:tcPr>
          <w:p w14:paraId="111F9D02" w14:textId="77777777" w:rsidR="00B97CB7" w:rsidRPr="0005155A" w:rsidRDefault="00B97CB7" w:rsidP="00047560">
            <w:pPr>
              <w:spacing w:after="0"/>
              <w:jc w:val="right"/>
              <w:rPr>
                <w:b/>
                <w:bCs/>
              </w:rPr>
            </w:pPr>
            <w:r w:rsidRPr="0005155A">
              <w:rPr>
                <w:b/>
                <w:bCs/>
              </w:rPr>
              <w:t>2,599</w:t>
            </w:r>
          </w:p>
        </w:tc>
        <w:tc>
          <w:tcPr>
            <w:tcW w:w="1843" w:type="dxa"/>
            <w:tcBorders>
              <w:top w:val="nil"/>
              <w:left w:val="nil"/>
              <w:bottom w:val="single" w:sz="8" w:space="0" w:color="auto"/>
              <w:right w:val="single" w:sz="8" w:space="0" w:color="auto"/>
            </w:tcBorders>
            <w:shd w:val="clear" w:color="auto" w:fill="CCCCFF"/>
            <w:tcMar>
              <w:top w:w="0" w:type="dxa"/>
              <w:left w:w="108" w:type="dxa"/>
              <w:bottom w:w="0" w:type="dxa"/>
              <w:right w:w="108" w:type="dxa"/>
            </w:tcMar>
            <w:vAlign w:val="bottom"/>
            <w:hideMark/>
          </w:tcPr>
          <w:p w14:paraId="04D711E6" w14:textId="77777777" w:rsidR="00B97CB7" w:rsidRPr="0005155A" w:rsidRDefault="00B97CB7" w:rsidP="00047560">
            <w:pPr>
              <w:spacing w:after="0"/>
              <w:jc w:val="right"/>
              <w:rPr>
                <w:b/>
                <w:bCs/>
              </w:rPr>
            </w:pPr>
            <w:r w:rsidRPr="0005155A">
              <w:rPr>
                <w:b/>
                <w:bCs/>
              </w:rPr>
              <w:t>2,682</w:t>
            </w:r>
          </w:p>
        </w:tc>
        <w:tc>
          <w:tcPr>
            <w:tcW w:w="2126" w:type="dxa"/>
            <w:tcBorders>
              <w:top w:val="nil"/>
              <w:left w:val="nil"/>
              <w:bottom w:val="single" w:sz="8" w:space="0" w:color="auto"/>
              <w:right w:val="single" w:sz="8" w:space="0" w:color="auto"/>
            </w:tcBorders>
            <w:shd w:val="clear" w:color="auto" w:fill="CCCCFF"/>
            <w:tcMar>
              <w:top w:w="0" w:type="dxa"/>
              <w:left w:w="108" w:type="dxa"/>
              <w:bottom w:w="0" w:type="dxa"/>
              <w:right w:w="108" w:type="dxa"/>
            </w:tcMar>
            <w:vAlign w:val="bottom"/>
            <w:hideMark/>
          </w:tcPr>
          <w:p w14:paraId="49D6528F" w14:textId="77777777" w:rsidR="00B97CB7" w:rsidRPr="0005155A" w:rsidRDefault="00B97CB7" w:rsidP="00047560">
            <w:pPr>
              <w:spacing w:after="0"/>
              <w:jc w:val="right"/>
              <w:rPr>
                <w:b/>
                <w:bCs/>
              </w:rPr>
            </w:pPr>
            <w:r w:rsidRPr="0005155A">
              <w:rPr>
                <w:b/>
                <w:bCs/>
              </w:rPr>
              <w:t>96.9%</w:t>
            </w:r>
          </w:p>
        </w:tc>
      </w:tr>
    </w:tbl>
    <w:p w14:paraId="01AE85DD" w14:textId="48D76F8B" w:rsidR="00A87B7C" w:rsidRPr="0086460B" w:rsidRDefault="00443439" w:rsidP="0086460B">
      <w:pPr>
        <w:spacing w:before="120"/>
        <w:rPr>
          <w:color w:val="000000"/>
          <w:sz w:val="16"/>
          <w:szCs w:val="16"/>
        </w:rPr>
      </w:pPr>
      <w:r>
        <w:rPr>
          <w:color w:val="000000"/>
          <w:sz w:val="16"/>
          <w:szCs w:val="16"/>
        </w:rPr>
        <w:t>1. C</w:t>
      </w:r>
      <w:r w:rsidR="00B97CB7" w:rsidRPr="00443439">
        <w:rPr>
          <w:color w:val="000000"/>
          <w:sz w:val="16"/>
          <w:szCs w:val="16"/>
        </w:rPr>
        <w:t>oen Commissioners are all engaged in full</w:t>
      </w:r>
      <w:r w:rsidR="003F59DF">
        <w:rPr>
          <w:color w:val="000000"/>
          <w:sz w:val="16"/>
          <w:szCs w:val="16"/>
        </w:rPr>
        <w:t>-</w:t>
      </w:r>
      <w:r w:rsidR="00B97CB7" w:rsidRPr="00443439">
        <w:rPr>
          <w:color w:val="000000"/>
          <w:sz w:val="16"/>
          <w:szCs w:val="16"/>
        </w:rPr>
        <w:t>time employment. On some occasions only two Local Commissioners have been available. On such occasions the FRC Commissioner attends either in person or by phone.</w:t>
      </w:r>
    </w:p>
    <w:p w14:paraId="06DFFB5F" w14:textId="7A85FFAD" w:rsidR="00B97CB7" w:rsidRDefault="00B97CB7" w:rsidP="0086460B">
      <w:pPr>
        <w:spacing w:before="240"/>
        <w:rPr>
          <w:color w:val="000000"/>
        </w:rPr>
      </w:pPr>
      <w:r w:rsidRPr="008E7494">
        <w:rPr>
          <w:color w:val="000000"/>
        </w:rPr>
        <w:t>The</w:t>
      </w:r>
      <w:r>
        <w:rPr>
          <w:color w:val="000000"/>
        </w:rPr>
        <w:t xml:space="preserve"> Local Commissioners</w:t>
      </w:r>
      <w:r w:rsidRPr="008E7494">
        <w:rPr>
          <w:color w:val="000000"/>
        </w:rPr>
        <w:t xml:space="preserve"> live every</w:t>
      </w:r>
      <w:r>
        <w:rPr>
          <w:color w:val="000000"/>
        </w:rPr>
        <w:t xml:space="preserve"> </w:t>
      </w:r>
      <w:r w:rsidRPr="008E7494">
        <w:rPr>
          <w:color w:val="000000"/>
        </w:rPr>
        <w:t xml:space="preserve">day with the responsibility </w:t>
      </w:r>
      <w:r>
        <w:rPr>
          <w:color w:val="000000"/>
        </w:rPr>
        <w:t>for</w:t>
      </w:r>
      <w:r w:rsidRPr="008E7494">
        <w:rPr>
          <w:color w:val="000000"/>
        </w:rPr>
        <w:t>, and reaction to, their decisions</w:t>
      </w:r>
      <w:r>
        <w:rPr>
          <w:color w:val="000000"/>
        </w:rPr>
        <w:t xml:space="preserve"> and are often subject to threats and abuse. The Commission ensures that debriefing and professional counselling is readily available to them and their families</w:t>
      </w:r>
      <w:r w:rsidR="00F9133C">
        <w:rPr>
          <w:color w:val="000000"/>
        </w:rPr>
        <w:t>.</w:t>
      </w:r>
    </w:p>
    <w:p w14:paraId="59BB201C" w14:textId="77777777" w:rsidR="00B97CB7" w:rsidRPr="00A82551" w:rsidRDefault="00B97CB7" w:rsidP="00B97CB7">
      <w:r w:rsidRPr="008E7494">
        <w:rPr>
          <w:color w:val="000000"/>
        </w:rPr>
        <w:t xml:space="preserve">The Commission’s work in strengthening Indigenous local authority, building and maintaining respect for Indigenous decision-making, and encouraging local community members to take responsibility for their lives </w:t>
      </w:r>
      <w:r>
        <w:rPr>
          <w:color w:val="000000"/>
        </w:rPr>
        <w:t>is acknowledged by both State and Australian Parliaments</w:t>
      </w:r>
      <w:r w:rsidRPr="008E7494">
        <w:rPr>
          <w:color w:val="000000"/>
        </w:rPr>
        <w:t>.</w:t>
      </w:r>
    </w:p>
    <w:p w14:paraId="7ACBBFA4" w14:textId="77777777" w:rsidR="00B97CB7" w:rsidRDefault="00B97CB7" w:rsidP="00B97CB7">
      <w:r w:rsidRPr="008E7494">
        <w:t xml:space="preserve">In each community there has been significant and lasting improvement to the wellbeing, safety and education of </w:t>
      </w:r>
      <w:r>
        <w:t>its</w:t>
      </w:r>
      <w:r w:rsidRPr="008E7494">
        <w:t xml:space="preserve"> children.</w:t>
      </w:r>
    </w:p>
    <w:p w14:paraId="42B604CD" w14:textId="77777777" w:rsidR="00C82EEE" w:rsidRPr="002C013C" w:rsidRDefault="00C82EEE" w:rsidP="00F855B1">
      <w:pPr>
        <w:pStyle w:val="Heading3"/>
        <w:rPr>
          <w:i/>
        </w:rPr>
      </w:pPr>
      <w:r w:rsidRPr="002C013C">
        <w:t>Griffith Neighbourhoods Project</w:t>
      </w:r>
    </w:p>
    <w:p w14:paraId="3005B645" w14:textId="7EFD4584" w:rsidR="00C82EEE" w:rsidRDefault="00C82EEE" w:rsidP="00C82EEE">
      <w:pPr>
        <w:rPr>
          <w:color w:val="000000"/>
        </w:rPr>
      </w:pPr>
      <w:r w:rsidRPr="0082353E">
        <w:rPr>
          <w:color w:val="000000"/>
        </w:rPr>
        <w:t xml:space="preserve">I was informed on 20 May that the contract between </w:t>
      </w:r>
      <w:r>
        <w:rPr>
          <w:color w:val="000000"/>
        </w:rPr>
        <w:t xml:space="preserve">the </w:t>
      </w:r>
      <w:r w:rsidRPr="0082353E">
        <w:rPr>
          <w:color w:val="000000"/>
        </w:rPr>
        <w:t>D</w:t>
      </w:r>
      <w:r>
        <w:rPr>
          <w:color w:val="000000"/>
        </w:rPr>
        <w:t xml:space="preserve">epartment of </w:t>
      </w:r>
      <w:r w:rsidRPr="0082353E">
        <w:rPr>
          <w:color w:val="000000"/>
        </w:rPr>
        <w:t>A</w:t>
      </w:r>
      <w:r>
        <w:rPr>
          <w:color w:val="000000"/>
        </w:rPr>
        <w:t xml:space="preserve">boriginal and </w:t>
      </w:r>
      <w:r w:rsidRPr="0082353E">
        <w:rPr>
          <w:color w:val="000000"/>
        </w:rPr>
        <w:t>T</w:t>
      </w:r>
      <w:r>
        <w:rPr>
          <w:color w:val="000000"/>
        </w:rPr>
        <w:t xml:space="preserve">orres </w:t>
      </w:r>
      <w:r w:rsidRPr="0082353E">
        <w:rPr>
          <w:color w:val="000000"/>
        </w:rPr>
        <w:t>S</w:t>
      </w:r>
      <w:r>
        <w:rPr>
          <w:color w:val="000000"/>
        </w:rPr>
        <w:t xml:space="preserve">trait </w:t>
      </w:r>
      <w:r w:rsidRPr="0082353E">
        <w:rPr>
          <w:color w:val="000000"/>
        </w:rPr>
        <w:t>I</w:t>
      </w:r>
      <w:r>
        <w:rPr>
          <w:color w:val="000000"/>
        </w:rPr>
        <w:t xml:space="preserve">slander </w:t>
      </w:r>
      <w:r w:rsidRPr="0082353E">
        <w:rPr>
          <w:color w:val="000000"/>
        </w:rPr>
        <w:t>P</w:t>
      </w:r>
      <w:r>
        <w:rPr>
          <w:color w:val="000000"/>
        </w:rPr>
        <w:t>artnerships (DATSIP)</w:t>
      </w:r>
      <w:r w:rsidRPr="0082353E">
        <w:rPr>
          <w:color w:val="000000"/>
        </w:rPr>
        <w:t xml:space="preserve"> and </w:t>
      </w:r>
      <w:r>
        <w:rPr>
          <w:color w:val="000000"/>
        </w:rPr>
        <w:t xml:space="preserve">the </w:t>
      </w:r>
      <w:r w:rsidRPr="0082353E">
        <w:rPr>
          <w:color w:val="000000"/>
        </w:rPr>
        <w:t>Griffith Neighbourhoods Project</w:t>
      </w:r>
      <w:r>
        <w:rPr>
          <w:color w:val="000000"/>
        </w:rPr>
        <w:t xml:space="preserve"> would</w:t>
      </w:r>
      <w:r w:rsidRPr="0082353E">
        <w:rPr>
          <w:color w:val="000000"/>
        </w:rPr>
        <w:t xml:space="preserve"> not be extended past 28 June 2019.</w:t>
      </w:r>
      <w:r w:rsidR="00413E34">
        <w:rPr>
          <w:color w:val="000000"/>
        </w:rPr>
        <w:t xml:space="preserve"> </w:t>
      </w:r>
      <w:r w:rsidRPr="0082353E">
        <w:rPr>
          <w:color w:val="000000"/>
        </w:rPr>
        <w:t>Aurukun Commissioner</w:t>
      </w:r>
      <w:r>
        <w:rPr>
          <w:color w:val="000000"/>
        </w:rPr>
        <w:t>s</w:t>
      </w:r>
      <w:r w:rsidRPr="0082353E">
        <w:rPr>
          <w:color w:val="000000"/>
        </w:rPr>
        <w:t xml:space="preserve"> who have worked with this </w:t>
      </w:r>
      <w:r>
        <w:rPr>
          <w:color w:val="000000"/>
        </w:rPr>
        <w:t>p</w:t>
      </w:r>
      <w:r w:rsidRPr="0082353E">
        <w:rPr>
          <w:color w:val="000000"/>
        </w:rPr>
        <w:t>roject since early 200</w:t>
      </w:r>
      <w:r>
        <w:rPr>
          <w:color w:val="000000"/>
        </w:rPr>
        <w:t>9</w:t>
      </w:r>
      <w:r w:rsidRPr="0082353E">
        <w:rPr>
          <w:color w:val="000000"/>
        </w:rPr>
        <w:t xml:space="preserve"> are concerned there is no alternative service provider</w:t>
      </w:r>
      <w:r>
        <w:rPr>
          <w:color w:val="000000"/>
        </w:rPr>
        <w:t xml:space="preserve"> </w:t>
      </w:r>
      <w:r w:rsidRPr="0082353E">
        <w:rPr>
          <w:color w:val="000000"/>
        </w:rPr>
        <w:t xml:space="preserve">that provides the same </w:t>
      </w:r>
      <w:r>
        <w:rPr>
          <w:color w:val="000000"/>
        </w:rPr>
        <w:t xml:space="preserve">level of </w:t>
      </w:r>
      <w:r w:rsidRPr="0082353E">
        <w:rPr>
          <w:color w:val="000000"/>
        </w:rPr>
        <w:t>programs</w:t>
      </w:r>
      <w:r>
        <w:rPr>
          <w:color w:val="000000"/>
        </w:rPr>
        <w:t xml:space="preserve"> </w:t>
      </w:r>
      <w:r w:rsidRPr="0082353E">
        <w:rPr>
          <w:color w:val="000000"/>
        </w:rPr>
        <w:t>in Aurukun</w:t>
      </w:r>
      <w:r>
        <w:rPr>
          <w:color w:val="000000"/>
        </w:rPr>
        <w:t>,</w:t>
      </w:r>
      <w:r w:rsidRPr="0082353E">
        <w:rPr>
          <w:color w:val="000000"/>
        </w:rPr>
        <w:t xml:space="preserve"> and </w:t>
      </w:r>
      <w:r>
        <w:rPr>
          <w:color w:val="000000"/>
        </w:rPr>
        <w:t xml:space="preserve">that </w:t>
      </w:r>
      <w:r w:rsidRPr="0082353E">
        <w:rPr>
          <w:color w:val="000000"/>
        </w:rPr>
        <w:t xml:space="preserve">there will </w:t>
      </w:r>
      <w:r>
        <w:rPr>
          <w:color w:val="000000"/>
        </w:rPr>
        <w:t xml:space="preserve">be </w:t>
      </w:r>
      <w:r w:rsidRPr="0082353E">
        <w:rPr>
          <w:color w:val="000000"/>
        </w:rPr>
        <w:t>a significant impact on the community with its departure.</w:t>
      </w:r>
      <w:r>
        <w:rPr>
          <w:color w:val="000000"/>
        </w:rPr>
        <w:t xml:space="preserve"> They have on their own initiative made submissions to the Deputy Premier,</w:t>
      </w:r>
      <w:r w:rsidRPr="00EC58F2">
        <w:rPr>
          <w:color w:val="000000"/>
        </w:rPr>
        <w:t xml:space="preserve"> </w:t>
      </w:r>
      <w:r w:rsidRPr="004260A2">
        <w:rPr>
          <w:color w:val="000000"/>
        </w:rPr>
        <w:t>Treasurer and Minister for Aboriginal and Torres Strait Islander Partnerships</w:t>
      </w:r>
      <w:r>
        <w:rPr>
          <w:color w:val="000000"/>
        </w:rPr>
        <w:t>, the Hon</w:t>
      </w:r>
      <w:r w:rsidR="00DC21CC">
        <w:rPr>
          <w:color w:val="000000"/>
        </w:rPr>
        <w:t>ourable</w:t>
      </w:r>
      <w:r>
        <w:rPr>
          <w:color w:val="000000"/>
        </w:rPr>
        <w:t xml:space="preserve"> Jackie Trad MP, and the Aurukun Ministerial Champion the Hon</w:t>
      </w:r>
      <w:r w:rsidR="00DC21CC">
        <w:rPr>
          <w:color w:val="000000"/>
        </w:rPr>
        <w:t>ourable</w:t>
      </w:r>
      <w:r>
        <w:rPr>
          <w:color w:val="000000"/>
        </w:rPr>
        <w:t xml:space="preserve"> Di Farmer MP, Minister for </w:t>
      </w:r>
      <w:r w:rsidR="00413E34">
        <w:rPr>
          <w:color w:val="000000"/>
        </w:rPr>
        <w:t xml:space="preserve">the Department of </w:t>
      </w:r>
      <w:r w:rsidRPr="00C268C5">
        <w:rPr>
          <w:color w:val="000000"/>
        </w:rPr>
        <w:t xml:space="preserve">Child Safety, Youth and Women </w:t>
      </w:r>
      <w:r w:rsidR="00413E34">
        <w:rPr>
          <w:color w:val="000000"/>
        </w:rPr>
        <w:t xml:space="preserve">(DCSYW) </w:t>
      </w:r>
      <w:r w:rsidRPr="00C268C5">
        <w:rPr>
          <w:color w:val="000000"/>
        </w:rPr>
        <w:t>and Minister for the Prevention of Domestic and Family Violence</w:t>
      </w:r>
      <w:r>
        <w:rPr>
          <w:color w:val="000000"/>
        </w:rPr>
        <w:t>, to reconsider their decision.</w:t>
      </w:r>
      <w:r w:rsidR="00F8387B" w:rsidRPr="00EC58F2">
        <w:rPr>
          <w:color w:val="000000"/>
        </w:rPr>
        <w:t xml:space="preserve"> </w:t>
      </w:r>
      <w:r w:rsidR="0063219A" w:rsidRPr="004D32A3">
        <w:rPr>
          <w:color w:val="000000"/>
        </w:rPr>
        <w:t>DCSYW</w:t>
      </w:r>
      <w:r w:rsidR="00F8387B" w:rsidRPr="00F8387B">
        <w:rPr>
          <w:color w:val="000000"/>
        </w:rPr>
        <w:t xml:space="preserve"> </w:t>
      </w:r>
      <w:r w:rsidR="00761469">
        <w:rPr>
          <w:color w:val="000000"/>
        </w:rPr>
        <w:t xml:space="preserve">has </w:t>
      </w:r>
      <w:r w:rsidR="00F8387B" w:rsidRPr="00F8387B">
        <w:rPr>
          <w:color w:val="000000"/>
        </w:rPr>
        <w:t>advise</w:t>
      </w:r>
      <w:r w:rsidR="00761469">
        <w:rPr>
          <w:color w:val="000000"/>
        </w:rPr>
        <w:t>d that</w:t>
      </w:r>
      <w:r w:rsidR="00F8387B" w:rsidRPr="00F8387B">
        <w:rPr>
          <w:color w:val="000000"/>
        </w:rPr>
        <w:t xml:space="preserve"> Youth Empowered Towards Independence has been approved as the successful provider to deliver the project for the 12</w:t>
      </w:r>
      <w:r w:rsidR="00893766">
        <w:rPr>
          <w:color w:val="000000"/>
        </w:rPr>
        <w:t>-</w:t>
      </w:r>
      <w:r w:rsidR="00F8387B" w:rsidRPr="00F8387B">
        <w:rPr>
          <w:color w:val="000000"/>
        </w:rPr>
        <w:t>month period 1 July 2019 to 30 June 2020</w:t>
      </w:r>
      <w:r w:rsidR="00761469">
        <w:rPr>
          <w:color w:val="000000"/>
        </w:rPr>
        <w:t>,</w:t>
      </w:r>
      <w:r w:rsidR="00F8387B">
        <w:rPr>
          <w:color w:val="000000"/>
        </w:rPr>
        <w:t xml:space="preserve"> and it is hoped the capacity building which is a key feature of the program will</w:t>
      </w:r>
      <w:r w:rsidR="00413E34">
        <w:rPr>
          <w:color w:val="000000"/>
        </w:rPr>
        <w:t xml:space="preserve"> </w:t>
      </w:r>
      <w:r w:rsidR="00B557DE">
        <w:rPr>
          <w:color w:val="000000"/>
        </w:rPr>
        <w:t xml:space="preserve">build upon the great work </w:t>
      </w:r>
      <w:r w:rsidR="002A1591">
        <w:rPr>
          <w:color w:val="000000"/>
        </w:rPr>
        <w:t xml:space="preserve">already </w:t>
      </w:r>
      <w:r w:rsidR="00B557DE">
        <w:rPr>
          <w:color w:val="000000"/>
        </w:rPr>
        <w:t>carried out by members of the Griffith Neighbourhoods Project team</w:t>
      </w:r>
      <w:r w:rsidR="00413E34">
        <w:rPr>
          <w:color w:val="000000"/>
        </w:rPr>
        <w:t>.</w:t>
      </w:r>
    </w:p>
    <w:p w14:paraId="279046F4" w14:textId="77777777" w:rsidR="000B15B1" w:rsidRPr="00B557DE" w:rsidRDefault="000B15B1" w:rsidP="00B557DE">
      <w:r w:rsidRPr="00B557DE">
        <w:br w:type="page"/>
      </w:r>
    </w:p>
    <w:p w14:paraId="7583DEE0" w14:textId="5499B3B7" w:rsidR="00B97CB7" w:rsidRPr="002C013C" w:rsidRDefault="00B97CB7" w:rsidP="00F855B1">
      <w:pPr>
        <w:pStyle w:val="Heading3"/>
        <w:rPr>
          <w:i/>
        </w:rPr>
      </w:pPr>
      <w:r w:rsidRPr="002C013C">
        <w:lastRenderedPageBreak/>
        <w:t>Conditional income management</w:t>
      </w:r>
    </w:p>
    <w:p w14:paraId="5F0A3195" w14:textId="77777777" w:rsidR="00B97CB7" w:rsidRDefault="00B97CB7" w:rsidP="00B97CB7">
      <w:r>
        <w:t>Since</w:t>
      </w:r>
      <w:r w:rsidRPr="008E7494">
        <w:t xml:space="preserve"> the Commission commenced </w:t>
      </w:r>
      <w:r>
        <w:t xml:space="preserve">in July 2008 some concern has been expressed </w:t>
      </w:r>
      <w:r w:rsidRPr="008E7494">
        <w:t>as to whether the Local Commissioners should have the authority to income</w:t>
      </w:r>
      <w:r>
        <w:t>-</w:t>
      </w:r>
      <w:r w:rsidRPr="008E7494">
        <w:t xml:space="preserve">manage clients. </w:t>
      </w:r>
      <w:r>
        <w:t xml:space="preserve">The </w:t>
      </w:r>
      <w:r w:rsidRPr="00C7418D">
        <w:t>Social Security (Administration) Amendment (Income Management and Cashless Welfare) Bill 2019</w:t>
      </w:r>
      <w:r>
        <w:t xml:space="preserve"> providing for the extension of the Commission’s powers to 30 June 2020 was passed with the support of the </w:t>
      </w:r>
      <w:proofErr w:type="spellStart"/>
      <w:r>
        <w:t>Labor</w:t>
      </w:r>
      <w:proofErr w:type="spellEnd"/>
      <w:r>
        <w:t xml:space="preserve"> opposition in the Australian Parliament on 4 April 2019 and received Royal Assent on 5 April 2019.</w:t>
      </w:r>
    </w:p>
    <w:p w14:paraId="251D04DC" w14:textId="77777777" w:rsidR="00B97CB7" w:rsidRDefault="00B97CB7" w:rsidP="00B97CB7">
      <w:pPr>
        <w:rPr>
          <w:color w:val="000000"/>
        </w:rPr>
      </w:pPr>
      <w:r w:rsidRPr="008E7494">
        <w:t xml:space="preserve">Unlike other trials, the FRC was never part of a blanket </w:t>
      </w:r>
      <w:r>
        <w:t>i</w:t>
      </w:r>
      <w:r w:rsidRPr="008E7494">
        <w:t xml:space="preserve">ncome </w:t>
      </w:r>
      <w:r>
        <w:t>m</w:t>
      </w:r>
      <w:r w:rsidRPr="008E7494">
        <w:t>anagement program.</w:t>
      </w:r>
      <w:r>
        <w:t xml:space="preserve"> C</w:t>
      </w:r>
      <w:r w:rsidRPr="008E7494">
        <w:t>ommissioners have always considered each client on a case by case basis with Conditional Income Management (CIM) issued as a last resort</w:t>
      </w:r>
      <w:r>
        <w:t>.</w:t>
      </w:r>
      <w:r w:rsidRPr="008E7494">
        <w:t xml:space="preserve"> </w:t>
      </w:r>
      <w:r>
        <w:t>I</w:t>
      </w:r>
      <w:r w:rsidRPr="008E7494">
        <w:rPr>
          <w:color w:val="000000"/>
        </w:rPr>
        <w:t xml:space="preserve">t is informative to consider how that power was exercised over this </w:t>
      </w:r>
      <w:r>
        <w:rPr>
          <w:color w:val="000000"/>
        </w:rPr>
        <w:t>eleven-</w:t>
      </w:r>
      <w:r w:rsidRPr="008E7494">
        <w:rPr>
          <w:color w:val="000000"/>
        </w:rPr>
        <w:t>year period by the Commissioners.</w:t>
      </w:r>
    </w:p>
    <w:p w14:paraId="65503CB1" w14:textId="299AB53F" w:rsidR="00B97CB7" w:rsidRPr="008E7494" w:rsidRDefault="00B97CB7" w:rsidP="00B97CB7">
      <w:pPr>
        <w:widowControl w:val="0"/>
        <w:autoSpaceDE w:val="0"/>
        <w:autoSpaceDN w:val="0"/>
        <w:adjustRightInd w:val="0"/>
        <w:ind w:left="720" w:hanging="720"/>
        <w:rPr>
          <w:rFonts w:ascii="Helvetica" w:hAnsi="Helvetica" w:cs="Helvetica"/>
          <w:b/>
          <w:bCs/>
          <w:sz w:val="17"/>
          <w:szCs w:val="17"/>
          <w:lang w:val="en-US"/>
        </w:rPr>
      </w:pPr>
      <w:r w:rsidRPr="008E7494">
        <w:rPr>
          <w:rFonts w:ascii="Helvetica" w:hAnsi="Helvetica" w:cs="Helvetica"/>
          <w:b/>
          <w:bCs/>
          <w:sz w:val="17"/>
          <w:szCs w:val="17"/>
          <w:lang w:val="en-US"/>
        </w:rPr>
        <w:t xml:space="preserve">Table </w:t>
      </w:r>
      <w:r>
        <w:rPr>
          <w:rFonts w:ascii="Helvetica" w:hAnsi="Helvetica" w:cs="Helvetica"/>
          <w:b/>
          <w:bCs/>
          <w:sz w:val="17"/>
          <w:szCs w:val="17"/>
          <w:lang w:val="en-US"/>
        </w:rPr>
        <w:t>2</w:t>
      </w:r>
      <w:r w:rsidRPr="008E7494">
        <w:rPr>
          <w:rFonts w:ascii="Helvetica" w:hAnsi="Helvetica" w:cs="Helvetica"/>
          <w:b/>
          <w:bCs/>
          <w:sz w:val="17"/>
          <w:szCs w:val="17"/>
          <w:lang w:val="en-US"/>
        </w:rPr>
        <w:t xml:space="preserve">: Percentage of clients </w:t>
      </w:r>
      <w:r>
        <w:rPr>
          <w:rFonts w:ascii="Helvetica" w:hAnsi="Helvetica" w:cs="Helvetica"/>
          <w:b/>
          <w:bCs/>
          <w:sz w:val="17"/>
          <w:szCs w:val="17"/>
          <w:lang w:val="en-US"/>
        </w:rPr>
        <w:t xml:space="preserve">who were </w:t>
      </w:r>
      <w:r w:rsidRPr="008E7494">
        <w:rPr>
          <w:rFonts w:ascii="Helvetica" w:hAnsi="Helvetica" w:cs="Helvetica"/>
          <w:b/>
          <w:bCs/>
          <w:sz w:val="17"/>
          <w:szCs w:val="17"/>
          <w:lang w:val="en-US"/>
        </w:rPr>
        <w:t xml:space="preserve">placed on conditional income management </w:t>
      </w:r>
      <w:r>
        <w:rPr>
          <w:rFonts w:ascii="Helvetica" w:hAnsi="Helvetica" w:cs="Helvetica"/>
          <w:b/>
          <w:bCs/>
          <w:sz w:val="17"/>
          <w:szCs w:val="17"/>
          <w:lang w:val="en-US"/>
        </w:rPr>
        <w:br/>
        <w:t>for</w:t>
      </w:r>
      <w:r w:rsidRPr="008E7494">
        <w:rPr>
          <w:rFonts w:ascii="Helvetica" w:hAnsi="Helvetica" w:cs="Helvetica"/>
          <w:b/>
          <w:bCs/>
          <w:sz w:val="17"/>
          <w:szCs w:val="17"/>
          <w:lang w:val="en-US"/>
        </w:rPr>
        <w:t xml:space="preserve"> </w:t>
      </w:r>
      <w:r>
        <w:rPr>
          <w:rFonts w:ascii="Helvetica" w:hAnsi="Helvetica" w:cs="Helvetica"/>
          <w:b/>
          <w:bCs/>
          <w:sz w:val="17"/>
          <w:szCs w:val="17"/>
          <w:lang w:val="en-US"/>
        </w:rPr>
        <w:t>each financial year 2008 to</w:t>
      </w:r>
      <w:r w:rsidRPr="008E7494">
        <w:rPr>
          <w:rFonts w:ascii="Helvetica" w:hAnsi="Helvetica" w:cs="Helvetica"/>
          <w:b/>
          <w:bCs/>
          <w:sz w:val="17"/>
          <w:szCs w:val="17"/>
          <w:lang w:val="en-US"/>
        </w:rPr>
        <w:t xml:space="preserve"> 201</w:t>
      </w:r>
      <w:r>
        <w:rPr>
          <w:rFonts w:ascii="Helvetica" w:hAnsi="Helvetica" w:cs="Helvetica"/>
          <w:b/>
          <w:bCs/>
          <w:sz w:val="17"/>
          <w:szCs w:val="17"/>
          <w:lang w:val="en-US"/>
        </w:rPr>
        <w:t>9</w:t>
      </w:r>
      <w:r w:rsidRPr="008E7494">
        <w:rPr>
          <w:rFonts w:ascii="Helvetica" w:hAnsi="Helvetica" w:cs="Helvetica"/>
          <w:b/>
          <w:bCs/>
          <w:sz w:val="17"/>
          <w:szCs w:val="17"/>
          <w:lang w:val="en-US"/>
        </w:rPr>
        <w:t>.</w:t>
      </w:r>
    </w:p>
    <w:tbl>
      <w:tblPr>
        <w:tblW w:w="8364" w:type="dxa"/>
        <w:tblInd w:w="108" w:type="dxa"/>
        <w:tblCellMar>
          <w:left w:w="0" w:type="dxa"/>
          <w:right w:w="0" w:type="dxa"/>
        </w:tblCellMar>
        <w:tblLook w:val="04A0" w:firstRow="1" w:lastRow="0" w:firstColumn="1" w:lastColumn="0" w:noHBand="0" w:noVBand="1"/>
      </w:tblPr>
      <w:tblGrid>
        <w:gridCol w:w="1701"/>
        <w:gridCol w:w="1418"/>
        <w:gridCol w:w="1984"/>
        <w:gridCol w:w="1560"/>
        <w:gridCol w:w="1701"/>
      </w:tblGrid>
      <w:tr w:rsidR="00B97CB7" w:rsidRPr="008E7494" w14:paraId="3ED8759A" w14:textId="77777777" w:rsidTr="00047560">
        <w:trPr>
          <w:trHeight w:val="900"/>
        </w:trPr>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2354B29" w14:textId="77777777" w:rsidR="00B97CB7" w:rsidRPr="008E7494" w:rsidRDefault="00B97CB7" w:rsidP="00047560">
            <w:pPr>
              <w:rPr>
                <w:rFonts w:cs="Arial"/>
                <w:b/>
                <w:color w:val="000000"/>
                <w:szCs w:val="20"/>
              </w:rPr>
            </w:pPr>
            <w:r w:rsidRPr="008E7494">
              <w:rPr>
                <w:rFonts w:cs="Arial"/>
                <w:b/>
                <w:color w:val="000000"/>
                <w:szCs w:val="20"/>
              </w:rPr>
              <w:t>Financial Year</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61913D35" w14:textId="77777777" w:rsidR="00B97CB7" w:rsidRPr="008E7494" w:rsidRDefault="00B97CB7" w:rsidP="00047560">
            <w:pPr>
              <w:jc w:val="center"/>
              <w:rPr>
                <w:rFonts w:cs="Arial"/>
                <w:b/>
                <w:color w:val="000000"/>
                <w:szCs w:val="20"/>
              </w:rPr>
            </w:pPr>
            <w:r w:rsidRPr="008E7494">
              <w:rPr>
                <w:rFonts w:cs="Arial"/>
                <w:b/>
                <w:color w:val="000000"/>
                <w:szCs w:val="20"/>
              </w:rPr>
              <w:t xml:space="preserve">Number of </w:t>
            </w:r>
            <w:r>
              <w:rPr>
                <w:rFonts w:cs="Arial"/>
                <w:b/>
                <w:color w:val="000000"/>
                <w:szCs w:val="20"/>
              </w:rPr>
              <w:t xml:space="preserve">CIM </w:t>
            </w:r>
            <w:r w:rsidRPr="008E7494">
              <w:rPr>
                <w:rFonts w:cs="Arial"/>
                <w:b/>
                <w:color w:val="000000"/>
                <w:szCs w:val="20"/>
              </w:rPr>
              <w:t>Orders Made</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BE607E0" w14:textId="77777777" w:rsidR="00B97CB7" w:rsidRPr="008E7494" w:rsidRDefault="00B97CB7" w:rsidP="00047560">
            <w:pPr>
              <w:jc w:val="center"/>
              <w:rPr>
                <w:rFonts w:cs="Arial"/>
                <w:b/>
                <w:color w:val="000000"/>
                <w:szCs w:val="20"/>
              </w:rPr>
            </w:pPr>
            <w:r w:rsidRPr="008E7494">
              <w:rPr>
                <w:rFonts w:cs="Arial"/>
                <w:b/>
                <w:color w:val="000000"/>
                <w:szCs w:val="20"/>
              </w:rPr>
              <w:t>Number of Unique Clients Placed on CIM</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62C8EC3F" w14:textId="77777777" w:rsidR="00B97CB7" w:rsidRPr="008E7494" w:rsidRDefault="00B97CB7" w:rsidP="00047560">
            <w:pPr>
              <w:jc w:val="center"/>
              <w:rPr>
                <w:rFonts w:cs="Arial"/>
                <w:b/>
                <w:color w:val="000000"/>
                <w:szCs w:val="20"/>
              </w:rPr>
            </w:pPr>
            <w:r>
              <w:rPr>
                <w:rFonts w:cs="Arial"/>
                <w:b/>
                <w:color w:val="000000"/>
                <w:szCs w:val="20"/>
              </w:rPr>
              <w:t xml:space="preserve">Total </w:t>
            </w:r>
            <w:r w:rsidRPr="008E7494">
              <w:rPr>
                <w:rFonts w:cs="Arial"/>
                <w:b/>
                <w:color w:val="000000"/>
                <w:szCs w:val="20"/>
              </w:rPr>
              <w:t xml:space="preserve">Number of </w:t>
            </w:r>
            <w:r>
              <w:rPr>
                <w:rFonts w:cs="Arial"/>
                <w:b/>
                <w:color w:val="000000"/>
                <w:szCs w:val="20"/>
              </w:rPr>
              <w:t xml:space="preserve">FRC </w:t>
            </w:r>
            <w:r w:rsidRPr="008E7494">
              <w:rPr>
                <w:rFonts w:cs="Arial"/>
                <w:b/>
                <w:color w:val="000000"/>
                <w:szCs w:val="20"/>
              </w:rPr>
              <w:t>Clients at 30 June</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11C1EDA" w14:textId="77777777" w:rsidR="00B97CB7" w:rsidRPr="008E7494" w:rsidRDefault="00B97CB7" w:rsidP="00047560">
            <w:pPr>
              <w:jc w:val="center"/>
              <w:rPr>
                <w:rFonts w:cs="Arial"/>
                <w:b/>
                <w:color w:val="000000"/>
                <w:szCs w:val="20"/>
              </w:rPr>
            </w:pPr>
            <w:r w:rsidRPr="008E7494">
              <w:rPr>
                <w:rFonts w:cs="Arial"/>
                <w:b/>
                <w:color w:val="000000"/>
                <w:szCs w:val="20"/>
              </w:rPr>
              <w:t>Percent</w:t>
            </w:r>
            <w:r>
              <w:rPr>
                <w:rFonts w:cs="Arial"/>
                <w:b/>
                <w:color w:val="000000"/>
                <w:szCs w:val="20"/>
              </w:rPr>
              <w:t>age</w:t>
            </w:r>
            <w:r w:rsidRPr="008E7494">
              <w:rPr>
                <w:rFonts w:cs="Arial"/>
                <w:b/>
                <w:color w:val="000000"/>
                <w:szCs w:val="20"/>
              </w:rPr>
              <w:t xml:space="preserve"> of Clients </w:t>
            </w:r>
            <w:r>
              <w:rPr>
                <w:rFonts w:cs="Arial"/>
                <w:b/>
                <w:color w:val="000000"/>
                <w:szCs w:val="20"/>
              </w:rPr>
              <w:t>P</w:t>
            </w:r>
            <w:r w:rsidRPr="008E7494">
              <w:rPr>
                <w:rFonts w:cs="Arial"/>
                <w:b/>
                <w:color w:val="000000"/>
                <w:szCs w:val="20"/>
              </w:rPr>
              <w:t>laced on CIM as at 30 June</w:t>
            </w:r>
          </w:p>
        </w:tc>
      </w:tr>
      <w:tr w:rsidR="00B97CB7" w:rsidRPr="008E7494" w14:paraId="3807A1E7" w14:textId="77777777" w:rsidTr="00047560">
        <w:trPr>
          <w:trHeight w:val="286"/>
        </w:trPr>
        <w:tc>
          <w:tcPr>
            <w:tcW w:w="1701"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tcPr>
          <w:p w14:paraId="112457B6" w14:textId="77777777" w:rsidR="00B97CB7" w:rsidRPr="008E7494" w:rsidRDefault="00B97CB7" w:rsidP="00047560">
            <w:pPr>
              <w:spacing w:after="0" w:line="240" w:lineRule="auto"/>
              <w:rPr>
                <w:rFonts w:cs="Arial"/>
                <w:b/>
                <w:bCs/>
                <w:szCs w:val="20"/>
              </w:rPr>
            </w:pPr>
            <w:r w:rsidRPr="008E7494">
              <w:rPr>
                <w:rFonts w:cs="Arial"/>
                <w:b/>
                <w:bCs/>
                <w:szCs w:val="20"/>
              </w:rPr>
              <w:t>2008-2009</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A458E86" w14:textId="77777777" w:rsidR="00B97CB7" w:rsidRPr="008E7494" w:rsidRDefault="00B97CB7" w:rsidP="00047560">
            <w:pPr>
              <w:spacing w:after="0" w:line="240" w:lineRule="auto"/>
              <w:jc w:val="right"/>
              <w:rPr>
                <w:rFonts w:cs="Arial"/>
                <w:bCs/>
                <w:szCs w:val="20"/>
              </w:rPr>
            </w:pPr>
            <w:r w:rsidRPr="008E7494">
              <w:rPr>
                <w:rFonts w:cs="Arial"/>
                <w:bCs/>
                <w:szCs w:val="20"/>
              </w:rPr>
              <w:t>89</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979875E" w14:textId="77777777" w:rsidR="00B97CB7" w:rsidRPr="008E7494" w:rsidRDefault="00B97CB7" w:rsidP="00047560">
            <w:pPr>
              <w:spacing w:after="0" w:line="240" w:lineRule="auto"/>
              <w:jc w:val="right"/>
              <w:rPr>
                <w:rFonts w:cs="Arial"/>
                <w:bCs/>
                <w:szCs w:val="20"/>
              </w:rPr>
            </w:pPr>
            <w:r w:rsidRPr="008E7494">
              <w:rPr>
                <w:rFonts w:cs="Arial"/>
                <w:bCs/>
                <w:szCs w:val="20"/>
              </w:rPr>
              <w:t>84</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64AEF12" w14:textId="11CF51FF" w:rsidR="00B97CB7" w:rsidRPr="008E7494" w:rsidRDefault="00BA1BBC" w:rsidP="00047560">
            <w:pPr>
              <w:spacing w:after="0" w:line="240" w:lineRule="auto"/>
              <w:jc w:val="right"/>
              <w:rPr>
                <w:rFonts w:cs="Arial"/>
                <w:bCs/>
                <w:szCs w:val="20"/>
              </w:rPr>
            </w:pPr>
            <w:r>
              <w:rPr>
                <w:rFonts w:cs="Arial"/>
                <w:bCs/>
                <w:szCs w:val="20"/>
              </w:rPr>
              <w:t>Unavailable</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3C28225" w14:textId="6E517313" w:rsidR="00B97CB7" w:rsidRPr="008E7494" w:rsidRDefault="00BA1BBC" w:rsidP="00047560">
            <w:pPr>
              <w:spacing w:after="0" w:line="240" w:lineRule="auto"/>
              <w:jc w:val="right"/>
              <w:rPr>
                <w:rFonts w:cs="Arial"/>
                <w:bCs/>
                <w:szCs w:val="20"/>
              </w:rPr>
            </w:pPr>
            <w:r>
              <w:rPr>
                <w:rFonts w:cs="Arial"/>
                <w:bCs/>
                <w:szCs w:val="20"/>
              </w:rPr>
              <w:t>Unavailable</w:t>
            </w:r>
          </w:p>
        </w:tc>
      </w:tr>
      <w:tr w:rsidR="00B97CB7" w:rsidRPr="008E7494" w14:paraId="4A401B6D" w14:textId="77777777" w:rsidTr="00047560">
        <w:trPr>
          <w:trHeight w:val="286"/>
        </w:trPr>
        <w:tc>
          <w:tcPr>
            <w:tcW w:w="1701"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17DAFA4E" w14:textId="77777777" w:rsidR="00B97CB7" w:rsidRPr="008E7494" w:rsidRDefault="00B97CB7" w:rsidP="00047560">
            <w:pPr>
              <w:spacing w:after="0" w:line="240" w:lineRule="auto"/>
              <w:rPr>
                <w:rFonts w:cs="Arial"/>
                <w:b/>
                <w:bCs/>
                <w:szCs w:val="20"/>
              </w:rPr>
            </w:pPr>
            <w:r w:rsidRPr="008E7494">
              <w:rPr>
                <w:rFonts w:cs="Arial"/>
                <w:b/>
                <w:bCs/>
                <w:szCs w:val="20"/>
              </w:rPr>
              <w:t>2009-2010</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C13E94"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232</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8A8F1A"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217</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A0C265"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1</w:t>
            </w:r>
            <w:r>
              <w:rPr>
                <w:rFonts w:cs="Arial"/>
                <w:color w:val="000000"/>
                <w:szCs w:val="20"/>
              </w:rPr>
              <w:t>,</w:t>
            </w:r>
            <w:r w:rsidRPr="008E7494">
              <w:rPr>
                <w:rFonts w:cs="Arial"/>
                <w:color w:val="000000"/>
                <w:szCs w:val="20"/>
              </w:rPr>
              <w:t>047</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4E7089"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20.7%</w:t>
            </w:r>
          </w:p>
        </w:tc>
      </w:tr>
      <w:tr w:rsidR="00B97CB7" w:rsidRPr="008E7494" w14:paraId="6C0DD4B6" w14:textId="77777777" w:rsidTr="00047560">
        <w:trPr>
          <w:trHeight w:val="286"/>
        </w:trPr>
        <w:tc>
          <w:tcPr>
            <w:tcW w:w="1701"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1868EE68" w14:textId="77777777" w:rsidR="00B97CB7" w:rsidRPr="008E7494" w:rsidRDefault="00B97CB7" w:rsidP="00047560">
            <w:pPr>
              <w:spacing w:after="0" w:line="240" w:lineRule="auto"/>
              <w:rPr>
                <w:rFonts w:cs="Arial"/>
                <w:b/>
                <w:bCs/>
                <w:szCs w:val="20"/>
              </w:rPr>
            </w:pPr>
            <w:r w:rsidRPr="008E7494">
              <w:rPr>
                <w:rFonts w:cs="Arial"/>
                <w:b/>
                <w:bCs/>
                <w:szCs w:val="20"/>
              </w:rPr>
              <w:t>2010-2011</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8EBC0A"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223</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D07E35"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205</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86A866"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1</w:t>
            </w:r>
            <w:r>
              <w:rPr>
                <w:rFonts w:cs="Arial"/>
                <w:color w:val="000000"/>
                <w:szCs w:val="20"/>
              </w:rPr>
              <w:t>,</w:t>
            </w:r>
            <w:r w:rsidRPr="008E7494">
              <w:rPr>
                <w:rFonts w:cs="Arial"/>
                <w:color w:val="000000"/>
                <w:szCs w:val="20"/>
              </w:rPr>
              <w:t>191</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F70F2C"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17.2%</w:t>
            </w:r>
          </w:p>
        </w:tc>
      </w:tr>
      <w:tr w:rsidR="00B97CB7" w:rsidRPr="008E7494" w14:paraId="30EC4703" w14:textId="77777777" w:rsidTr="00047560">
        <w:trPr>
          <w:trHeight w:val="286"/>
        </w:trPr>
        <w:tc>
          <w:tcPr>
            <w:tcW w:w="1701"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69A64021" w14:textId="77777777" w:rsidR="00B97CB7" w:rsidRPr="008E7494" w:rsidRDefault="00B97CB7" w:rsidP="00047560">
            <w:pPr>
              <w:spacing w:after="0" w:line="240" w:lineRule="auto"/>
              <w:rPr>
                <w:rFonts w:cs="Arial"/>
                <w:b/>
                <w:bCs/>
                <w:szCs w:val="20"/>
              </w:rPr>
            </w:pPr>
            <w:r w:rsidRPr="008E7494">
              <w:rPr>
                <w:rFonts w:cs="Arial"/>
                <w:b/>
                <w:bCs/>
                <w:szCs w:val="20"/>
              </w:rPr>
              <w:t>2011-2012</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F70F20"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218</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0C1000"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208</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CE8D85"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1</w:t>
            </w:r>
            <w:r>
              <w:rPr>
                <w:rFonts w:cs="Arial"/>
                <w:color w:val="000000"/>
                <w:szCs w:val="20"/>
              </w:rPr>
              <w:t>,</w:t>
            </w:r>
            <w:r w:rsidRPr="008E7494">
              <w:rPr>
                <w:rFonts w:cs="Arial"/>
                <w:color w:val="000000"/>
                <w:szCs w:val="20"/>
              </w:rPr>
              <w:t>344</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17DFA9"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15.5%</w:t>
            </w:r>
          </w:p>
        </w:tc>
      </w:tr>
      <w:tr w:rsidR="00B97CB7" w:rsidRPr="008E7494" w14:paraId="6530FD43" w14:textId="77777777" w:rsidTr="00047560">
        <w:trPr>
          <w:trHeight w:val="286"/>
        </w:trPr>
        <w:tc>
          <w:tcPr>
            <w:tcW w:w="1701"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736D1827" w14:textId="77777777" w:rsidR="00B97CB7" w:rsidRPr="008E7494" w:rsidRDefault="00B97CB7" w:rsidP="00047560">
            <w:pPr>
              <w:spacing w:after="0" w:line="240" w:lineRule="auto"/>
              <w:rPr>
                <w:rFonts w:cs="Arial"/>
                <w:b/>
                <w:bCs/>
                <w:szCs w:val="20"/>
              </w:rPr>
            </w:pPr>
            <w:r w:rsidRPr="008E7494">
              <w:rPr>
                <w:rFonts w:cs="Arial"/>
                <w:b/>
                <w:bCs/>
                <w:szCs w:val="20"/>
              </w:rPr>
              <w:t>2012-2013</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4476BF"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304</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8C4A7D"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268</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1273BA"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1</w:t>
            </w:r>
            <w:r>
              <w:rPr>
                <w:rFonts w:cs="Arial"/>
                <w:color w:val="000000"/>
                <w:szCs w:val="20"/>
              </w:rPr>
              <w:t>,</w:t>
            </w:r>
            <w:r w:rsidRPr="008E7494">
              <w:rPr>
                <w:rFonts w:cs="Arial"/>
                <w:color w:val="000000"/>
                <w:szCs w:val="20"/>
              </w:rPr>
              <w:t>467</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EE8A01"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18.3%</w:t>
            </w:r>
          </w:p>
        </w:tc>
      </w:tr>
      <w:tr w:rsidR="00B97CB7" w:rsidRPr="008E7494" w14:paraId="277D52FF" w14:textId="77777777" w:rsidTr="00047560">
        <w:trPr>
          <w:trHeight w:val="286"/>
        </w:trPr>
        <w:tc>
          <w:tcPr>
            <w:tcW w:w="1701"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2370D652" w14:textId="77777777" w:rsidR="00B97CB7" w:rsidRPr="008E7494" w:rsidRDefault="00B97CB7" w:rsidP="00047560">
            <w:pPr>
              <w:spacing w:after="0" w:line="240" w:lineRule="auto"/>
              <w:rPr>
                <w:rFonts w:cs="Arial"/>
                <w:b/>
                <w:bCs/>
                <w:szCs w:val="20"/>
              </w:rPr>
            </w:pPr>
            <w:r w:rsidRPr="008E7494">
              <w:rPr>
                <w:rFonts w:cs="Arial"/>
                <w:b/>
                <w:bCs/>
                <w:szCs w:val="20"/>
              </w:rPr>
              <w:t>2013-2014</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DADF9B"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304</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C112A6"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239</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F5663C"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1</w:t>
            </w:r>
            <w:r>
              <w:rPr>
                <w:rFonts w:cs="Arial"/>
                <w:color w:val="000000"/>
                <w:szCs w:val="20"/>
              </w:rPr>
              <w:t>,</w:t>
            </w:r>
            <w:r w:rsidRPr="008E7494">
              <w:rPr>
                <w:rFonts w:cs="Arial"/>
                <w:color w:val="000000"/>
                <w:szCs w:val="20"/>
              </w:rPr>
              <w:t>566</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5FF66C"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15.3%</w:t>
            </w:r>
          </w:p>
        </w:tc>
      </w:tr>
      <w:tr w:rsidR="00B97CB7" w:rsidRPr="008E7494" w14:paraId="41FA3F94" w14:textId="77777777" w:rsidTr="00047560">
        <w:trPr>
          <w:trHeight w:val="286"/>
        </w:trPr>
        <w:tc>
          <w:tcPr>
            <w:tcW w:w="1701"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0DE5B83D" w14:textId="77777777" w:rsidR="00B97CB7" w:rsidRPr="008E7494" w:rsidRDefault="00B97CB7" w:rsidP="00047560">
            <w:pPr>
              <w:spacing w:after="0" w:line="240" w:lineRule="auto"/>
              <w:rPr>
                <w:rFonts w:cs="Arial"/>
                <w:b/>
                <w:bCs/>
                <w:szCs w:val="20"/>
              </w:rPr>
            </w:pPr>
            <w:r w:rsidRPr="008E7494">
              <w:rPr>
                <w:rFonts w:cs="Arial"/>
                <w:b/>
                <w:bCs/>
                <w:szCs w:val="20"/>
              </w:rPr>
              <w:t>2014-2015</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D9A718"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238</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EC20A0"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194</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ACA352"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1</w:t>
            </w:r>
            <w:r>
              <w:rPr>
                <w:rFonts w:cs="Arial"/>
                <w:color w:val="000000"/>
                <w:szCs w:val="20"/>
              </w:rPr>
              <w:t>,</w:t>
            </w:r>
            <w:r w:rsidRPr="008E7494">
              <w:rPr>
                <w:rFonts w:cs="Arial"/>
                <w:color w:val="000000"/>
                <w:szCs w:val="20"/>
              </w:rPr>
              <w:t>856</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024ABF"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10.5%</w:t>
            </w:r>
          </w:p>
        </w:tc>
      </w:tr>
      <w:tr w:rsidR="00B97CB7" w:rsidRPr="008E7494" w14:paraId="3B9E17EA" w14:textId="77777777" w:rsidTr="00047560">
        <w:trPr>
          <w:trHeight w:val="286"/>
        </w:trPr>
        <w:tc>
          <w:tcPr>
            <w:tcW w:w="1701"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3865E177" w14:textId="77777777" w:rsidR="00B97CB7" w:rsidRPr="008E7494" w:rsidRDefault="00B97CB7" w:rsidP="00047560">
            <w:pPr>
              <w:spacing w:after="0" w:line="240" w:lineRule="auto"/>
              <w:rPr>
                <w:rFonts w:cs="Arial"/>
                <w:b/>
                <w:bCs/>
                <w:szCs w:val="20"/>
              </w:rPr>
            </w:pPr>
            <w:r w:rsidRPr="008E7494">
              <w:rPr>
                <w:rFonts w:cs="Arial"/>
                <w:b/>
                <w:bCs/>
                <w:szCs w:val="20"/>
              </w:rPr>
              <w:t>2015-2016</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875DC2"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249</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24B8E9"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202</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D6AFE4"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2</w:t>
            </w:r>
            <w:r>
              <w:rPr>
                <w:rFonts w:cs="Arial"/>
                <w:color w:val="000000"/>
                <w:szCs w:val="20"/>
              </w:rPr>
              <w:t>,</w:t>
            </w:r>
            <w:r w:rsidRPr="008E7494">
              <w:rPr>
                <w:rFonts w:cs="Arial"/>
                <w:color w:val="000000"/>
                <w:szCs w:val="20"/>
              </w:rPr>
              <w:t>000</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26913A"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10.1%</w:t>
            </w:r>
          </w:p>
        </w:tc>
      </w:tr>
      <w:tr w:rsidR="00B97CB7" w:rsidRPr="008E7494" w14:paraId="78244C0B" w14:textId="77777777" w:rsidTr="00047560">
        <w:trPr>
          <w:trHeight w:val="286"/>
        </w:trPr>
        <w:tc>
          <w:tcPr>
            <w:tcW w:w="1701"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3B084E8A" w14:textId="77777777" w:rsidR="00B97CB7" w:rsidRPr="008E7494" w:rsidRDefault="00B97CB7" w:rsidP="00047560">
            <w:pPr>
              <w:spacing w:after="0" w:line="240" w:lineRule="auto"/>
              <w:rPr>
                <w:rFonts w:cs="Arial"/>
                <w:b/>
                <w:bCs/>
                <w:szCs w:val="20"/>
              </w:rPr>
            </w:pPr>
            <w:r w:rsidRPr="008E7494">
              <w:rPr>
                <w:rFonts w:cs="Arial"/>
                <w:b/>
                <w:bCs/>
                <w:szCs w:val="20"/>
              </w:rPr>
              <w:t>2016-2017</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B9D880"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265</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B39492"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212</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57785C"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2</w:t>
            </w:r>
            <w:r>
              <w:rPr>
                <w:rFonts w:cs="Arial"/>
                <w:color w:val="000000"/>
                <w:szCs w:val="20"/>
              </w:rPr>
              <w:t>,</w:t>
            </w:r>
            <w:r w:rsidRPr="008E7494">
              <w:rPr>
                <w:rFonts w:cs="Arial"/>
                <w:color w:val="000000"/>
                <w:szCs w:val="20"/>
              </w:rPr>
              <w:t>164</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B13AAA"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9.8%</w:t>
            </w:r>
          </w:p>
        </w:tc>
      </w:tr>
      <w:tr w:rsidR="00B97CB7" w:rsidRPr="008E7494" w14:paraId="426726E3" w14:textId="77777777" w:rsidTr="00047560">
        <w:trPr>
          <w:trHeight w:val="286"/>
        </w:trPr>
        <w:tc>
          <w:tcPr>
            <w:tcW w:w="1701" w:type="dxa"/>
            <w:tcBorders>
              <w:top w:val="single" w:sz="8" w:space="0" w:color="auto"/>
              <w:left w:val="single" w:sz="8" w:space="0" w:color="auto"/>
              <w:bottom w:val="single" w:sz="4" w:space="0" w:color="auto"/>
              <w:right w:val="single" w:sz="8" w:space="0" w:color="auto"/>
            </w:tcBorders>
            <w:shd w:val="clear" w:color="auto" w:fill="auto"/>
            <w:noWrap/>
            <w:tcMar>
              <w:top w:w="0" w:type="dxa"/>
              <w:left w:w="108" w:type="dxa"/>
              <w:bottom w:w="0" w:type="dxa"/>
              <w:right w:w="108" w:type="dxa"/>
            </w:tcMar>
            <w:vAlign w:val="bottom"/>
            <w:hideMark/>
          </w:tcPr>
          <w:p w14:paraId="23863C5B" w14:textId="77777777" w:rsidR="00B97CB7" w:rsidRPr="008E7494" w:rsidRDefault="00B97CB7" w:rsidP="00047560">
            <w:pPr>
              <w:spacing w:after="0" w:line="240" w:lineRule="auto"/>
              <w:rPr>
                <w:rFonts w:cs="Arial"/>
                <w:b/>
                <w:bCs/>
                <w:szCs w:val="20"/>
              </w:rPr>
            </w:pPr>
            <w:r w:rsidRPr="008E7494">
              <w:rPr>
                <w:rFonts w:cs="Arial"/>
                <w:b/>
                <w:bCs/>
                <w:szCs w:val="20"/>
              </w:rPr>
              <w:t>2017-2018</w:t>
            </w:r>
          </w:p>
        </w:tc>
        <w:tc>
          <w:tcPr>
            <w:tcW w:w="1418"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hideMark/>
          </w:tcPr>
          <w:p w14:paraId="6FC63A5C"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233</w:t>
            </w:r>
          </w:p>
        </w:tc>
        <w:tc>
          <w:tcPr>
            <w:tcW w:w="1984"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hideMark/>
          </w:tcPr>
          <w:p w14:paraId="22B9CA51"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179</w:t>
            </w:r>
          </w:p>
        </w:tc>
        <w:tc>
          <w:tcPr>
            <w:tcW w:w="1560"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hideMark/>
          </w:tcPr>
          <w:p w14:paraId="4C9358AC"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2</w:t>
            </w:r>
            <w:r>
              <w:rPr>
                <w:rFonts w:cs="Arial"/>
                <w:color w:val="000000"/>
                <w:szCs w:val="20"/>
              </w:rPr>
              <w:t>,</w:t>
            </w:r>
            <w:r w:rsidRPr="008E7494">
              <w:rPr>
                <w:rFonts w:cs="Arial"/>
                <w:color w:val="000000"/>
                <w:szCs w:val="20"/>
              </w:rPr>
              <w:t>312</w:t>
            </w:r>
          </w:p>
        </w:tc>
        <w:tc>
          <w:tcPr>
            <w:tcW w:w="1701"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hideMark/>
          </w:tcPr>
          <w:p w14:paraId="4BBD90C1" w14:textId="77777777" w:rsidR="00B97CB7" w:rsidRPr="008E7494" w:rsidRDefault="00B97CB7" w:rsidP="00047560">
            <w:pPr>
              <w:spacing w:after="0" w:line="240" w:lineRule="auto"/>
              <w:jc w:val="right"/>
              <w:rPr>
                <w:rFonts w:cs="Arial"/>
                <w:color w:val="000000"/>
                <w:szCs w:val="20"/>
              </w:rPr>
            </w:pPr>
            <w:r w:rsidRPr="008E7494">
              <w:rPr>
                <w:rFonts w:cs="Arial"/>
                <w:color w:val="000000"/>
                <w:szCs w:val="20"/>
              </w:rPr>
              <w:t>7.7%</w:t>
            </w:r>
          </w:p>
        </w:tc>
      </w:tr>
      <w:tr w:rsidR="00B97CB7" w:rsidRPr="008E7494" w14:paraId="69D00FFB" w14:textId="77777777" w:rsidTr="00047560">
        <w:trPr>
          <w:trHeight w:val="286"/>
        </w:trPr>
        <w:tc>
          <w:tcPr>
            <w:tcW w:w="1701" w:type="dxa"/>
            <w:tcBorders>
              <w:top w:val="single" w:sz="4"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tcPr>
          <w:p w14:paraId="0A4BA617" w14:textId="77777777" w:rsidR="00B97CB7" w:rsidRPr="008E7494" w:rsidRDefault="00B97CB7" w:rsidP="00047560">
            <w:pPr>
              <w:spacing w:after="0" w:line="240" w:lineRule="auto"/>
              <w:rPr>
                <w:rFonts w:cs="Arial"/>
                <w:b/>
                <w:bCs/>
                <w:szCs w:val="20"/>
              </w:rPr>
            </w:pPr>
            <w:r>
              <w:rPr>
                <w:rFonts w:cs="Arial"/>
                <w:b/>
                <w:bCs/>
                <w:szCs w:val="20"/>
              </w:rPr>
              <w:t>2018-2019</w:t>
            </w:r>
          </w:p>
        </w:tc>
        <w:tc>
          <w:tcPr>
            <w:tcW w:w="1418"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14:paraId="132F68BF" w14:textId="77777777" w:rsidR="00B97CB7" w:rsidRPr="00EC68E2" w:rsidRDefault="00B97CB7" w:rsidP="00047560">
            <w:pPr>
              <w:spacing w:after="0" w:line="240" w:lineRule="auto"/>
              <w:jc w:val="right"/>
              <w:rPr>
                <w:rFonts w:cs="Arial"/>
                <w:color w:val="000000"/>
                <w:szCs w:val="20"/>
                <w:highlight w:val="yellow"/>
              </w:rPr>
            </w:pPr>
            <w:r w:rsidRPr="00FB38D3">
              <w:rPr>
                <w:rFonts w:cs="Arial"/>
                <w:color w:val="000000"/>
                <w:szCs w:val="20"/>
              </w:rPr>
              <w:t>233</w:t>
            </w:r>
          </w:p>
        </w:tc>
        <w:tc>
          <w:tcPr>
            <w:tcW w:w="1984"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14:paraId="1CD21732" w14:textId="77777777" w:rsidR="00B97CB7" w:rsidRPr="00EC68E2" w:rsidRDefault="00B97CB7" w:rsidP="00047560">
            <w:pPr>
              <w:spacing w:after="0" w:line="240" w:lineRule="auto"/>
              <w:jc w:val="right"/>
              <w:rPr>
                <w:rFonts w:cs="Arial"/>
                <w:color w:val="000000"/>
                <w:szCs w:val="20"/>
                <w:highlight w:val="yellow"/>
              </w:rPr>
            </w:pPr>
            <w:r w:rsidRPr="002B224C">
              <w:rPr>
                <w:rFonts w:cs="Arial"/>
                <w:color w:val="000000"/>
                <w:szCs w:val="20"/>
              </w:rPr>
              <w:t>176</w:t>
            </w:r>
          </w:p>
        </w:tc>
        <w:tc>
          <w:tcPr>
            <w:tcW w:w="156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14:paraId="42D0884B" w14:textId="77777777" w:rsidR="00B97CB7" w:rsidRPr="00EC68E2" w:rsidRDefault="00B97CB7" w:rsidP="00047560">
            <w:pPr>
              <w:spacing w:after="0" w:line="240" w:lineRule="auto"/>
              <w:jc w:val="right"/>
              <w:rPr>
                <w:rFonts w:cs="Arial"/>
                <w:color w:val="000000"/>
                <w:szCs w:val="20"/>
                <w:highlight w:val="yellow"/>
              </w:rPr>
            </w:pPr>
            <w:r w:rsidRPr="002B224C">
              <w:rPr>
                <w:rFonts w:cs="Arial"/>
                <w:color w:val="000000"/>
                <w:szCs w:val="20"/>
              </w:rPr>
              <w:t>2,423</w:t>
            </w:r>
          </w:p>
        </w:tc>
        <w:tc>
          <w:tcPr>
            <w:tcW w:w="1701"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14:paraId="550988C0" w14:textId="77777777" w:rsidR="00B97CB7" w:rsidRPr="00EC68E2" w:rsidRDefault="00B97CB7" w:rsidP="00047560">
            <w:pPr>
              <w:spacing w:after="0" w:line="240" w:lineRule="auto"/>
              <w:jc w:val="right"/>
              <w:rPr>
                <w:rFonts w:cs="Arial"/>
                <w:color w:val="000000"/>
                <w:szCs w:val="20"/>
                <w:highlight w:val="yellow"/>
              </w:rPr>
            </w:pPr>
            <w:r w:rsidRPr="002B224C">
              <w:rPr>
                <w:rFonts w:cs="Arial"/>
                <w:color w:val="000000"/>
                <w:szCs w:val="20"/>
              </w:rPr>
              <w:t>7.3%</w:t>
            </w:r>
          </w:p>
        </w:tc>
      </w:tr>
    </w:tbl>
    <w:p w14:paraId="6E01EF0A" w14:textId="77777777" w:rsidR="00B97CB7" w:rsidRPr="008E7494" w:rsidRDefault="00B97CB7" w:rsidP="00B97CB7"/>
    <w:p w14:paraId="5B3C512F" w14:textId="48068225" w:rsidR="00B97CB7" w:rsidRDefault="00B97CB7" w:rsidP="00B97CB7">
      <w:pPr>
        <w:rPr>
          <w:color w:val="000000"/>
        </w:rPr>
      </w:pPr>
      <w:r w:rsidRPr="008E7494">
        <w:rPr>
          <w:color w:val="000000"/>
        </w:rPr>
        <w:t>As at 30 June 201</w:t>
      </w:r>
      <w:r>
        <w:rPr>
          <w:color w:val="000000"/>
        </w:rPr>
        <w:t>9</w:t>
      </w:r>
      <w:r w:rsidRPr="008E7494">
        <w:rPr>
          <w:color w:val="000000"/>
        </w:rPr>
        <w:t xml:space="preserve"> </w:t>
      </w:r>
      <w:r w:rsidR="004807C5">
        <w:rPr>
          <w:color w:val="000000"/>
        </w:rPr>
        <w:t>140</w:t>
      </w:r>
      <w:r w:rsidR="004807C5" w:rsidRPr="008E7494">
        <w:rPr>
          <w:color w:val="000000"/>
        </w:rPr>
        <w:t xml:space="preserve"> </w:t>
      </w:r>
      <w:r w:rsidRPr="008E7494">
        <w:rPr>
          <w:color w:val="000000"/>
        </w:rPr>
        <w:t>clients were subject to a current CIM order</w:t>
      </w:r>
      <w:r>
        <w:rPr>
          <w:color w:val="000000"/>
        </w:rPr>
        <w:t>, although as can be seen</w:t>
      </w:r>
      <w:r w:rsidR="002A649F">
        <w:rPr>
          <w:color w:val="000000"/>
        </w:rPr>
        <w:t xml:space="preserve"> from</w:t>
      </w:r>
      <w:r>
        <w:rPr>
          <w:color w:val="000000"/>
        </w:rPr>
        <w:t xml:space="preserve"> table </w:t>
      </w:r>
      <w:r w:rsidR="00F376C8">
        <w:rPr>
          <w:color w:val="000000"/>
        </w:rPr>
        <w:t>2</w:t>
      </w:r>
      <w:r>
        <w:rPr>
          <w:color w:val="000000"/>
        </w:rPr>
        <w:t xml:space="preserve">, a </w:t>
      </w:r>
      <w:r w:rsidRPr="00F37919">
        <w:rPr>
          <w:color w:val="000000"/>
        </w:rPr>
        <w:t>total of 176 unique</w:t>
      </w:r>
      <w:r>
        <w:rPr>
          <w:color w:val="000000"/>
        </w:rPr>
        <w:t xml:space="preserve"> clients were placed on a CIM order throughout the entire 2018-19 year</w:t>
      </w:r>
      <w:r w:rsidRPr="008E7494">
        <w:rPr>
          <w:color w:val="000000"/>
        </w:rPr>
        <w:t>.</w:t>
      </w:r>
    </w:p>
    <w:p w14:paraId="2921D77F" w14:textId="77777777" w:rsidR="00B97CB7" w:rsidRPr="002C013C" w:rsidRDefault="00B97CB7" w:rsidP="00F855B1">
      <w:pPr>
        <w:pStyle w:val="Heading3"/>
        <w:rPr>
          <w:i/>
        </w:rPr>
      </w:pPr>
      <w:r w:rsidRPr="002C013C">
        <w:t>Commission staff</w:t>
      </w:r>
    </w:p>
    <w:p w14:paraId="1254FB8E" w14:textId="77777777" w:rsidR="00B97CB7" w:rsidRPr="008E7494" w:rsidRDefault="00B97CB7" w:rsidP="00B97CB7">
      <w:r w:rsidRPr="008E7494">
        <w:rPr>
          <w:color w:val="000000"/>
        </w:rPr>
        <w:t xml:space="preserve">I acknowledge the </w:t>
      </w:r>
      <w:r>
        <w:rPr>
          <w:color w:val="000000"/>
        </w:rPr>
        <w:t>professionalism</w:t>
      </w:r>
      <w:r w:rsidRPr="008E7494">
        <w:rPr>
          <w:color w:val="000000"/>
        </w:rPr>
        <w:t xml:space="preserve"> of </w:t>
      </w:r>
      <w:r>
        <w:rPr>
          <w:color w:val="000000"/>
        </w:rPr>
        <w:t xml:space="preserve">our </w:t>
      </w:r>
      <w:r w:rsidRPr="008E7494">
        <w:rPr>
          <w:color w:val="000000"/>
        </w:rPr>
        <w:t xml:space="preserve">Registrar Maxine McLeod and </w:t>
      </w:r>
      <w:r>
        <w:rPr>
          <w:color w:val="000000"/>
        </w:rPr>
        <w:t>Executive Officer (</w:t>
      </w:r>
      <w:r w:rsidRPr="008E7494">
        <w:rPr>
          <w:color w:val="000000"/>
        </w:rPr>
        <w:t>Finance</w:t>
      </w:r>
      <w:r>
        <w:rPr>
          <w:color w:val="000000"/>
        </w:rPr>
        <w:t>)</w:t>
      </w:r>
      <w:r w:rsidRPr="008E7494">
        <w:rPr>
          <w:color w:val="000000"/>
        </w:rPr>
        <w:t xml:space="preserve"> Tracey Paterson in the management of the Commission’s operations.</w:t>
      </w:r>
    </w:p>
    <w:p w14:paraId="614336F3" w14:textId="77777777" w:rsidR="00B97CB7" w:rsidRDefault="00B97CB7" w:rsidP="00B97CB7">
      <w:pPr>
        <w:rPr>
          <w:color w:val="000000"/>
        </w:rPr>
      </w:pPr>
      <w:r w:rsidRPr="008E7494">
        <w:rPr>
          <w:color w:val="000000"/>
        </w:rPr>
        <w:t xml:space="preserve">Our staff in Cairns and </w:t>
      </w:r>
      <w:r>
        <w:rPr>
          <w:color w:val="000000"/>
        </w:rPr>
        <w:t xml:space="preserve">the </w:t>
      </w:r>
      <w:r w:rsidRPr="008E7494">
        <w:rPr>
          <w:color w:val="000000"/>
        </w:rPr>
        <w:t>community based Local Coordinators</w:t>
      </w:r>
      <w:r>
        <w:rPr>
          <w:color w:val="000000"/>
        </w:rPr>
        <w:t xml:space="preserve"> have continued their commitment and</w:t>
      </w:r>
      <w:r w:rsidRPr="008E7494">
        <w:rPr>
          <w:color w:val="000000"/>
        </w:rPr>
        <w:t xml:space="preserve"> dedicat</w:t>
      </w:r>
      <w:r>
        <w:rPr>
          <w:color w:val="000000"/>
        </w:rPr>
        <w:t>ion in carrying out their respective duties, notwithstanding that each face continuing uncertainty about their futures.</w:t>
      </w:r>
    </w:p>
    <w:p w14:paraId="1C03A38E" w14:textId="77777777" w:rsidR="000B15B1" w:rsidRPr="00FA14D7" w:rsidRDefault="000B15B1" w:rsidP="00FA14D7">
      <w:pPr>
        <w:rPr>
          <w:color w:val="000000"/>
        </w:rPr>
      </w:pPr>
      <w:r w:rsidRPr="00FA14D7">
        <w:rPr>
          <w:color w:val="000000"/>
        </w:rPr>
        <w:br w:type="page"/>
      </w:r>
    </w:p>
    <w:p w14:paraId="6A9FE33D" w14:textId="64FEBF74" w:rsidR="00B97CB7" w:rsidRPr="002C013C" w:rsidRDefault="00B97CB7" w:rsidP="00F855B1">
      <w:pPr>
        <w:pStyle w:val="Heading3"/>
        <w:rPr>
          <w:i/>
        </w:rPr>
      </w:pPr>
      <w:r w:rsidRPr="002C013C">
        <w:lastRenderedPageBreak/>
        <w:t>The Commission’s future</w:t>
      </w:r>
    </w:p>
    <w:p w14:paraId="12DD88A2" w14:textId="4539409F" w:rsidR="00B97CB7" w:rsidRDefault="002A4E49" w:rsidP="00B97CB7">
      <w:r>
        <w:t xml:space="preserve">It must be recognised there have been no amendments to the FRC Act since </w:t>
      </w:r>
      <w:r w:rsidRPr="002A4E49">
        <w:t>2015</w:t>
      </w:r>
      <w:r w:rsidR="006522EE">
        <w:t>,</w:t>
      </w:r>
      <w:r>
        <w:t xml:space="preserve"> and I a</w:t>
      </w:r>
      <w:r w:rsidR="0068546A">
        <w:t>s Commissioner a</w:t>
      </w:r>
      <w:r>
        <w:t xml:space="preserve">m obliged </w:t>
      </w:r>
      <w:r w:rsidR="0068546A">
        <w:t>to</w:t>
      </w:r>
      <w:r>
        <w:t xml:space="preserve"> conduct the business of the Commission in accordance with its provisions. </w:t>
      </w:r>
      <w:r w:rsidR="00B97CB7">
        <w:t xml:space="preserve">The Commission’s partners, the State and Australian Governments, contribute equally to the funding of the Commission’s work in the four </w:t>
      </w:r>
      <w:r w:rsidR="002C1AFC">
        <w:t>w</w:t>
      </w:r>
      <w:r w:rsidR="00B97CB7">
        <w:t xml:space="preserve">elfare </w:t>
      </w:r>
      <w:r w:rsidR="002C1AFC">
        <w:t>r</w:t>
      </w:r>
      <w:r w:rsidR="00B97CB7">
        <w:t>eform communities</w:t>
      </w:r>
      <w:r w:rsidR="009E6AEF">
        <w:t xml:space="preserve"> of Aurukun, Coen, Hope Vale and Mossman Gorge</w:t>
      </w:r>
      <w:r w:rsidR="001928E3">
        <w:t>, with the State funding the community of Doomadgee</w:t>
      </w:r>
      <w:r w:rsidR="00B97CB7">
        <w:t>. They are not, however, in accord about the future operations of the Commission.</w:t>
      </w:r>
    </w:p>
    <w:p w14:paraId="57CF70CA" w14:textId="6C423452" w:rsidR="00B97CB7" w:rsidRPr="003B2311" w:rsidRDefault="00B97CB7" w:rsidP="00B97CB7">
      <w:r>
        <w:t xml:space="preserve">Prime Minister Scott Morrison MP affirmed his Government’s policy in Parliament on </w:t>
      </w:r>
      <w:r w:rsidR="002C1AFC">
        <w:t xml:space="preserve">29 </w:t>
      </w:r>
      <w:r>
        <w:t>November 2018 when he stated:</w:t>
      </w:r>
    </w:p>
    <w:p w14:paraId="4C26C93A" w14:textId="77777777" w:rsidR="00B97CB7" w:rsidRPr="00AA4A6B" w:rsidRDefault="00B97CB7" w:rsidP="00B97CB7">
      <w:pPr>
        <w:ind w:left="567" w:right="849"/>
        <w:rPr>
          <w:i/>
        </w:rPr>
      </w:pPr>
      <w:r w:rsidRPr="00AA4A6B">
        <w:rPr>
          <w:i/>
        </w:rPr>
        <w:t>“The Cape York Institute and the people of the Cape York Welfare Reform communities of Aurukun, Coen, Hope Vale and Mossman Gorge have been at the cutting edge of addressing welfare dependency and school attendance in this country. I commend all of those who have been part of that community-led approach.</w:t>
      </w:r>
      <w:bookmarkStart w:id="0" w:name="Turn071"/>
      <w:bookmarkEnd w:id="0"/>
    </w:p>
    <w:p w14:paraId="070299BB" w14:textId="77777777" w:rsidR="00B97CB7" w:rsidRPr="00CE07DA" w:rsidRDefault="00B97CB7" w:rsidP="00B97CB7">
      <w:pPr>
        <w:ind w:left="567" w:right="849"/>
        <w:rPr>
          <w:i/>
        </w:rPr>
      </w:pPr>
      <w:r w:rsidRPr="00AA4A6B">
        <w:rPr>
          <w:i/>
        </w:rPr>
        <w:t xml:space="preserve">The Family Responsibilities Commission is a model centred on the community that supported the restoration of the local Indigenous authority. The FRC is acknowledged as the most critical component of the CYWR, and the FRC conferences encourage individuals and families to engage in positive behaviours whilst promoting the interests, rights and wellbeing of children and vulnerable community members. The positive impact on communities has been driven by the excellent work of the </w:t>
      </w:r>
      <w:r>
        <w:rPr>
          <w:i/>
        </w:rPr>
        <w:t>L</w:t>
      </w:r>
      <w:r w:rsidRPr="00AA4A6B">
        <w:rPr>
          <w:i/>
        </w:rPr>
        <w:t xml:space="preserve">ocal </w:t>
      </w:r>
      <w:r>
        <w:rPr>
          <w:i/>
        </w:rPr>
        <w:t>C</w:t>
      </w:r>
      <w:r w:rsidRPr="00AA4A6B">
        <w:rPr>
          <w:i/>
        </w:rPr>
        <w:t>ommissioners. Taking such a strong stance against antisocial behaviour has been a very challenging and demanding commitment for these leaders</w:t>
      </w:r>
      <w:r>
        <w:rPr>
          <w:i/>
        </w:rPr>
        <w:t>,</w:t>
      </w:r>
      <w:r w:rsidRPr="00AA4A6B">
        <w:rPr>
          <w:i/>
        </w:rPr>
        <w:t xml:space="preserve"> however, they have stuck fast to their vision of strong communities that are free from the welfare trap. We should all commend them for the amazing work and their resilience.”</w:t>
      </w:r>
    </w:p>
    <w:p w14:paraId="09D03E61" w14:textId="468787C0" w:rsidR="00B97CB7" w:rsidRDefault="00B97CB7" w:rsidP="00B97CB7">
      <w:r>
        <w:t>Deputy Premier, Treasurer and M</w:t>
      </w:r>
      <w:r w:rsidRPr="004260A2">
        <w:rPr>
          <w:color w:val="000000"/>
        </w:rPr>
        <w:t>inister for Aboriginal and Torres Strait Islander Partnerships</w:t>
      </w:r>
      <w:r w:rsidR="0083017B">
        <w:rPr>
          <w:color w:val="000000"/>
        </w:rPr>
        <w:t>,</w:t>
      </w:r>
      <w:r>
        <w:rPr>
          <w:color w:val="000000"/>
        </w:rPr>
        <w:t xml:space="preserve"> </w:t>
      </w:r>
      <w:r>
        <w:t>the Hon</w:t>
      </w:r>
      <w:r w:rsidR="00DC21CC">
        <w:t>ourable</w:t>
      </w:r>
      <w:r>
        <w:t xml:space="preserve"> Jackie Trad MP</w:t>
      </w:r>
      <w:r w:rsidR="002B28AA">
        <w:t>,</w:t>
      </w:r>
      <w:r>
        <w:t xml:space="preserve"> advised State Parliament on presenting the Commission’s 2017–2018 Annual Report on Friday 22 March 2019:</w:t>
      </w:r>
    </w:p>
    <w:p w14:paraId="14F5BF7F" w14:textId="652FC8FF" w:rsidR="00B97CB7" w:rsidRPr="003B2311" w:rsidRDefault="00B97CB7" w:rsidP="00B97CB7">
      <w:pPr>
        <w:ind w:left="567" w:right="849"/>
        <w:rPr>
          <w:i/>
        </w:rPr>
      </w:pPr>
      <w:r w:rsidRPr="003B2311">
        <w:rPr>
          <w:i/>
        </w:rPr>
        <w:t>“The Queensland Government values the role of the Local Commissioners in re-establishing local authority and decision</w:t>
      </w:r>
      <w:r w:rsidR="00B84A5B">
        <w:rPr>
          <w:i/>
        </w:rPr>
        <w:t>-</w:t>
      </w:r>
      <w:r w:rsidRPr="003B2311">
        <w:rPr>
          <w:i/>
        </w:rPr>
        <w:t>making in the Welfare Reform communities.</w:t>
      </w:r>
    </w:p>
    <w:p w14:paraId="32C01DB7" w14:textId="77777777" w:rsidR="00B97CB7" w:rsidRPr="003B2311" w:rsidRDefault="00B97CB7" w:rsidP="00B97CB7">
      <w:pPr>
        <w:ind w:left="567" w:right="849"/>
        <w:rPr>
          <w:i/>
        </w:rPr>
      </w:pPr>
      <w:r w:rsidRPr="003B2311">
        <w:rPr>
          <w:i/>
        </w:rPr>
        <w:t>In the last year, they held 2,539 conferences to provide personalised support, and made 122 referrals to service providers for 107 clients.</w:t>
      </w:r>
    </w:p>
    <w:p w14:paraId="0F40C043" w14:textId="77777777" w:rsidR="00B97CB7" w:rsidRPr="003B2311" w:rsidRDefault="00B97CB7" w:rsidP="00B97CB7">
      <w:pPr>
        <w:ind w:left="567" w:right="849"/>
        <w:rPr>
          <w:i/>
        </w:rPr>
      </w:pPr>
      <w:r w:rsidRPr="003B2311">
        <w:rPr>
          <w:i/>
        </w:rPr>
        <w:t>We will continue to support and build on the work done by the FRC Local Commissioners as part of the Queensland Government’s Local Thriving Communities reform agenda which is being led by the Department of Aboriginal and Torres Strait Islander Partnerships.</w:t>
      </w:r>
    </w:p>
    <w:p w14:paraId="421C8875" w14:textId="77777777" w:rsidR="00B97CB7" w:rsidRPr="003B2311" w:rsidRDefault="00B97CB7" w:rsidP="00B97CB7">
      <w:pPr>
        <w:ind w:left="567" w:right="849"/>
        <w:rPr>
          <w:i/>
        </w:rPr>
      </w:pPr>
      <w:r w:rsidRPr="003B2311">
        <w:rPr>
          <w:i/>
        </w:rPr>
        <w:t>The reform comes in response to a Queensland Productivity Commission inquiry into service delivery in Queensland’s 19 remote and discrete communities, including the Welfare Reform communities.</w:t>
      </w:r>
    </w:p>
    <w:p w14:paraId="5BABBA3B" w14:textId="77777777" w:rsidR="00B97CB7" w:rsidRPr="003B2311" w:rsidRDefault="00B97CB7" w:rsidP="00B97CB7">
      <w:pPr>
        <w:ind w:left="567" w:right="849"/>
        <w:rPr>
          <w:i/>
        </w:rPr>
      </w:pPr>
      <w:r w:rsidRPr="003B2311">
        <w:rPr>
          <w:i/>
        </w:rPr>
        <w:t>It also responds to requests from Mayors and other Indigenous leaders in these communities for better governance, economic opportunities, and greater community engagement in planning and delivery.</w:t>
      </w:r>
    </w:p>
    <w:p w14:paraId="66145F72" w14:textId="77777777" w:rsidR="00B97CB7" w:rsidRPr="003B2311" w:rsidRDefault="00B97CB7" w:rsidP="00B97CB7">
      <w:pPr>
        <w:ind w:left="567" w:right="849"/>
        <w:rPr>
          <w:i/>
        </w:rPr>
      </w:pPr>
      <w:r w:rsidRPr="003B2311">
        <w:rPr>
          <w:i/>
        </w:rPr>
        <w:t>The Local Thriving Communities agenda will be co-designed with remote and discrete community members and will honour the role of communities in identifying their own priorities and solutions to issues.</w:t>
      </w:r>
    </w:p>
    <w:p w14:paraId="369E757A" w14:textId="77777777" w:rsidR="00B97CB7" w:rsidRPr="003B2311" w:rsidRDefault="00B97CB7" w:rsidP="00B97CB7">
      <w:pPr>
        <w:ind w:left="567" w:right="849"/>
        <w:rPr>
          <w:i/>
        </w:rPr>
      </w:pPr>
      <w:r w:rsidRPr="003B2311">
        <w:rPr>
          <w:i/>
        </w:rPr>
        <w:lastRenderedPageBreak/>
        <w:t>It will build on existing strengths, leverage local leadership and be delivered with a local emphasis, meaning that priorities and the way they are addressed may differ across communities.</w:t>
      </w:r>
    </w:p>
    <w:p w14:paraId="780D93B9" w14:textId="77777777" w:rsidR="00B97CB7" w:rsidRPr="003B2311" w:rsidRDefault="00B97CB7" w:rsidP="00B97CB7">
      <w:pPr>
        <w:ind w:left="567" w:right="849"/>
        <w:rPr>
          <w:i/>
        </w:rPr>
      </w:pPr>
      <w:r w:rsidRPr="003B2311">
        <w:rPr>
          <w:i/>
        </w:rPr>
        <w:t xml:space="preserve">Stakeholders like the Local Commissioners will be critical to understanding existing support </w:t>
      </w:r>
      <w:proofErr w:type="gramStart"/>
      <w:r w:rsidRPr="003B2311">
        <w:rPr>
          <w:i/>
        </w:rPr>
        <w:t>structures,</w:t>
      </w:r>
      <w:r>
        <w:rPr>
          <w:i/>
        </w:rPr>
        <w:t xml:space="preserve"> </w:t>
      </w:r>
      <w:r w:rsidRPr="003B2311">
        <w:rPr>
          <w:i/>
        </w:rPr>
        <w:t>and</w:t>
      </w:r>
      <w:proofErr w:type="gramEnd"/>
      <w:r w:rsidRPr="003B2311">
        <w:rPr>
          <w:i/>
        </w:rPr>
        <w:t xml:space="preserve"> designing and delivering effective future plans that empower Queensland’s remote and discrete communities to thrive.</w:t>
      </w:r>
    </w:p>
    <w:p w14:paraId="3BE90835" w14:textId="77777777" w:rsidR="00B97CB7" w:rsidRPr="00CE07DA" w:rsidRDefault="00B97CB7" w:rsidP="00B97CB7">
      <w:pPr>
        <w:ind w:left="567" w:right="849"/>
        <w:rPr>
          <w:i/>
        </w:rPr>
      </w:pPr>
      <w:r w:rsidRPr="003B2311">
        <w:rPr>
          <w:i/>
        </w:rPr>
        <w:t>Community engagement on the Welfare Reform program, including the FRC, and the co-design process for Local Thriving Communities reform will occur through 2019.</w:t>
      </w:r>
      <w:r>
        <w:rPr>
          <w:i/>
        </w:rPr>
        <w:t>”</w:t>
      </w:r>
    </w:p>
    <w:p w14:paraId="75ECB796" w14:textId="77777777" w:rsidR="00B97CB7" w:rsidRDefault="00B97CB7" w:rsidP="00B97CB7">
      <w:r w:rsidRPr="00DB43FB">
        <w:rPr>
          <w:rFonts w:cs="Arial"/>
          <w:szCs w:val="20"/>
        </w:rPr>
        <w:t xml:space="preserve">The </w:t>
      </w:r>
      <w:r w:rsidRPr="001355A5">
        <w:rPr>
          <w:rFonts w:cs="Arial"/>
          <w:szCs w:val="20"/>
        </w:rPr>
        <w:t>Queensland Productivity Commission</w:t>
      </w:r>
      <w:r w:rsidR="00857AFA" w:rsidRPr="001355A5">
        <w:rPr>
          <w:rFonts w:cs="Arial"/>
          <w:szCs w:val="20"/>
        </w:rPr>
        <w:t xml:space="preserve"> (QPC)</w:t>
      </w:r>
      <w:r w:rsidRPr="001355A5">
        <w:rPr>
          <w:rFonts w:cs="Arial"/>
          <w:szCs w:val="20"/>
        </w:rPr>
        <w:t xml:space="preserve"> inquiry into service delivery in remote and discrete Aboriginal and Torres Strait Islander communities</w:t>
      </w:r>
      <w:r w:rsidRPr="00A4368D">
        <w:rPr>
          <w:rFonts w:cs="Arial"/>
          <w:szCs w:val="20"/>
        </w:rPr>
        <w:t xml:space="preserve"> is</w:t>
      </w:r>
      <w:r>
        <w:rPr>
          <w:rFonts w:cs="Arial"/>
          <w:szCs w:val="20"/>
        </w:rPr>
        <w:t xml:space="preserve"> </w:t>
      </w:r>
      <w:r w:rsidRPr="00A4368D">
        <w:rPr>
          <w:rFonts w:cs="Arial"/>
          <w:szCs w:val="20"/>
        </w:rPr>
        <w:t xml:space="preserve">available at: </w:t>
      </w:r>
      <w:hyperlink r:id="rId26" w:history="1">
        <w:r w:rsidRPr="00EA2F62">
          <w:rPr>
            <w:rStyle w:val="Hyperlink"/>
          </w:rPr>
          <w:t>https://www.qpc.qld.gov.au/inquiries/service-delivery-in-queenslands-remote-and-discrete-indigenous-communities/</w:t>
        </w:r>
      </w:hyperlink>
      <w:r>
        <w:t>.</w:t>
      </w:r>
    </w:p>
    <w:p w14:paraId="154BE9A2" w14:textId="77777777" w:rsidR="00B97CB7" w:rsidRDefault="00B97CB7" w:rsidP="00B97CB7">
      <w:pPr>
        <w:rPr>
          <w:color w:val="000000"/>
        </w:rPr>
      </w:pPr>
      <w:r w:rsidRPr="00CE07DA">
        <w:rPr>
          <w:color w:val="000000"/>
        </w:rPr>
        <w:t xml:space="preserve">QPC Commissioner Bronwyn Fredericks who chaired the Inquiry has been clear publicly that the report cannot be used by </w:t>
      </w:r>
      <w:r>
        <w:rPr>
          <w:color w:val="000000"/>
        </w:rPr>
        <w:t>G</w:t>
      </w:r>
      <w:r w:rsidRPr="00CE07DA">
        <w:rPr>
          <w:color w:val="000000"/>
        </w:rPr>
        <w:t xml:space="preserve">overnment to justify transitioning from the FRC, or any other program. As the QPC report itself explicitly states, the focus of the inquiry </w:t>
      </w:r>
      <w:r w:rsidRPr="005B3391">
        <w:rPr>
          <w:i/>
          <w:color w:val="000000"/>
        </w:rPr>
        <w:t>was “to examine the overarching policy, governance and funding framework that overlays all services”</w:t>
      </w:r>
      <w:r w:rsidRPr="00CE07DA">
        <w:rPr>
          <w:color w:val="000000"/>
        </w:rPr>
        <w:t xml:space="preserve"> across all remote and discrete Indigenous communities </w:t>
      </w:r>
      <w:r w:rsidRPr="00F52B07">
        <w:rPr>
          <w:color w:val="000000"/>
        </w:rPr>
        <w:t>(</w:t>
      </w:r>
      <w:r>
        <w:rPr>
          <w:color w:val="000000"/>
        </w:rPr>
        <w:t xml:space="preserve">page ix of the </w:t>
      </w:r>
      <w:hyperlink r:id="rId27" w:history="1">
        <w:r w:rsidRPr="00F52B07">
          <w:rPr>
            <w:rStyle w:val="Hyperlink"/>
          </w:rPr>
          <w:t>FINAL REPORT into Service delivery in remote and discrete Aboriginal and Torres Strait Islander communities</w:t>
        </w:r>
      </w:hyperlink>
      <w:r w:rsidRPr="00F52B07">
        <w:rPr>
          <w:color w:val="000000"/>
        </w:rPr>
        <w:t>).</w:t>
      </w:r>
    </w:p>
    <w:p w14:paraId="1C4EB44F" w14:textId="1EEC7FF6" w:rsidR="00B97CB7" w:rsidRPr="00EF5198" w:rsidRDefault="00B97CB7" w:rsidP="00B97CB7">
      <w:pPr>
        <w:rPr>
          <w:rFonts w:cs="Arial"/>
          <w:szCs w:val="20"/>
        </w:rPr>
      </w:pPr>
      <w:r w:rsidRPr="00EF5198">
        <w:rPr>
          <w:rFonts w:cs="Arial"/>
          <w:szCs w:val="20"/>
        </w:rPr>
        <w:t xml:space="preserve">The </w:t>
      </w:r>
      <w:r w:rsidRPr="001355A5">
        <w:rPr>
          <w:rFonts w:cs="Arial"/>
          <w:szCs w:val="20"/>
        </w:rPr>
        <w:t>Strategic Review of Cape York Income Management</w:t>
      </w:r>
      <w:r w:rsidR="00D9279B">
        <w:rPr>
          <w:rFonts w:cs="Arial"/>
          <w:szCs w:val="20"/>
        </w:rPr>
        <w:t xml:space="preserve"> report</w:t>
      </w:r>
      <w:r w:rsidRPr="00EF5198">
        <w:rPr>
          <w:rFonts w:cs="Arial"/>
          <w:i/>
          <w:szCs w:val="20"/>
        </w:rPr>
        <w:t xml:space="preserve"> </w:t>
      </w:r>
      <w:r w:rsidR="00C64812" w:rsidRPr="00C64812">
        <w:rPr>
          <w:rFonts w:cs="Arial"/>
          <w:szCs w:val="20"/>
        </w:rPr>
        <w:t>(</w:t>
      </w:r>
      <w:hyperlink r:id="rId28" w:history="1">
        <w:r w:rsidR="00C64812" w:rsidRPr="00C64812">
          <w:rPr>
            <w:rStyle w:val="Hyperlink"/>
            <w:rFonts w:cs="Arial"/>
            <w:szCs w:val="20"/>
          </w:rPr>
          <w:t>https://www.dss.gov.au/families-and-children-programs-services-welfare-quarantining-income-management/strategic-review-of-cape-york-income-management</w:t>
        </w:r>
      </w:hyperlink>
      <w:r w:rsidR="00C64812">
        <w:rPr>
          <w:rFonts w:cs="Arial"/>
          <w:szCs w:val="20"/>
        </w:rPr>
        <w:t xml:space="preserve">) produced </w:t>
      </w:r>
      <w:r w:rsidRPr="00EF5198">
        <w:rPr>
          <w:rFonts w:cs="Arial"/>
          <w:szCs w:val="20"/>
        </w:rPr>
        <w:t xml:space="preserve">by Professor John Scott of the Queensland </w:t>
      </w:r>
      <w:r w:rsidR="00E4268C">
        <w:rPr>
          <w:rFonts w:cs="Arial"/>
          <w:szCs w:val="20"/>
        </w:rPr>
        <w:t>University</w:t>
      </w:r>
      <w:r w:rsidR="00E4268C" w:rsidRPr="00EF5198">
        <w:rPr>
          <w:rFonts w:cs="Arial"/>
          <w:szCs w:val="20"/>
        </w:rPr>
        <w:t xml:space="preserve"> </w:t>
      </w:r>
      <w:r w:rsidRPr="00EF5198">
        <w:rPr>
          <w:rFonts w:cs="Arial"/>
          <w:szCs w:val="20"/>
        </w:rPr>
        <w:t xml:space="preserve">of Technology </w:t>
      </w:r>
      <w:r w:rsidR="00832C6D">
        <w:rPr>
          <w:rFonts w:cs="Arial"/>
          <w:szCs w:val="20"/>
        </w:rPr>
        <w:t xml:space="preserve">(QUT) </w:t>
      </w:r>
      <w:r w:rsidRPr="00EF5198">
        <w:rPr>
          <w:rFonts w:cs="Arial"/>
          <w:szCs w:val="20"/>
        </w:rPr>
        <w:t xml:space="preserve">on behalf of the Department of Social </w:t>
      </w:r>
      <w:r w:rsidR="00324BC2">
        <w:rPr>
          <w:rFonts w:cs="Arial"/>
          <w:szCs w:val="20"/>
        </w:rPr>
        <w:t>Services</w:t>
      </w:r>
      <w:r w:rsidR="00811CF2">
        <w:rPr>
          <w:rFonts w:cs="Arial"/>
          <w:szCs w:val="20"/>
        </w:rPr>
        <w:t xml:space="preserve"> (DSS)</w:t>
      </w:r>
      <w:r w:rsidR="00324BC2" w:rsidRPr="00EF5198">
        <w:rPr>
          <w:rFonts w:cs="Arial"/>
          <w:szCs w:val="20"/>
        </w:rPr>
        <w:t xml:space="preserve"> </w:t>
      </w:r>
      <w:r w:rsidRPr="00EF5198">
        <w:rPr>
          <w:rFonts w:cs="Arial"/>
          <w:szCs w:val="20"/>
        </w:rPr>
        <w:t>in November 2018</w:t>
      </w:r>
      <w:r w:rsidR="00C64812">
        <w:rPr>
          <w:rFonts w:cs="Arial"/>
          <w:szCs w:val="20"/>
        </w:rPr>
        <w:t xml:space="preserve"> stated</w:t>
      </w:r>
      <w:r w:rsidRPr="00EF5198">
        <w:rPr>
          <w:rFonts w:cs="Arial"/>
          <w:szCs w:val="20"/>
        </w:rPr>
        <w:t>:</w:t>
      </w:r>
    </w:p>
    <w:p w14:paraId="126806FB" w14:textId="7896CDCC" w:rsidR="00B97CB7" w:rsidRPr="000318DD" w:rsidRDefault="00B97CB7" w:rsidP="00B97CB7">
      <w:pPr>
        <w:ind w:left="567" w:right="849"/>
        <w:rPr>
          <w:i/>
        </w:rPr>
      </w:pPr>
      <w:r>
        <w:rPr>
          <w:i/>
        </w:rPr>
        <w:t>“</w:t>
      </w:r>
      <w:r w:rsidRPr="000318DD">
        <w:rPr>
          <w:i/>
        </w:rPr>
        <w:t xml:space="preserve">There is a clear view in the current CYWR communities that the FRC should continue in some form; presumably because this goal of community-wide empowerment has not yet been achieved. With regard to any continuation of CYIM specifically, a Hope Vale Local Commissioner (in Focus Group 2, 2018, p. 26) stated,  </w:t>
      </w:r>
      <w:r>
        <w:rPr>
          <w:i/>
        </w:rPr>
        <w:t>‘</w:t>
      </w:r>
      <w:r w:rsidRPr="000318DD">
        <w:rPr>
          <w:i/>
        </w:rPr>
        <w:t>My concern is that, you know, you got all the findings, you have picked our brain about what’s good, what’s bad</w:t>
      </w:r>
      <w:r>
        <w:rPr>
          <w:i/>
        </w:rPr>
        <w:t>,</w:t>
      </w:r>
      <w:r w:rsidRPr="000318DD">
        <w:rPr>
          <w:i/>
        </w:rPr>
        <w:t xml:space="preserve"> what’s been, you know… and then the Government think they can do it [deliver CYIM] on their own. They cannot. That’s the clear message out of this. The Government cannot do this, without a body managing it on the ground…</w:t>
      </w:r>
      <w:r w:rsidR="00FB6490">
        <w:rPr>
          <w:i/>
        </w:rPr>
        <w:t>’</w:t>
      </w:r>
      <w:r w:rsidRPr="000318DD">
        <w:rPr>
          <w:i/>
        </w:rPr>
        <w:t xml:space="preserve"> </w:t>
      </w:r>
    </w:p>
    <w:p w14:paraId="3BE07B37" w14:textId="77777777" w:rsidR="00B97CB7" w:rsidRPr="000318DD" w:rsidRDefault="00B97CB7" w:rsidP="00B97CB7">
      <w:pPr>
        <w:ind w:left="567" w:right="849"/>
        <w:rPr>
          <w:i/>
        </w:rPr>
      </w:pPr>
      <w:r w:rsidRPr="000318DD">
        <w:rPr>
          <w:i/>
        </w:rPr>
        <w:t xml:space="preserve">This view is supported by the findings of this review; CYIM </w:t>
      </w:r>
      <w:proofErr w:type="gramStart"/>
      <w:r w:rsidRPr="000318DD">
        <w:rPr>
          <w:i/>
        </w:rPr>
        <w:t>is able</w:t>
      </w:r>
      <w:r>
        <w:rPr>
          <w:i/>
        </w:rPr>
        <w:t xml:space="preserve"> </w:t>
      </w:r>
      <w:r w:rsidRPr="000318DD">
        <w:rPr>
          <w:i/>
        </w:rPr>
        <w:t>to</w:t>
      </w:r>
      <w:proofErr w:type="gramEnd"/>
      <w:r w:rsidRPr="000318DD">
        <w:rPr>
          <w:i/>
        </w:rPr>
        <w:t xml:space="preserve"> overcome many of the problems with IM schemes elsewhere because it is delivered through the context of the FRC. This context is a key component of any ‘successes’ that can be attributed to the Cape York scheme.</w:t>
      </w:r>
      <w:r>
        <w:rPr>
          <w:i/>
        </w:rPr>
        <w:t>”</w:t>
      </w:r>
      <w:r w:rsidRPr="000318DD">
        <w:rPr>
          <w:i/>
        </w:rPr>
        <w:t xml:space="preserve"> </w:t>
      </w:r>
      <w:r w:rsidRPr="002B6454">
        <w:t>(page 84</w:t>
      </w:r>
      <w:r w:rsidRPr="000318DD">
        <w:rPr>
          <w:i/>
        </w:rPr>
        <w:t>)</w:t>
      </w:r>
    </w:p>
    <w:p w14:paraId="2DE3B104" w14:textId="19577423" w:rsidR="00B97CB7" w:rsidRPr="006D14D4" w:rsidRDefault="00B97CB7" w:rsidP="00B97CB7">
      <w:r>
        <w:t>Further at page 90</w:t>
      </w:r>
      <w:r w:rsidR="00C64812">
        <w:t>:</w:t>
      </w:r>
    </w:p>
    <w:p w14:paraId="130ABD99" w14:textId="42DE30EA" w:rsidR="00B97CB7" w:rsidRPr="002B6454" w:rsidRDefault="00B97CB7" w:rsidP="00B97CB7">
      <w:pPr>
        <w:ind w:left="567" w:right="849"/>
        <w:rPr>
          <w:i/>
        </w:rPr>
      </w:pPr>
      <w:r>
        <w:rPr>
          <w:i/>
        </w:rPr>
        <w:t>“</w:t>
      </w:r>
      <w:r w:rsidRPr="002B6454">
        <w:rPr>
          <w:i/>
        </w:rPr>
        <w:t xml:space="preserve">Cape York communities are looking to make a decision about evolving from CYWR towards new arrangements based on the empowerment/development model. There is an expectation from communities that this review will inform a decision about the future of welfare quarantining in Cape York and what role the current CYIM approach can/should have in any future models. Different communities have different needs and may come to different conclusions. Consultation and implementation are critically important to any future extension of the CYWR, FRC and/or CYIM. Consultation should be broad (involving a significant proportion of the community) and deep (i.e. cover not just theoretical models, but also the realities of how the models would apply </w:t>
      </w:r>
      <w:r w:rsidRPr="002B6454">
        <w:rPr>
          <w:i/>
        </w:rPr>
        <w:lastRenderedPageBreak/>
        <w:t>in practice). By gaining widespread, informed endorsement of any future models, it may be possible to improve early take-up and support of any new models</w:t>
      </w:r>
      <w:r w:rsidRPr="002B6454">
        <w:t>.”</w:t>
      </w:r>
    </w:p>
    <w:p w14:paraId="23D2D4BF" w14:textId="58B84EA7" w:rsidR="00D915DC" w:rsidRDefault="008E5989" w:rsidP="00B97CB7">
      <w:pPr>
        <w:rPr>
          <w:rFonts w:cs="Arial"/>
          <w:bCs/>
          <w:szCs w:val="20"/>
          <w:lang w:val="en-US"/>
        </w:rPr>
      </w:pPr>
      <w:r>
        <w:rPr>
          <w:rFonts w:cs="Arial"/>
          <w:bCs/>
          <w:szCs w:val="20"/>
          <w:lang w:val="en-US"/>
        </w:rPr>
        <w:t xml:space="preserve">According to information provided </w:t>
      </w:r>
      <w:r w:rsidR="00D915DC">
        <w:rPr>
          <w:rFonts w:cs="Arial"/>
          <w:bCs/>
          <w:szCs w:val="20"/>
          <w:lang w:val="en-US"/>
        </w:rPr>
        <w:t xml:space="preserve">to me </w:t>
      </w:r>
      <w:r w:rsidR="006225E9">
        <w:rPr>
          <w:rFonts w:cs="Arial"/>
          <w:bCs/>
          <w:szCs w:val="20"/>
          <w:lang w:val="en-US"/>
        </w:rPr>
        <w:t xml:space="preserve">by </w:t>
      </w:r>
      <w:r w:rsidR="009126C1">
        <w:rPr>
          <w:rFonts w:cs="Arial"/>
          <w:bCs/>
          <w:szCs w:val="20"/>
          <w:lang w:val="en-US"/>
        </w:rPr>
        <w:t>DATSIP</w:t>
      </w:r>
      <w:r w:rsidR="00D915DC">
        <w:rPr>
          <w:rFonts w:cs="Arial"/>
          <w:bCs/>
          <w:szCs w:val="20"/>
          <w:lang w:val="en-US"/>
        </w:rPr>
        <w:t xml:space="preserve"> through their ‘Thriving Remote and Discrete Aboriginal and Torres Strait Islander Communities Fact Sheet’</w:t>
      </w:r>
      <w:r>
        <w:rPr>
          <w:rFonts w:cs="Arial"/>
          <w:bCs/>
          <w:szCs w:val="20"/>
          <w:lang w:val="en-US"/>
        </w:rPr>
        <w:t xml:space="preserve">, </w:t>
      </w:r>
      <w:r w:rsidR="00913BCE">
        <w:rPr>
          <w:rFonts w:cs="Arial"/>
          <w:bCs/>
          <w:szCs w:val="20"/>
          <w:lang w:val="en-US"/>
        </w:rPr>
        <w:t>Local Thriving Communities</w:t>
      </w:r>
      <w:r>
        <w:rPr>
          <w:rFonts w:cs="Arial"/>
          <w:bCs/>
          <w:szCs w:val="20"/>
          <w:lang w:val="en-US"/>
        </w:rPr>
        <w:t xml:space="preserve"> will focus on building </w:t>
      </w:r>
      <w:r w:rsidR="009126C1">
        <w:rPr>
          <w:rFonts w:cs="Arial"/>
          <w:bCs/>
          <w:szCs w:val="20"/>
          <w:lang w:val="en-US"/>
        </w:rPr>
        <w:t>structural reform (local decision-making through community owned governance structur</w:t>
      </w:r>
      <w:r w:rsidR="00FB6452">
        <w:rPr>
          <w:rFonts w:cs="Arial"/>
          <w:bCs/>
          <w:szCs w:val="20"/>
          <w:lang w:val="en-US"/>
        </w:rPr>
        <w:t>e</w:t>
      </w:r>
      <w:r w:rsidR="009126C1">
        <w:rPr>
          <w:rFonts w:cs="Arial"/>
          <w:bCs/>
          <w:szCs w:val="20"/>
          <w:lang w:val="en-US"/>
        </w:rPr>
        <w:t>s</w:t>
      </w:r>
      <w:r w:rsidR="00FB6452">
        <w:rPr>
          <w:rFonts w:cs="Arial"/>
          <w:bCs/>
          <w:szCs w:val="20"/>
          <w:lang w:val="en-US"/>
        </w:rPr>
        <w:t>)</w:t>
      </w:r>
      <w:r w:rsidR="009126C1">
        <w:rPr>
          <w:rFonts w:cs="Arial"/>
          <w:bCs/>
          <w:szCs w:val="20"/>
          <w:lang w:val="en-US"/>
        </w:rPr>
        <w:t>, service delivery reform</w:t>
      </w:r>
      <w:r w:rsidR="00FB6452">
        <w:rPr>
          <w:rFonts w:cs="Arial"/>
          <w:bCs/>
          <w:szCs w:val="20"/>
          <w:lang w:val="en-US"/>
        </w:rPr>
        <w:t xml:space="preserve"> and economic reform. T</w:t>
      </w:r>
      <w:r>
        <w:rPr>
          <w:rFonts w:cs="Arial"/>
          <w:bCs/>
          <w:szCs w:val="20"/>
          <w:lang w:val="en-US"/>
        </w:rPr>
        <w:t>h</w:t>
      </w:r>
      <w:r w:rsidR="00FB6452">
        <w:rPr>
          <w:rFonts w:cs="Arial"/>
          <w:bCs/>
          <w:szCs w:val="20"/>
          <w:lang w:val="en-US"/>
        </w:rPr>
        <w:t>is is reform work at the community level aimed at r</w:t>
      </w:r>
      <w:r>
        <w:rPr>
          <w:rFonts w:cs="Arial"/>
          <w:bCs/>
          <w:szCs w:val="20"/>
          <w:lang w:val="en-US"/>
        </w:rPr>
        <w:t>e</w:t>
      </w:r>
      <w:r w:rsidR="006225E9">
        <w:rPr>
          <w:rFonts w:cs="Arial"/>
          <w:bCs/>
          <w:szCs w:val="20"/>
          <w:lang w:val="en-US"/>
        </w:rPr>
        <w:t>fram</w:t>
      </w:r>
      <w:r w:rsidR="00FB6452">
        <w:rPr>
          <w:rFonts w:cs="Arial"/>
          <w:bCs/>
          <w:szCs w:val="20"/>
          <w:lang w:val="en-US"/>
        </w:rPr>
        <w:t>ing</w:t>
      </w:r>
      <w:r w:rsidR="006225E9">
        <w:rPr>
          <w:rFonts w:cs="Arial"/>
          <w:bCs/>
          <w:szCs w:val="20"/>
          <w:lang w:val="en-US"/>
        </w:rPr>
        <w:t xml:space="preserve"> the relationship </w:t>
      </w:r>
      <w:r w:rsidR="00F97B5D">
        <w:rPr>
          <w:rFonts w:cs="Arial"/>
          <w:bCs/>
          <w:szCs w:val="20"/>
          <w:lang w:val="en-US"/>
        </w:rPr>
        <w:t>between the Queensland</w:t>
      </w:r>
      <w:r w:rsidR="006225E9">
        <w:rPr>
          <w:rFonts w:cs="Arial"/>
          <w:bCs/>
          <w:szCs w:val="20"/>
          <w:lang w:val="en-US"/>
        </w:rPr>
        <w:t xml:space="preserve"> Government </w:t>
      </w:r>
      <w:r w:rsidR="00F97B5D">
        <w:rPr>
          <w:rFonts w:cs="Arial"/>
          <w:bCs/>
          <w:szCs w:val="20"/>
          <w:lang w:val="en-US"/>
        </w:rPr>
        <w:t xml:space="preserve">and </w:t>
      </w:r>
      <w:r w:rsidR="006225E9">
        <w:rPr>
          <w:rFonts w:cs="Arial"/>
          <w:bCs/>
          <w:szCs w:val="20"/>
          <w:lang w:val="en-US"/>
        </w:rPr>
        <w:t>the communities.</w:t>
      </w:r>
    </w:p>
    <w:p w14:paraId="7D783DA9" w14:textId="2098DFEA" w:rsidR="00913BCE" w:rsidRDefault="006225E9" w:rsidP="00B97CB7">
      <w:pPr>
        <w:rPr>
          <w:rFonts w:cs="Arial"/>
          <w:bCs/>
          <w:szCs w:val="20"/>
          <w:lang w:val="en-US"/>
        </w:rPr>
      </w:pPr>
      <w:r>
        <w:rPr>
          <w:rFonts w:cs="Arial"/>
          <w:bCs/>
          <w:szCs w:val="20"/>
          <w:lang w:val="en-US"/>
        </w:rPr>
        <w:t xml:space="preserve">The Commission, on the other hand, works at the individual level, </w:t>
      </w:r>
      <w:r w:rsidR="009126C1">
        <w:rPr>
          <w:rFonts w:cs="Arial"/>
          <w:bCs/>
          <w:szCs w:val="20"/>
          <w:lang w:val="en-US"/>
        </w:rPr>
        <w:t>assisting the individual</w:t>
      </w:r>
      <w:r>
        <w:rPr>
          <w:rFonts w:cs="Arial"/>
          <w:bCs/>
          <w:szCs w:val="20"/>
          <w:lang w:val="en-US"/>
        </w:rPr>
        <w:t xml:space="preserve"> to resume primary responsibility for the</w:t>
      </w:r>
      <w:r w:rsidR="009126C1">
        <w:rPr>
          <w:rFonts w:cs="Arial"/>
          <w:bCs/>
          <w:szCs w:val="20"/>
          <w:lang w:val="en-US"/>
        </w:rPr>
        <w:t>ir</w:t>
      </w:r>
      <w:r>
        <w:rPr>
          <w:rFonts w:cs="Arial"/>
          <w:bCs/>
          <w:szCs w:val="20"/>
          <w:lang w:val="en-US"/>
        </w:rPr>
        <w:t xml:space="preserve"> wellbeing </w:t>
      </w:r>
      <w:r w:rsidR="009126C1">
        <w:rPr>
          <w:rFonts w:cs="Arial"/>
          <w:bCs/>
          <w:szCs w:val="20"/>
          <w:lang w:val="en-US"/>
        </w:rPr>
        <w:t xml:space="preserve">and subsequently the wellbeing of their families - </w:t>
      </w:r>
      <w:r>
        <w:rPr>
          <w:rFonts w:cs="Arial"/>
          <w:bCs/>
          <w:szCs w:val="20"/>
          <w:lang w:val="en-US"/>
        </w:rPr>
        <w:t>promoting the individual’s social responsibility. I</w:t>
      </w:r>
      <w:r w:rsidR="00913BCE">
        <w:rPr>
          <w:rFonts w:cs="Arial"/>
          <w:bCs/>
          <w:szCs w:val="20"/>
          <w:lang w:val="en-US"/>
        </w:rPr>
        <w:t xml:space="preserve">t is my view that the Commission and Local Thriving Communities could work side by side as they have different and distinct functions which could complement each other. The Commission seeks to promote social responsibility </w:t>
      </w:r>
      <w:r w:rsidR="008E5989">
        <w:rPr>
          <w:rFonts w:cs="Arial"/>
          <w:bCs/>
          <w:szCs w:val="20"/>
          <w:lang w:val="en-US"/>
        </w:rPr>
        <w:t xml:space="preserve">and Indigenous authority, </w:t>
      </w:r>
      <w:r w:rsidR="00913BCE">
        <w:rPr>
          <w:rFonts w:cs="Arial"/>
          <w:bCs/>
          <w:szCs w:val="20"/>
          <w:lang w:val="en-US"/>
        </w:rPr>
        <w:t>whilst Local Thriving Communities seeks to empower local community groups to make decisions regarding the provision of service</w:t>
      </w:r>
      <w:r w:rsidR="008E5989">
        <w:rPr>
          <w:rFonts w:cs="Arial"/>
          <w:bCs/>
          <w:szCs w:val="20"/>
          <w:lang w:val="en-US"/>
        </w:rPr>
        <w:t>s</w:t>
      </w:r>
      <w:r w:rsidR="00913BCE">
        <w:rPr>
          <w:rFonts w:cs="Arial"/>
          <w:bCs/>
          <w:szCs w:val="20"/>
          <w:lang w:val="en-US"/>
        </w:rPr>
        <w:t xml:space="preserve"> within the</w:t>
      </w:r>
      <w:r w:rsidR="008E5989">
        <w:rPr>
          <w:rFonts w:cs="Arial"/>
          <w:bCs/>
          <w:szCs w:val="20"/>
          <w:lang w:val="en-US"/>
        </w:rPr>
        <w:t>ir</w:t>
      </w:r>
      <w:r w:rsidR="00913BCE">
        <w:rPr>
          <w:rFonts w:cs="Arial"/>
          <w:bCs/>
          <w:szCs w:val="20"/>
          <w:lang w:val="en-US"/>
        </w:rPr>
        <w:t xml:space="preserve"> community.</w:t>
      </w:r>
    </w:p>
    <w:p w14:paraId="1E185393" w14:textId="6145E4FD" w:rsidR="00B97CB7" w:rsidRPr="00420572" w:rsidRDefault="00B97CB7" w:rsidP="00B97CB7">
      <w:pPr>
        <w:rPr>
          <w:rFonts w:cs="Arial"/>
          <w:bCs/>
          <w:szCs w:val="20"/>
          <w:lang w:val="en-US"/>
        </w:rPr>
      </w:pPr>
      <w:r w:rsidRPr="00420572">
        <w:rPr>
          <w:rFonts w:cs="Arial"/>
          <w:bCs/>
          <w:szCs w:val="20"/>
          <w:lang w:val="en-US"/>
        </w:rPr>
        <w:t>The Commission awaits the</w:t>
      </w:r>
      <w:r>
        <w:rPr>
          <w:rFonts w:cs="Arial"/>
          <w:bCs/>
          <w:szCs w:val="20"/>
          <w:lang w:val="en-US"/>
        </w:rPr>
        <w:t xml:space="preserve"> outcome of the required </w:t>
      </w:r>
      <w:r w:rsidR="008C27F7">
        <w:rPr>
          <w:rFonts w:cs="Arial"/>
          <w:bCs/>
          <w:szCs w:val="20"/>
          <w:lang w:val="en-US"/>
        </w:rPr>
        <w:t>Local Thriving Communit</w:t>
      </w:r>
      <w:r w:rsidR="005215DA">
        <w:rPr>
          <w:rFonts w:cs="Arial"/>
          <w:bCs/>
          <w:szCs w:val="20"/>
          <w:lang w:val="en-US"/>
        </w:rPr>
        <w:t xml:space="preserve">ies </w:t>
      </w:r>
      <w:r>
        <w:rPr>
          <w:rFonts w:cs="Arial"/>
          <w:bCs/>
          <w:szCs w:val="20"/>
          <w:lang w:val="en-US"/>
        </w:rPr>
        <w:t>consultations with communities</w:t>
      </w:r>
      <w:r w:rsidR="005215DA">
        <w:rPr>
          <w:rFonts w:cs="Arial"/>
          <w:bCs/>
          <w:szCs w:val="20"/>
          <w:lang w:val="en-US"/>
        </w:rPr>
        <w:t xml:space="preserve"> </w:t>
      </w:r>
      <w:r>
        <w:rPr>
          <w:rFonts w:cs="Arial"/>
          <w:bCs/>
          <w:szCs w:val="20"/>
          <w:lang w:val="en-US"/>
        </w:rPr>
        <w:t xml:space="preserve">and a decision </w:t>
      </w:r>
      <w:r w:rsidRPr="00420572">
        <w:rPr>
          <w:rFonts w:cs="Arial"/>
          <w:bCs/>
          <w:szCs w:val="20"/>
          <w:lang w:val="en-US"/>
        </w:rPr>
        <w:t>on its future.</w:t>
      </w:r>
    </w:p>
    <w:p w14:paraId="264B02B3" w14:textId="77777777" w:rsidR="00B97CB7" w:rsidRDefault="00B97CB7" w:rsidP="00B97CB7">
      <w:pPr>
        <w:rPr>
          <w:rFonts w:cs="Arial"/>
          <w:b/>
          <w:bCs/>
          <w:szCs w:val="20"/>
          <w:lang w:val="en-US"/>
        </w:rPr>
      </w:pPr>
    </w:p>
    <w:p w14:paraId="26B34DC4" w14:textId="77777777" w:rsidR="00B97CB7" w:rsidRPr="008E7494" w:rsidRDefault="00B97CB7" w:rsidP="00B97CB7">
      <w:pPr>
        <w:rPr>
          <w:rFonts w:cs="Arial"/>
          <w:b/>
          <w:bCs/>
          <w:szCs w:val="20"/>
          <w:lang w:val="en-US"/>
        </w:rPr>
      </w:pPr>
      <w:r w:rsidRPr="008E7494">
        <w:rPr>
          <w:rFonts w:cs="Arial"/>
          <w:b/>
          <w:bCs/>
          <w:szCs w:val="20"/>
          <w:lang w:val="en-US"/>
        </w:rPr>
        <w:t>David Glasgow</w:t>
      </w:r>
      <w:r>
        <w:rPr>
          <w:rFonts w:cs="Arial"/>
          <w:b/>
          <w:bCs/>
          <w:szCs w:val="20"/>
          <w:lang w:val="en-US"/>
        </w:rPr>
        <w:t>, AM</w:t>
      </w:r>
    </w:p>
    <w:p w14:paraId="47BB2FA5" w14:textId="77777777" w:rsidR="00B97CB7" w:rsidRDefault="00B97CB7" w:rsidP="00B97CB7">
      <w:pPr>
        <w:widowControl w:val="0"/>
        <w:autoSpaceDE w:val="0"/>
        <w:autoSpaceDN w:val="0"/>
        <w:adjustRightInd w:val="0"/>
        <w:rPr>
          <w:rFonts w:cs="Arial"/>
          <w:b/>
          <w:bCs/>
          <w:szCs w:val="20"/>
          <w:lang w:val="en-US"/>
        </w:rPr>
      </w:pPr>
      <w:r w:rsidRPr="008E7494">
        <w:rPr>
          <w:rFonts w:cs="Arial"/>
          <w:b/>
          <w:bCs/>
          <w:szCs w:val="20"/>
          <w:lang w:val="en-US"/>
        </w:rPr>
        <w:t>Family Responsibilities Commissioner</w:t>
      </w:r>
    </w:p>
    <w:p w14:paraId="731FA5CE" w14:textId="77777777" w:rsidR="00B97CB7" w:rsidRPr="0021678C" w:rsidRDefault="00B97CB7" w:rsidP="00B97CB7">
      <w:pPr>
        <w:autoSpaceDE w:val="0"/>
        <w:autoSpaceDN w:val="0"/>
        <w:adjustRightInd w:val="0"/>
        <w:spacing w:after="0" w:line="240" w:lineRule="auto"/>
        <w:rPr>
          <w:rFonts w:ascii="Times New Roman" w:hAnsi="Times New Roman"/>
          <w:color w:val="000000"/>
          <w:sz w:val="24"/>
        </w:rPr>
      </w:pPr>
    </w:p>
    <w:p w14:paraId="2028BA03" w14:textId="77777777" w:rsidR="00301C1B" w:rsidRDefault="00301C1B" w:rsidP="009B129E">
      <w:pPr>
        <w:rPr>
          <w:rFonts w:cs="Arial"/>
          <w:szCs w:val="20"/>
        </w:rPr>
        <w:sectPr w:rsidR="00301C1B" w:rsidSect="00B66A21">
          <w:headerReference w:type="even" r:id="rId29"/>
          <w:headerReference w:type="default" r:id="rId30"/>
          <w:headerReference w:type="first" r:id="rId31"/>
          <w:footnotePr>
            <w:numRestart w:val="eachSect"/>
          </w:footnotePr>
          <w:pgSz w:w="11906" w:h="16838"/>
          <w:pgMar w:top="2948" w:right="1418" w:bottom="567" w:left="1418" w:header="0" w:footer="567" w:gutter="0"/>
          <w:cols w:space="708"/>
          <w:docGrid w:linePitch="360"/>
        </w:sectPr>
      </w:pPr>
    </w:p>
    <w:p w14:paraId="5574C767" w14:textId="77777777" w:rsidR="00A60992" w:rsidRPr="00027E78" w:rsidRDefault="00A60992" w:rsidP="00F855B1">
      <w:pPr>
        <w:pStyle w:val="Heading3"/>
        <w:rPr>
          <w:i/>
        </w:rPr>
      </w:pPr>
      <w:r w:rsidRPr="00027E78">
        <w:lastRenderedPageBreak/>
        <w:t>Our vision</w:t>
      </w:r>
    </w:p>
    <w:p w14:paraId="7C128ABD" w14:textId="77777777" w:rsidR="00A60992" w:rsidRPr="008E7494" w:rsidRDefault="00A60992" w:rsidP="00A60992">
      <w:r w:rsidRPr="008E7494">
        <w:t>Vibrant welfare reform communities that are responsible, healthy, safe and sustainable.</w:t>
      </w:r>
    </w:p>
    <w:p w14:paraId="6E616A12" w14:textId="77777777" w:rsidR="00A60992" w:rsidRPr="00027E78" w:rsidRDefault="00A60992" w:rsidP="00F855B1">
      <w:pPr>
        <w:pStyle w:val="Heading3"/>
        <w:rPr>
          <w:i/>
        </w:rPr>
      </w:pPr>
      <w:r w:rsidRPr="00027E78">
        <w:t>Our purpose</w:t>
      </w:r>
    </w:p>
    <w:p w14:paraId="2A2F26A8" w14:textId="77777777" w:rsidR="00A60992" w:rsidRPr="008E7494" w:rsidRDefault="00A60992" w:rsidP="00A60992">
      <w:r w:rsidRPr="008E7494">
        <w:t>Supporting welfare reform community members to restore socially responsible standards of behaviour, local authority and wellbeing for themselves and their families.</w:t>
      </w:r>
    </w:p>
    <w:p w14:paraId="6DEAC715" w14:textId="77777777" w:rsidR="00A60992" w:rsidRPr="00027E78" w:rsidRDefault="00A60992" w:rsidP="00F855B1">
      <w:pPr>
        <w:pStyle w:val="Heading3"/>
        <w:rPr>
          <w:i/>
        </w:rPr>
      </w:pPr>
      <w:r w:rsidRPr="00027E78">
        <w:t>Our values</w:t>
      </w:r>
    </w:p>
    <w:tbl>
      <w:tblPr>
        <w:tblW w:w="0" w:type="auto"/>
        <w:tblLook w:val="04A0" w:firstRow="1" w:lastRow="0" w:firstColumn="1" w:lastColumn="0" w:noHBand="0" w:noVBand="1"/>
      </w:tblPr>
      <w:tblGrid>
        <w:gridCol w:w="1668"/>
        <w:gridCol w:w="6860"/>
      </w:tblGrid>
      <w:tr w:rsidR="00A60992" w:rsidRPr="008E7494" w14:paraId="7B0AB662" w14:textId="77777777" w:rsidTr="00047560">
        <w:tc>
          <w:tcPr>
            <w:tcW w:w="1668" w:type="dxa"/>
            <w:shd w:val="clear" w:color="auto" w:fill="auto"/>
          </w:tcPr>
          <w:p w14:paraId="62E4587A" w14:textId="77777777" w:rsidR="00A60992" w:rsidRPr="008E7494" w:rsidRDefault="00A60992" w:rsidP="00047560">
            <w:pPr>
              <w:rPr>
                <w:b/>
              </w:rPr>
            </w:pPr>
            <w:r w:rsidRPr="008E7494">
              <w:rPr>
                <w:b/>
              </w:rPr>
              <w:t>Safety:</w:t>
            </w:r>
          </w:p>
        </w:tc>
        <w:tc>
          <w:tcPr>
            <w:tcW w:w="6860" w:type="dxa"/>
            <w:shd w:val="clear" w:color="auto" w:fill="auto"/>
          </w:tcPr>
          <w:p w14:paraId="6D23373B" w14:textId="77777777" w:rsidR="00A60992" w:rsidRPr="008E7494" w:rsidRDefault="00A60992" w:rsidP="00047560">
            <w:r w:rsidRPr="008E7494">
              <w:t>We value the right of everyone to live in safe communities.</w:t>
            </w:r>
          </w:p>
        </w:tc>
      </w:tr>
      <w:tr w:rsidR="00A60992" w:rsidRPr="008E7494" w14:paraId="737947FD" w14:textId="77777777" w:rsidTr="00047560">
        <w:tc>
          <w:tcPr>
            <w:tcW w:w="1668" w:type="dxa"/>
            <w:shd w:val="clear" w:color="auto" w:fill="auto"/>
          </w:tcPr>
          <w:p w14:paraId="6503D9CA" w14:textId="77777777" w:rsidR="00A60992" w:rsidRPr="008E7494" w:rsidRDefault="00A60992" w:rsidP="00047560">
            <w:pPr>
              <w:rPr>
                <w:b/>
              </w:rPr>
            </w:pPr>
            <w:r w:rsidRPr="008E7494">
              <w:rPr>
                <w:b/>
              </w:rPr>
              <w:t>Respect:</w:t>
            </w:r>
          </w:p>
        </w:tc>
        <w:tc>
          <w:tcPr>
            <w:tcW w:w="6860" w:type="dxa"/>
            <w:shd w:val="clear" w:color="auto" w:fill="auto"/>
          </w:tcPr>
          <w:p w14:paraId="5FC714E4" w14:textId="77777777" w:rsidR="00A60992" w:rsidRPr="008E7494" w:rsidRDefault="00A60992" w:rsidP="00047560">
            <w:r w:rsidRPr="008E7494">
              <w:t>We believe that respect for oneself builds the foundation for wellbeing.</w:t>
            </w:r>
          </w:p>
        </w:tc>
      </w:tr>
      <w:tr w:rsidR="00A60992" w:rsidRPr="008E7494" w14:paraId="23964CFD" w14:textId="77777777" w:rsidTr="00047560">
        <w:tc>
          <w:tcPr>
            <w:tcW w:w="1668" w:type="dxa"/>
            <w:shd w:val="clear" w:color="auto" w:fill="auto"/>
          </w:tcPr>
          <w:p w14:paraId="0ECBBAF6" w14:textId="77777777" w:rsidR="00A60992" w:rsidRPr="008E7494" w:rsidRDefault="00A60992" w:rsidP="00047560">
            <w:pPr>
              <w:rPr>
                <w:b/>
              </w:rPr>
            </w:pPr>
            <w:r w:rsidRPr="008E7494">
              <w:rPr>
                <w:b/>
              </w:rPr>
              <w:t>Ownership:</w:t>
            </w:r>
          </w:p>
        </w:tc>
        <w:tc>
          <w:tcPr>
            <w:tcW w:w="6860" w:type="dxa"/>
            <w:shd w:val="clear" w:color="auto" w:fill="auto"/>
          </w:tcPr>
          <w:p w14:paraId="38D02132" w14:textId="77777777" w:rsidR="00A60992" w:rsidRPr="008E7494" w:rsidRDefault="00A60992" w:rsidP="00047560">
            <w:r w:rsidRPr="008E7494">
              <w:t>We are committed to encouraging communities to take ownership of their present and future.</w:t>
            </w:r>
          </w:p>
        </w:tc>
      </w:tr>
      <w:tr w:rsidR="00A60992" w:rsidRPr="008E7494" w14:paraId="357326ED" w14:textId="77777777" w:rsidTr="00047560">
        <w:tc>
          <w:tcPr>
            <w:tcW w:w="1668" w:type="dxa"/>
            <w:shd w:val="clear" w:color="auto" w:fill="auto"/>
          </w:tcPr>
          <w:p w14:paraId="581446DF" w14:textId="77777777" w:rsidR="00A60992" w:rsidRPr="008E7494" w:rsidRDefault="00A60992" w:rsidP="00047560">
            <w:pPr>
              <w:rPr>
                <w:b/>
              </w:rPr>
            </w:pPr>
            <w:r w:rsidRPr="008E7494">
              <w:rPr>
                <w:b/>
              </w:rPr>
              <w:t>Innovation:</w:t>
            </w:r>
          </w:p>
        </w:tc>
        <w:tc>
          <w:tcPr>
            <w:tcW w:w="6860" w:type="dxa"/>
            <w:shd w:val="clear" w:color="auto" w:fill="auto"/>
          </w:tcPr>
          <w:p w14:paraId="1CEFC55C" w14:textId="77777777" w:rsidR="00A60992" w:rsidRPr="008E7494" w:rsidRDefault="00A60992" w:rsidP="00047560">
            <w:r w:rsidRPr="008E7494">
              <w:t>We actively seek and encourage creative ideas to build the potential for lasting change.</w:t>
            </w:r>
          </w:p>
        </w:tc>
      </w:tr>
      <w:tr w:rsidR="00A60992" w:rsidRPr="008E7494" w14:paraId="4E6AD4D1" w14:textId="77777777" w:rsidTr="00047560">
        <w:tc>
          <w:tcPr>
            <w:tcW w:w="1668" w:type="dxa"/>
            <w:shd w:val="clear" w:color="auto" w:fill="auto"/>
          </w:tcPr>
          <w:p w14:paraId="1DA91709" w14:textId="77777777" w:rsidR="00A60992" w:rsidRPr="008E7494" w:rsidRDefault="00A60992" w:rsidP="00047560">
            <w:pPr>
              <w:rPr>
                <w:b/>
              </w:rPr>
            </w:pPr>
            <w:r w:rsidRPr="008E7494">
              <w:rPr>
                <w:b/>
              </w:rPr>
              <w:t>Empowerment:</w:t>
            </w:r>
          </w:p>
        </w:tc>
        <w:tc>
          <w:tcPr>
            <w:tcW w:w="6860" w:type="dxa"/>
            <w:shd w:val="clear" w:color="auto" w:fill="auto"/>
          </w:tcPr>
          <w:p w14:paraId="7AE56BF0" w14:textId="77777777" w:rsidR="00A60992" w:rsidRPr="008E7494" w:rsidRDefault="00A60992" w:rsidP="00047560">
            <w:r w:rsidRPr="008E7494">
              <w:t>We are committed to empowering people to take the initiative to reform their communities and build their own direction and future.</w:t>
            </w:r>
          </w:p>
        </w:tc>
      </w:tr>
      <w:tr w:rsidR="00A60992" w:rsidRPr="008E7494" w14:paraId="5177CB3A" w14:textId="77777777" w:rsidTr="00047560">
        <w:tc>
          <w:tcPr>
            <w:tcW w:w="1668" w:type="dxa"/>
            <w:shd w:val="clear" w:color="auto" w:fill="auto"/>
          </w:tcPr>
          <w:p w14:paraId="73732EDD" w14:textId="77777777" w:rsidR="00A60992" w:rsidRPr="008E7494" w:rsidRDefault="00A60992" w:rsidP="00047560">
            <w:pPr>
              <w:rPr>
                <w:b/>
              </w:rPr>
            </w:pPr>
            <w:r w:rsidRPr="008E7494">
              <w:rPr>
                <w:b/>
              </w:rPr>
              <w:t>Diversity:</w:t>
            </w:r>
          </w:p>
        </w:tc>
        <w:tc>
          <w:tcPr>
            <w:tcW w:w="6860" w:type="dxa"/>
            <w:shd w:val="clear" w:color="auto" w:fill="auto"/>
          </w:tcPr>
          <w:p w14:paraId="24D9C56E" w14:textId="77777777" w:rsidR="00A60992" w:rsidRPr="008E7494" w:rsidRDefault="00A60992" w:rsidP="00047560">
            <w:r w:rsidRPr="008E7494">
              <w:t>We are passionate about respecting the diversity and cultural richness of the communities.</w:t>
            </w:r>
          </w:p>
        </w:tc>
      </w:tr>
    </w:tbl>
    <w:p w14:paraId="7BBC47BC" w14:textId="77777777" w:rsidR="00A60992" w:rsidRPr="00027E78" w:rsidRDefault="00A60992" w:rsidP="00F855B1">
      <w:pPr>
        <w:pStyle w:val="Heading3"/>
        <w:rPr>
          <w:i/>
        </w:rPr>
      </w:pPr>
      <w:r w:rsidRPr="00027E78">
        <w:t>Strategic outcomes</w:t>
      </w:r>
    </w:p>
    <w:p w14:paraId="0118E512" w14:textId="77777777" w:rsidR="00A60992" w:rsidRPr="008E7494" w:rsidRDefault="00A60992" w:rsidP="00A60992">
      <w:pPr>
        <w:pStyle w:val="ListBullet2"/>
      </w:pPr>
      <w:r w:rsidRPr="008E7494">
        <w:rPr>
          <w:szCs w:val="20"/>
        </w:rPr>
        <w:t>Improved community wellbeing</w:t>
      </w:r>
    </w:p>
    <w:p w14:paraId="33189B10" w14:textId="77777777" w:rsidR="00A60992" w:rsidRPr="008E7494" w:rsidRDefault="00A60992" w:rsidP="00A60992">
      <w:pPr>
        <w:pStyle w:val="ListBullet2"/>
      </w:pPr>
      <w:r w:rsidRPr="008E7494">
        <w:rPr>
          <w:szCs w:val="20"/>
        </w:rPr>
        <w:t>Improved community responsibility</w:t>
      </w:r>
    </w:p>
    <w:p w14:paraId="52017F24" w14:textId="77777777" w:rsidR="00A60992" w:rsidRPr="008E7494" w:rsidRDefault="00A60992" w:rsidP="00A60992">
      <w:pPr>
        <w:pStyle w:val="ListBullet2"/>
        <w:rPr>
          <w:szCs w:val="20"/>
        </w:rPr>
      </w:pPr>
      <w:r w:rsidRPr="008E7494">
        <w:rPr>
          <w:szCs w:val="20"/>
        </w:rPr>
        <w:t>Improved organisational capability.</w:t>
      </w:r>
    </w:p>
    <w:p w14:paraId="1E77749D" w14:textId="77777777" w:rsidR="00A60992" w:rsidRPr="00027E78" w:rsidRDefault="00A60992" w:rsidP="00F855B1">
      <w:pPr>
        <w:pStyle w:val="Heading3"/>
        <w:rPr>
          <w:i/>
        </w:rPr>
      </w:pPr>
      <w:r w:rsidRPr="00027E78">
        <w:t>Strategic objectives</w:t>
      </w:r>
    </w:p>
    <w:p w14:paraId="67C175D0" w14:textId="77777777" w:rsidR="00A60992" w:rsidRPr="008E7494" w:rsidRDefault="00A60992" w:rsidP="00A60992">
      <w:pPr>
        <w:pStyle w:val="ListBullet2"/>
        <w:rPr>
          <w:szCs w:val="20"/>
        </w:rPr>
      </w:pPr>
      <w:r w:rsidRPr="008E7494">
        <w:rPr>
          <w:szCs w:val="20"/>
        </w:rPr>
        <w:t>Support the restoration of socially responsible standards of behaviour and local authority in welfare reform communities</w:t>
      </w:r>
    </w:p>
    <w:p w14:paraId="03D1910C" w14:textId="77777777" w:rsidR="00A60992" w:rsidRPr="008E7494" w:rsidRDefault="00A60992" w:rsidP="00A60992">
      <w:pPr>
        <w:pStyle w:val="ListBullet2"/>
      </w:pPr>
      <w:r w:rsidRPr="008E7494">
        <w:rPr>
          <w:szCs w:val="20"/>
        </w:rPr>
        <w:t>Help people in welfare reform communities to resume primary responsibility for the wellbeing of their communities and the individuals and families of their communities</w:t>
      </w:r>
    </w:p>
    <w:p w14:paraId="19B61CBA" w14:textId="77777777" w:rsidR="00A60992" w:rsidRPr="008E7494" w:rsidRDefault="00A60992" w:rsidP="00A60992">
      <w:pPr>
        <w:pStyle w:val="ListBullet2"/>
      </w:pPr>
      <w:r w:rsidRPr="008E7494">
        <w:t>Create a capable, agile and innovative organisation</w:t>
      </w:r>
    </w:p>
    <w:p w14:paraId="7A78DB37" w14:textId="77777777" w:rsidR="00A60992" w:rsidRPr="008E7494" w:rsidRDefault="00A60992" w:rsidP="00A60992">
      <w:pPr>
        <w:pStyle w:val="ListBullet2"/>
        <w:rPr>
          <w:szCs w:val="20"/>
        </w:rPr>
      </w:pPr>
      <w:r w:rsidRPr="008E7494">
        <w:rPr>
          <w:szCs w:val="20"/>
        </w:rPr>
        <w:t>Know our clients, communities and build partnerships.</w:t>
      </w:r>
    </w:p>
    <w:p w14:paraId="097ED069" w14:textId="77777777" w:rsidR="00A60992" w:rsidRPr="00027E78" w:rsidRDefault="00A60992" w:rsidP="00F855B1">
      <w:pPr>
        <w:pStyle w:val="Heading3"/>
        <w:rPr>
          <w:i/>
        </w:rPr>
      </w:pPr>
      <w:r w:rsidRPr="00027E78">
        <w:t>Service Charter Statement</w:t>
      </w:r>
    </w:p>
    <w:p w14:paraId="610DF055" w14:textId="77777777" w:rsidR="00A60992" w:rsidRPr="008E7494" w:rsidRDefault="00A60992" w:rsidP="00A60992">
      <w:r w:rsidRPr="008E7494">
        <w:t>The Family Responsibilities Commission knows that you value good customer service. Our aim is to give you the best service we can. We will work with clients and stakeholders to deliver outputs for the State and Australian Governments that achieve the outcomes sought for the welfare reform communities. In doing so, we will nurture a spirit of inquiry and innovation, and will embrace the challenge of sourcing unconventional and creative solutions to address the complex problems that confront our communities.</w:t>
      </w:r>
    </w:p>
    <w:p w14:paraId="1B04A5BD" w14:textId="77777777" w:rsidR="00F855B1" w:rsidRPr="00F855B1" w:rsidRDefault="00F855B1">
      <w:pPr>
        <w:spacing w:after="160" w:line="259" w:lineRule="auto"/>
        <w:rPr>
          <w:rFonts w:eastAsiaTheme="majorEastAsia" w:cstheme="majorBidi"/>
          <w:sz w:val="24"/>
          <w:szCs w:val="24"/>
        </w:rPr>
      </w:pPr>
      <w:r w:rsidRPr="00F855B1">
        <w:br w:type="page"/>
      </w:r>
    </w:p>
    <w:p w14:paraId="6EC9E2D0" w14:textId="01D31CCD" w:rsidR="00A60992" w:rsidRPr="00027E78" w:rsidRDefault="00A60992" w:rsidP="00F855B1">
      <w:pPr>
        <w:pStyle w:val="Heading3"/>
        <w:rPr>
          <w:i/>
        </w:rPr>
      </w:pPr>
      <w:r w:rsidRPr="00027E78">
        <w:lastRenderedPageBreak/>
        <w:t>The creation of the Family Responsibilities Commission</w:t>
      </w:r>
    </w:p>
    <w:p w14:paraId="520F4205" w14:textId="5AEE942A" w:rsidR="00A60992" w:rsidRPr="008E7494" w:rsidRDefault="00A60992" w:rsidP="00A60992">
      <w:r w:rsidRPr="008E7494">
        <w:t xml:space="preserve">In early 2006 the Australian Government agreed to fund the development phase of the Cape York Welfare Reform (CYWR) trial proposed by the </w:t>
      </w:r>
      <w:r w:rsidR="00201F48">
        <w:t xml:space="preserve">Cape York </w:t>
      </w:r>
      <w:r w:rsidRPr="008E7494">
        <w:t>Institute</w:t>
      </w:r>
      <w:r w:rsidR="00201F48">
        <w:t xml:space="preserve"> (the Institute)</w:t>
      </w:r>
      <w:r w:rsidRPr="008E7494">
        <w:t>. The Queensland Government also agreed to participate in the development and provided in-kind support and assistance throughout the development period.</w:t>
      </w:r>
    </w:p>
    <w:p w14:paraId="2E64886B" w14:textId="77777777" w:rsidR="00A60992" w:rsidRPr="008E7494" w:rsidRDefault="00A60992" w:rsidP="00A60992">
      <w:r w:rsidRPr="008E7494">
        <w:t xml:space="preserve">The Institute subsequently released a design report titled </w:t>
      </w:r>
      <w:r>
        <w:t>‘</w:t>
      </w:r>
      <w:r w:rsidRPr="008E7494">
        <w:t xml:space="preserve">From Hand Out </w:t>
      </w:r>
      <w:proofErr w:type="gramStart"/>
      <w:r w:rsidRPr="008E7494">
        <w:t>To</w:t>
      </w:r>
      <w:proofErr w:type="gramEnd"/>
      <w:r w:rsidRPr="008E7494">
        <w:t xml:space="preserve"> Hand Up</w:t>
      </w:r>
      <w:r>
        <w:t>’</w:t>
      </w:r>
      <w:r w:rsidRPr="008E7494">
        <w:t xml:space="preserve"> in May 2007 and a final report with the same title in November 2007. The report outlined the Institute’s proposal for the CYWR trial to be implemented in the communities of Aurukun, Coen, Hope Vale and Mossman Gorge. The objectives of the CYWR trial were to restore social norms and local Indigenous authority. The trial aimed to initiate and support a positive change in social norms and community behaviours in response to chronic levels of passive welfare, social dysfunction and economic exclusion within these communities.</w:t>
      </w:r>
    </w:p>
    <w:p w14:paraId="61D2391A" w14:textId="300115CC" w:rsidR="00A60992" w:rsidRPr="008E7494" w:rsidRDefault="00A60992" w:rsidP="00A60992">
      <w:r w:rsidRPr="008E7494">
        <w:t>In December 2007, the Queensland Government agreed to contribute $40 million and the Australian Government $48 million to finance the implementation of the CYWR trial.</w:t>
      </w:r>
    </w:p>
    <w:p w14:paraId="58E5782E" w14:textId="77777777" w:rsidR="00A60992" w:rsidRPr="008E7494" w:rsidRDefault="00A60992" w:rsidP="00A60992">
      <w:r w:rsidRPr="008E7494">
        <w:t>The broad objectives of the welfare reform agenda are to:</w:t>
      </w:r>
    </w:p>
    <w:p w14:paraId="76405F77" w14:textId="77777777" w:rsidR="00A60992" w:rsidRPr="008E7494" w:rsidRDefault="00A60992" w:rsidP="00A60992">
      <w:pPr>
        <w:pStyle w:val="ListBullet2"/>
        <w:spacing w:after="60"/>
        <w:ind w:left="641" w:hanging="357"/>
      </w:pPr>
      <w:r w:rsidRPr="008E7494">
        <w:t>rebuild social norms and restore Indigenous authority</w:t>
      </w:r>
    </w:p>
    <w:p w14:paraId="1E9B4182" w14:textId="77777777" w:rsidR="00A60992" w:rsidRPr="008E7494" w:rsidRDefault="00A60992" w:rsidP="00A60992">
      <w:pPr>
        <w:pStyle w:val="ListBullet2"/>
        <w:spacing w:after="60"/>
        <w:ind w:left="641" w:hanging="357"/>
      </w:pPr>
      <w:r w:rsidRPr="008E7494">
        <w:t>address the welfare pedestal through changing incentives</w:t>
      </w:r>
    </w:p>
    <w:p w14:paraId="452CD3A5" w14:textId="77777777" w:rsidR="00A60992" w:rsidRPr="008E7494" w:rsidRDefault="00A60992" w:rsidP="00A60992">
      <w:pPr>
        <w:pStyle w:val="ListBullet2"/>
        <w:spacing w:after="60"/>
        <w:ind w:left="641" w:hanging="357"/>
      </w:pPr>
      <w:r w:rsidRPr="008E7494">
        <w:t>support engagement in the real economy</w:t>
      </w:r>
    </w:p>
    <w:p w14:paraId="63C03C5A" w14:textId="77777777" w:rsidR="00A60992" w:rsidRPr="008E7494" w:rsidRDefault="00A60992" w:rsidP="00A60992">
      <w:pPr>
        <w:pStyle w:val="ListBullet2"/>
        <w:spacing w:after="60"/>
        <w:ind w:left="641" w:hanging="357"/>
      </w:pPr>
      <w:r w:rsidRPr="008E7494">
        <w:t>move from welfare housing to home ownership</w:t>
      </w:r>
    </w:p>
    <w:p w14:paraId="60D8399C" w14:textId="77777777" w:rsidR="00A60992" w:rsidRPr="008E7494" w:rsidRDefault="00A60992" w:rsidP="00A60992">
      <w:pPr>
        <w:pStyle w:val="ListBullet2"/>
        <w:spacing w:after="60"/>
        <w:ind w:left="641" w:hanging="357"/>
      </w:pPr>
      <w:r w:rsidRPr="008E7494">
        <w:t>enable children to make full use of their talents and creativity and to enjoy the best of both worlds.</w:t>
      </w:r>
    </w:p>
    <w:p w14:paraId="62270B9B" w14:textId="77777777" w:rsidR="00A60992" w:rsidRPr="008E7494" w:rsidRDefault="00A60992" w:rsidP="00A60992">
      <w:r w:rsidRPr="008E7494">
        <w:t>The reforms are designed</w:t>
      </w:r>
      <w:r w:rsidRPr="00B25CC1">
        <w:t xml:space="preserve"> </w:t>
      </w:r>
      <w:r w:rsidRPr="008E7494">
        <w:t xml:space="preserve">to initiate early intervention </w:t>
      </w:r>
      <w:proofErr w:type="gramStart"/>
      <w:r w:rsidRPr="008E7494">
        <w:t>in order to</w:t>
      </w:r>
      <w:proofErr w:type="gramEnd"/>
      <w:r w:rsidRPr="008E7494">
        <w:t xml:space="preserve"> address issues and behaviours before they escalate with a strong emphasis on partnership, capacity building, respect and use of local authority. Emphasis is also placed on the enhancement of services and appropriate service delivery mechanisms. A range of policy, program and service delivery reforms and practical on-the-ground initiatives have been implemented to help reduce welfare dependency, promote social responsibility, provide pathways to participation in the real economy, improve school attendance and enhance educational opportunities.</w:t>
      </w:r>
    </w:p>
    <w:p w14:paraId="0EF535C5" w14:textId="77777777" w:rsidR="00A60992" w:rsidRPr="008E7494" w:rsidRDefault="00A60992" w:rsidP="00A60992">
      <w:r w:rsidRPr="008E7494">
        <w:t>A key feature of the CYWR trial was the creation of the Family Responsibilities Commission as an independent statutory authority. The Commission is regarded as a critical mechanism to facilitate the rebuilding of intra-community social norms and to encourage behavioural change through attaching reciprocity and communal obligations to welfare and other government payments. The intention of the reforms and of this Commission is to enhance and complement the existing responsibilities of Queensland and Australian Government agencies, service delivery and community organisations.</w:t>
      </w:r>
    </w:p>
    <w:p w14:paraId="701C6EBA" w14:textId="77777777" w:rsidR="00A60992" w:rsidRPr="008E7494" w:rsidRDefault="00A60992" w:rsidP="00A60992">
      <w:r w:rsidRPr="008E7494">
        <w:t xml:space="preserve">This philosophy is grounded in the Institute’s view that historically policies have created a passive welfare environment in Indigenous communities which resulted in a retraction of positive social </w:t>
      </w:r>
      <w:proofErr w:type="gramStart"/>
      <w:r w:rsidRPr="008E7494">
        <w:t>norms, and</w:t>
      </w:r>
      <w:proofErr w:type="gramEnd"/>
      <w:r w:rsidRPr="008E7494">
        <w:t xml:space="preserve"> fostered the displacement of Indigenous responsibility. People in receipt of welfare payments, or who are participating in community employment programs, not only have an obligation to their community not to behave in ways which are </w:t>
      </w:r>
      <w:proofErr w:type="gramStart"/>
      <w:r w:rsidRPr="008E7494">
        <w:t>detrimental, but</w:t>
      </w:r>
      <w:proofErr w:type="gramEnd"/>
      <w:r w:rsidRPr="008E7494">
        <w:t xml:space="preserve"> must reciprocate with economic engagement and actively support their community.</w:t>
      </w:r>
    </w:p>
    <w:p w14:paraId="0DD0BD33" w14:textId="77777777" w:rsidR="00A60992" w:rsidRPr="008E7494" w:rsidRDefault="00A60992" w:rsidP="00A60992">
      <w:r w:rsidRPr="008E7494">
        <w:t>Indigenous and non-Indigenous people living in the welfare reform communities receiving welfare or community employment program payments are subject to the Commission’s jurisdiction. Jurisdiction continues if the individual relocates from the community.</w:t>
      </w:r>
    </w:p>
    <w:p w14:paraId="1BF70919" w14:textId="77777777" w:rsidR="00A60992" w:rsidRPr="008E7494" w:rsidRDefault="00A60992" w:rsidP="00A60992">
      <w:r w:rsidRPr="008E7494">
        <w:lastRenderedPageBreak/>
        <w:t xml:space="preserve">The </w:t>
      </w:r>
      <w:r w:rsidRPr="008E7494">
        <w:rPr>
          <w:i/>
        </w:rPr>
        <w:t>Family Responsibilities Commission Act 2008</w:t>
      </w:r>
      <w:r w:rsidRPr="008E7494">
        <w:t xml:space="preserve"> (the FRC Act) was passed in the Queensland Parliament with bipartisan support on 13 March 2008. The Commission commenced operating on 1 July 2008 and conferencing began on 12 August 2008 with the first sitting being held in Coen. As regulated by the FRC Act at that time the Commission was to cease operations on 1 January 2012. Each subsequent year until 2014, following Australian and State Government consultations and budget allocations, the Commission was granted </w:t>
      </w:r>
      <w:proofErr w:type="gramStart"/>
      <w:r w:rsidRPr="008E7494">
        <w:t>12 month</w:t>
      </w:r>
      <w:proofErr w:type="gramEnd"/>
      <w:r w:rsidRPr="008E7494">
        <w:t xml:space="preserve"> extensions.</w:t>
      </w:r>
    </w:p>
    <w:p w14:paraId="6F24C711" w14:textId="77777777" w:rsidR="00A60992" w:rsidRDefault="00A60992" w:rsidP="00A60992">
      <w:r>
        <w:t>On 7 August 2014 under the Family Responsibilities Commission Amendment Regulation (No. 1) 2014 Doomadgee was prescribed by regulation as a welfare reform community area. The decision to add Doomadgee by regulation was made following an extensive community consultation process conducted over a period of eight months.</w:t>
      </w:r>
    </w:p>
    <w:p w14:paraId="70F5BFD9" w14:textId="77777777" w:rsidR="00A60992" w:rsidRPr="00435C03" w:rsidRDefault="00A60992" w:rsidP="00A60992">
      <w:pPr>
        <w:spacing w:after="200" w:line="276" w:lineRule="auto"/>
      </w:pPr>
      <w:r>
        <w:t xml:space="preserve">In October 2014 the Queensland Parliament passed the </w:t>
      </w:r>
      <w:r w:rsidRPr="00DA4853">
        <w:t>Family Responsibilities Commission Amendment Bill 2014</w:t>
      </w:r>
      <w:r>
        <w:t xml:space="preserve">, with the Bill receiving Royal Assent on 27 October 2014 and the subsequent Act proclaimed on 28 November 2014. Among other amendments aimed at increasing efficiencies and expanding operations, the FRC Act’s sunset clause (s152) was removed, enabling the Act to continue indefinitely. The </w:t>
      </w:r>
      <w:r w:rsidRPr="00DA4853">
        <w:t>Family Responsibilities Commission Amendment Bill 2014</w:t>
      </w:r>
      <w:r>
        <w:rPr>
          <w:i/>
        </w:rPr>
        <w:t xml:space="preserve"> </w:t>
      </w:r>
      <w:r>
        <w:t>also allowed for further welfare reform communities to be added by regulation.</w:t>
      </w:r>
    </w:p>
    <w:p w14:paraId="1ECDDE99" w14:textId="77777777" w:rsidR="00A60992" w:rsidRPr="008E7494" w:rsidRDefault="00A60992" w:rsidP="00A60992">
      <w:r w:rsidRPr="008E7494">
        <w:t>On 14 July 2015 the then Queensland State Treasurer Curtis Pitt released the 2015-16 State Budget wherein it was announced that the State Government would continue to revitalise frontline services with further financial support for Welfare Reform until 30 June 2019.</w:t>
      </w:r>
    </w:p>
    <w:p w14:paraId="5AE1434F" w14:textId="77777777" w:rsidR="00A60992" w:rsidRPr="008E7494" w:rsidRDefault="00A60992" w:rsidP="00A60992">
      <w:r w:rsidRPr="008E7494">
        <w:t xml:space="preserve">A further legislative development affecting Commission operations was the passing of the </w:t>
      </w:r>
      <w:r w:rsidRPr="00854E53">
        <w:t>Family Responsibilities Commission Amendment Bill 2015</w:t>
      </w:r>
      <w:r w:rsidRPr="008E7494">
        <w:t xml:space="preserve"> by Parliament with unanimous support on 1 December 2015. </w:t>
      </w:r>
      <w:r w:rsidRPr="008E7494">
        <w:rPr>
          <w:lang w:val="en-US"/>
        </w:rPr>
        <w:t>The Bill which received Royal Assent on 17 December</w:t>
      </w:r>
      <w:r>
        <w:rPr>
          <w:lang w:val="en-US"/>
        </w:rPr>
        <w:t>, included an additional domestic violence trigger, and expanded the scope for delegation of the FRC Commissioner’s power and responsibilities to Local Commissioners.</w:t>
      </w:r>
    </w:p>
    <w:p w14:paraId="0EE02297" w14:textId="3782F454" w:rsidR="00A60992" w:rsidRPr="008E7494" w:rsidRDefault="00A60992" w:rsidP="00A60992">
      <w:r w:rsidRPr="008E7494">
        <w:t xml:space="preserve">A Bill to amend the Commonwealth </w:t>
      </w:r>
      <w:r w:rsidRPr="008E7494">
        <w:rPr>
          <w:i/>
        </w:rPr>
        <w:t>Social Security Administration Act 1999</w:t>
      </w:r>
      <w:r w:rsidRPr="008E7494">
        <w:t xml:space="preserve"> to extend the income management mechanism from 30 June 2017 to 30 June 2019 in the welfare reform communities was passed by the Australian Parliament and received Royal Assent on 26 June 2017. The Australian </w:t>
      </w:r>
      <w:proofErr w:type="spellStart"/>
      <w:r w:rsidRPr="008E7494">
        <w:t>Labor</w:t>
      </w:r>
      <w:proofErr w:type="spellEnd"/>
      <w:r w:rsidRPr="008E7494">
        <w:t xml:space="preserve"> Party and Australian Greens supported the Bill on the basis that an independent evaluation of income management in the welfare reform communities be undertaken</w:t>
      </w:r>
      <w:r w:rsidR="007872A7">
        <w:t>,</w:t>
      </w:r>
      <w:r w:rsidR="00811CF2">
        <w:t xml:space="preserve"> with</w:t>
      </w:r>
      <w:r w:rsidR="00811CF2" w:rsidRPr="008E7494" w:rsidDel="00811CF2">
        <w:t xml:space="preserve"> </w:t>
      </w:r>
      <w:r w:rsidRPr="008E7494">
        <w:t>DSS commenc</w:t>
      </w:r>
      <w:r w:rsidR="00811CF2">
        <w:t>ing</w:t>
      </w:r>
      <w:r w:rsidRPr="008E7494">
        <w:t xml:space="preserve"> a Strategic Review of Income Management in Cape York. DSS officers attended the FRC’s Local Commissioner Development Week in May 2018 to seek first-hand accounts from Local Commissioners about the effectiveness of income management in Cape York.</w:t>
      </w:r>
    </w:p>
    <w:p w14:paraId="479BBC1E" w14:textId="67A68748" w:rsidR="00A60992" w:rsidRDefault="00A60992" w:rsidP="00A60992">
      <w:r w:rsidRPr="008E7494">
        <w:t>Between March and June 2018, DATSIP, the Australian Department of the Prime Minister and Cabinet (DPMC) and Cape York Partnership (CYP) representing the Institute undertook community consultations in each Cape York welfare reform community, whilst DATSIP undertook the consultations in Doomadgee</w:t>
      </w:r>
      <w:r w:rsidR="00A64AAB">
        <w:t xml:space="preserve">. </w:t>
      </w:r>
      <w:r w:rsidR="00D93869">
        <w:t xml:space="preserve">The purpose of the community consultations was </w:t>
      </w:r>
      <w:r w:rsidRPr="008E7494">
        <w:t>to identify local perceptions of the impact of Welfare Reform and inform its evolution.</w:t>
      </w:r>
    </w:p>
    <w:p w14:paraId="30B52472" w14:textId="77777777" w:rsidR="00022F7A" w:rsidRDefault="00022F7A">
      <w:pPr>
        <w:spacing w:after="160" w:line="259" w:lineRule="auto"/>
      </w:pPr>
      <w:r>
        <w:br w:type="page"/>
      </w:r>
    </w:p>
    <w:p w14:paraId="3C8CACC1" w14:textId="60976DF7" w:rsidR="00A60992" w:rsidRDefault="00A60992" w:rsidP="00A60992">
      <w:proofErr w:type="gramStart"/>
      <w:r>
        <w:lastRenderedPageBreak/>
        <w:t>A number of</w:t>
      </w:r>
      <w:proofErr w:type="gramEnd"/>
      <w:r>
        <w:t xml:space="preserve"> developments concerning the Commission’s future occurred during the 2018-19 financial year. On 27 November 2018, at </w:t>
      </w:r>
      <w:r w:rsidR="001B07A5">
        <w:t>the</w:t>
      </w:r>
      <w:r>
        <w:t xml:space="preserve"> Cape York Partnership forum, </w:t>
      </w:r>
      <w:r w:rsidR="006925E3">
        <w:t>T</w:t>
      </w:r>
      <w:r w:rsidR="00770E5E">
        <w:t xml:space="preserve">he Clock is Ticking, </w:t>
      </w:r>
      <w:r>
        <w:t>the Deputy Premier, Treasurer and Minister for Aboriginal and Torres Strait Islander Partnerships,</w:t>
      </w:r>
      <w:r w:rsidR="00142ED9">
        <w:t xml:space="preserve"> the Hon</w:t>
      </w:r>
      <w:r w:rsidR="00DC21CC">
        <w:t>ourable</w:t>
      </w:r>
      <w:r>
        <w:t xml:space="preserve"> Jackie Trad MP, announced that the FRC and welfare reform model would be transitioning to an approach called </w:t>
      </w:r>
      <w:r w:rsidR="0031180F">
        <w:t xml:space="preserve">Local </w:t>
      </w:r>
      <w:r>
        <w:t>Thriving Communities.</w:t>
      </w:r>
    </w:p>
    <w:p w14:paraId="7BCC4A7E" w14:textId="3EEE2E40" w:rsidR="00A60992" w:rsidRDefault="00A60992" w:rsidP="00A60992">
      <w:r>
        <w:t>The Strategic Review of Cape York Income Management commissioned by DSS was released on 3 December 2018. It concluded that evidence concerning the outcomes and impacts of Cape York Income Management (CYIM) was mixed</w:t>
      </w:r>
      <w:r w:rsidR="00166D33">
        <w:t>. On page 89 it states:</w:t>
      </w:r>
      <w:r w:rsidRPr="00197911">
        <w:rPr>
          <w:i/>
        </w:rPr>
        <w:t xml:space="preserve"> </w:t>
      </w:r>
      <w:r w:rsidR="00820C02" w:rsidRPr="00197911">
        <w:rPr>
          <w:i/>
        </w:rPr>
        <w:t>“In some cases</w:t>
      </w:r>
      <w:r w:rsidR="00F55589" w:rsidRPr="00197911">
        <w:rPr>
          <w:i/>
        </w:rPr>
        <w:t xml:space="preserve"> there is evidence that the FRC and CYIM have contributed to a reduction in alcohol, drugs, violence and crime. There is also evidence that outcomes have improved in terms of children’s overall health and wellbeing, and engagement with school”</w:t>
      </w:r>
      <w:r w:rsidR="00F55589">
        <w:t>.</w:t>
      </w:r>
      <w:r w:rsidR="00902983">
        <w:t xml:space="preserve"> </w:t>
      </w:r>
    </w:p>
    <w:p w14:paraId="6752B091" w14:textId="7C64FDD9" w:rsidR="00A60992" w:rsidRDefault="00A60992" w:rsidP="00A60992">
      <w:r>
        <w:t xml:space="preserve">On 5 </w:t>
      </w:r>
      <w:r w:rsidRPr="007317CA">
        <w:t>April</w:t>
      </w:r>
      <w:r>
        <w:t xml:space="preserve"> 2019 </w:t>
      </w:r>
      <w:r w:rsidRPr="007317CA">
        <w:t xml:space="preserve">the </w:t>
      </w:r>
      <w:r w:rsidRPr="007657FA">
        <w:rPr>
          <w:iCs/>
        </w:rPr>
        <w:t>Social Security (Administration) Amendment (Income Management and Cashless Welfare) Bill 2019</w:t>
      </w:r>
      <w:r w:rsidRPr="007317CA">
        <w:rPr>
          <w:i/>
          <w:iCs/>
        </w:rPr>
        <w:t xml:space="preserve"> </w:t>
      </w:r>
      <w:r w:rsidRPr="007317CA">
        <w:t>passed both Houses</w:t>
      </w:r>
      <w:r>
        <w:t xml:space="preserve"> of the Australian Parliament</w:t>
      </w:r>
      <w:r w:rsidRPr="007317CA">
        <w:t>, extending C</w:t>
      </w:r>
      <w:r w:rsidR="00255D6E">
        <w:t>YIM</w:t>
      </w:r>
      <w:r w:rsidRPr="007317CA">
        <w:t xml:space="preserve"> to 30 June 2020.</w:t>
      </w:r>
    </w:p>
    <w:p w14:paraId="6A4CA0FC" w14:textId="20385FC9" w:rsidR="00A60992" w:rsidRDefault="00A60992" w:rsidP="00A60992">
      <w:r>
        <w:t>The Queensland budget was tabled in State Parliament o</w:t>
      </w:r>
      <w:r w:rsidRPr="00075F1F">
        <w:t xml:space="preserve">n </w:t>
      </w:r>
      <w:r>
        <w:t xml:space="preserve">Tuesday, </w:t>
      </w:r>
      <w:r w:rsidRPr="00075F1F">
        <w:t>1</w:t>
      </w:r>
      <w:r>
        <w:t>1</w:t>
      </w:r>
      <w:r w:rsidRPr="00075F1F">
        <w:t xml:space="preserve"> June</w:t>
      </w:r>
      <w:r>
        <w:t xml:space="preserve"> 2019. In that budget t</w:t>
      </w:r>
      <w:r w:rsidRPr="00075F1F">
        <w:t>he Queensland Government announced its commitment to continu</w:t>
      </w:r>
      <w:r w:rsidR="006925E3">
        <w:t>e</w:t>
      </w:r>
      <w:r w:rsidRPr="00075F1F">
        <w:t xml:space="preserve"> funding the Co</w:t>
      </w:r>
      <w:r>
        <w:t>m</w:t>
      </w:r>
      <w:r w:rsidRPr="00075F1F">
        <w:t>mission</w:t>
      </w:r>
      <w:r>
        <w:t xml:space="preserve"> for the 2019-20 </w:t>
      </w:r>
      <w:r w:rsidRPr="00D301AA">
        <w:t>year. As at 30 June 2019 the State and Australian Governments are continuing negotiations in regard to the Australian Government’s contribution to the funding of the Commission</w:t>
      </w:r>
      <w:r w:rsidR="00232E1C">
        <w:t xml:space="preserve"> which was offered for a </w:t>
      </w:r>
      <w:proofErr w:type="gramStart"/>
      <w:r w:rsidR="00232E1C">
        <w:t>three year</w:t>
      </w:r>
      <w:proofErr w:type="gramEnd"/>
      <w:r w:rsidR="00232E1C">
        <w:t xml:space="preserve"> term from </w:t>
      </w:r>
      <w:r w:rsidR="00B648F0">
        <w:t xml:space="preserve">1 </w:t>
      </w:r>
      <w:r w:rsidR="00232E1C">
        <w:t>January 2019</w:t>
      </w:r>
      <w:r w:rsidR="00DB221F">
        <w:t xml:space="preserve"> </w:t>
      </w:r>
      <w:r w:rsidR="00B648F0">
        <w:t>to 31 December 2021</w:t>
      </w:r>
      <w:r w:rsidRPr="00D301AA">
        <w:t>.</w:t>
      </w:r>
    </w:p>
    <w:p w14:paraId="18C8DC7C" w14:textId="77777777" w:rsidR="00A60992" w:rsidRPr="00027E78" w:rsidRDefault="00A60992" w:rsidP="00F855B1">
      <w:pPr>
        <w:pStyle w:val="Heading3"/>
        <w:rPr>
          <w:i/>
        </w:rPr>
      </w:pPr>
      <w:r w:rsidRPr="00027E78">
        <w:t>About us</w:t>
      </w:r>
    </w:p>
    <w:p w14:paraId="6CBF3AF7" w14:textId="77777777" w:rsidR="00A60992" w:rsidRPr="008E7494" w:rsidRDefault="00A60992" w:rsidP="00A60992">
      <w:r w:rsidRPr="008E7494">
        <w:t>As part of the broader</w:t>
      </w:r>
      <w:r w:rsidRPr="008E7494">
        <w:rPr>
          <w:i/>
        </w:rPr>
        <w:t xml:space="preserve"> </w:t>
      </w:r>
      <w:r w:rsidRPr="008E7494">
        <w:t>Welfare Reforms, the Commission has the lead role in these unique reforms aimed at restoring local authority and socially responsible standards of behaviour in Aurukun, Coen, Doomadgee, Hope Vale and Mossman Gorge.</w:t>
      </w:r>
    </w:p>
    <w:p w14:paraId="7F45FF3A" w14:textId="77777777" w:rsidR="00A60992" w:rsidRPr="008E7494" w:rsidRDefault="00A60992" w:rsidP="00A60992">
      <w:r w:rsidRPr="008E7494">
        <w:t>Local Commissioners are Elders or respected community members who encourage individuals appearing before the Commission to take the necessary steps to make lasting changes which will benefit their health, wellbeing, home and community life.</w:t>
      </w:r>
    </w:p>
    <w:p w14:paraId="3B5D4AAF" w14:textId="7D79B6A3" w:rsidR="00A60992" w:rsidRPr="008E7494" w:rsidRDefault="00A60992" w:rsidP="00A60992">
      <w:r w:rsidRPr="008E7494">
        <w:t>The Commissioner, Deputy Commissioner</w:t>
      </w:r>
      <w:r w:rsidR="003F1DF7">
        <w:t xml:space="preserve"> (whilst appointed)</w:t>
      </w:r>
      <w:r w:rsidRPr="008E7494">
        <w:t xml:space="preserve"> and Local Commissioners meet regularly to conference clients and make referrals to community support services, or in certain circumstances, to Centrelink for income management.</w:t>
      </w:r>
    </w:p>
    <w:p w14:paraId="0506E3BC" w14:textId="77777777" w:rsidR="00A60992" w:rsidRPr="00F855B1" w:rsidRDefault="00A60992" w:rsidP="00F855B1">
      <w:pPr>
        <w:pStyle w:val="Heading3"/>
      </w:pPr>
      <w:r w:rsidRPr="00F855B1">
        <w:t>Policy context</w:t>
      </w:r>
    </w:p>
    <w:p w14:paraId="745B53B3" w14:textId="6545A500" w:rsidR="00A60992" w:rsidRPr="008E7494" w:rsidRDefault="00A60992" w:rsidP="000A24AF">
      <w:pPr>
        <w:spacing w:after="240"/>
      </w:pPr>
      <w:r w:rsidRPr="008E7494">
        <w:t>Our activities support Welfare Reform and Our Future State: Advancing Queensland’s Priorities published by the Queensland Government. The Commission contributes specifically to the following Government priorities:</w:t>
      </w:r>
    </w:p>
    <w:p w14:paraId="389FB191" w14:textId="77777777" w:rsidR="00F810FC" w:rsidRDefault="00F810FC" w:rsidP="00A60992"/>
    <w:p w14:paraId="7F983A93" w14:textId="77777777" w:rsidR="00F810FC" w:rsidRDefault="00F810FC" w:rsidP="00A60992"/>
    <w:p w14:paraId="0064AAE3" w14:textId="77777777" w:rsidR="00F810FC" w:rsidRDefault="00F810FC" w:rsidP="00A60992"/>
    <w:p w14:paraId="62CA6E1C" w14:textId="77777777" w:rsidR="00F810FC" w:rsidRDefault="00F810FC" w:rsidP="00A60992"/>
    <w:p w14:paraId="0E245F27" w14:textId="77777777" w:rsidR="00F810FC" w:rsidRDefault="00F810FC" w:rsidP="00A60992"/>
    <w:p w14:paraId="6EA6E0E7" w14:textId="2E608B15" w:rsidR="00A60992" w:rsidRDefault="00A60992" w:rsidP="00A60992">
      <w:pPr>
        <w:rPr>
          <w:noProof/>
        </w:rPr>
      </w:pPr>
    </w:p>
    <w:p w14:paraId="48C46059" w14:textId="73E3826E" w:rsidR="001C64D7" w:rsidRDefault="001C64D7" w:rsidP="00A60992"/>
    <w:p w14:paraId="7A0FA454" w14:textId="77777777" w:rsidR="001C64D7" w:rsidRDefault="001C64D7" w:rsidP="00A60992"/>
    <w:tbl>
      <w:tblPr>
        <w:tblStyle w:val="TableGrid"/>
        <w:tblW w:w="0" w:type="auto"/>
        <w:tblLook w:val="04A0" w:firstRow="1" w:lastRow="0" w:firstColumn="1" w:lastColumn="0" w:noHBand="0" w:noVBand="1"/>
      </w:tblPr>
      <w:tblGrid>
        <w:gridCol w:w="9060"/>
      </w:tblGrid>
      <w:tr w:rsidR="00F810FC" w14:paraId="38C393AA" w14:textId="77777777" w:rsidTr="00F810FC">
        <w:tc>
          <w:tcPr>
            <w:tcW w:w="9060" w:type="dxa"/>
          </w:tcPr>
          <w:p w14:paraId="6DFDB2DC" w14:textId="4B30D308" w:rsidR="00F810FC" w:rsidRPr="001C64D7" w:rsidRDefault="00F810FC" w:rsidP="00A60992">
            <w:pPr>
              <w:rPr>
                <w:b/>
              </w:rPr>
            </w:pPr>
            <w:r w:rsidRPr="001C64D7">
              <w:rPr>
                <w:b/>
              </w:rPr>
              <w:lastRenderedPageBreak/>
              <w:t>CREATE JOBS IN A STRONG ECONOMY</w:t>
            </w:r>
          </w:p>
        </w:tc>
      </w:tr>
      <w:tr w:rsidR="00F810FC" w14:paraId="48F062D8" w14:textId="77777777" w:rsidTr="00F810FC">
        <w:tc>
          <w:tcPr>
            <w:tcW w:w="9060" w:type="dxa"/>
          </w:tcPr>
          <w:p w14:paraId="4204B068" w14:textId="4692137F" w:rsidR="00F810FC" w:rsidRDefault="00986593" w:rsidP="00A60992">
            <w:r>
              <w:t>b</w:t>
            </w:r>
            <w:r w:rsidR="00F810FC">
              <w:t>y working to reduce passive welfare, assisting clients to increase their financial stability; and by initiating a continuous improvement strategy</w:t>
            </w:r>
            <w:r w:rsidR="00E03E78">
              <w:t xml:space="preserve"> for ou</w:t>
            </w:r>
            <w:r w:rsidR="00D26CFF">
              <w:t>r</w:t>
            </w:r>
            <w:r w:rsidR="00E03E78">
              <w:t xml:space="preserve"> organisational capability</w:t>
            </w:r>
          </w:p>
        </w:tc>
      </w:tr>
      <w:tr w:rsidR="00F810FC" w14:paraId="099CCD04" w14:textId="77777777" w:rsidTr="00F810FC">
        <w:tc>
          <w:tcPr>
            <w:tcW w:w="9060" w:type="dxa"/>
          </w:tcPr>
          <w:p w14:paraId="490CC2DF" w14:textId="038077B6" w:rsidR="00F810FC" w:rsidRPr="001C64D7" w:rsidRDefault="00F810FC" w:rsidP="00A60992">
            <w:pPr>
              <w:rPr>
                <w:b/>
              </w:rPr>
            </w:pPr>
            <w:r w:rsidRPr="001C64D7">
              <w:rPr>
                <w:b/>
              </w:rPr>
              <w:t>GIVE ALL OUR CHILDREN A GREAT START</w:t>
            </w:r>
          </w:p>
        </w:tc>
      </w:tr>
      <w:tr w:rsidR="00F810FC" w14:paraId="2B6F8560" w14:textId="77777777" w:rsidTr="00F810FC">
        <w:tc>
          <w:tcPr>
            <w:tcW w:w="9060" w:type="dxa"/>
          </w:tcPr>
          <w:p w14:paraId="5F71CA6C" w14:textId="178D321D" w:rsidR="00F810FC" w:rsidRDefault="00986593" w:rsidP="00A60992">
            <w:r>
              <w:t>b</w:t>
            </w:r>
            <w:r w:rsidR="00E03E78">
              <w:t>y supporting expectant mothers and young families in welfare reform communities to access maternal and child health, early childhood education and care services, and to understand the importance of the early years to the long-term health and wellbeing of their children</w:t>
            </w:r>
          </w:p>
        </w:tc>
      </w:tr>
      <w:tr w:rsidR="00F810FC" w14:paraId="2714D56B" w14:textId="77777777" w:rsidTr="00F810FC">
        <w:tc>
          <w:tcPr>
            <w:tcW w:w="9060" w:type="dxa"/>
          </w:tcPr>
          <w:p w14:paraId="705C7C2E" w14:textId="7537E3F9" w:rsidR="00F810FC" w:rsidRPr="001C64D7" w:rsidRDefault="00F810FC" w:rsidP="00A60992">
            <w:pPr>
              <w:rPr>
                <w:b/>
              </w:rPr>
            </w:pPr>
            <w:r w:rsidRPr="001C64D7">
              <w:rPr>
                <w:b/>
              </w:rPr>
              <w:t>KEEP QUEENSLANDERS HEALTHY</w:t>
            </w:r>
          </w:p>
        </w:tc>
      </w:tr>
      <w:tr w:rsidR="00F810FC" w14:paraId="34C6A8BA" w14:textId="77777777" w:rsidTr="00F810FC">
        <w:tc>
          <w:tcPr>
            <w:tcW w:w="9060" w:type="dxa"/>
          </w:tcPr>
          <w:p w14:paraId="654C2224" w14:textId="52E92CB8" w:rsidR="00F810FC" w:rsidRDefault="00986593" w:rsidP="00A60992">
            <w:r>
              <w:t>b</w:t>
            </w:r>
            <w:r w:rsidR="00E03E78">
              <w:t>y working with service providers to support the delivery of the effective responses to alcohol and drug misuse, mental illness and violence for ou</w:t>
            </w:r>
            <w:r w:rsidR="00C635DE">
              <w:t>r</w:t>
            </w:r>
            <w:r w:rsidR="00E03E78">
              <w:t xml:space="preserve"> clients in the welfare reform communities and developing self-care and resilience in Local Commissioners</w:t>
            </w:r>
          </w:p>
        </w:tc>
      </w:tr>
      <w:tr w:rsidR="00F810FC" w14:paraId="77066350" w14:textId="77777777" w:rsidTr="00F810FC">
        <w:tc>
          <w:tcPr>
            <w:tcW w:w="9060" w:type="dxa"/>
          </w:tcPr>
          <w:p w14:paraId="4443C5C1" w14:textId="2786234C" w:rsidR="00F810FC" w:rsidRPr="001C64D7" w:rsidRDefault="00F810FC" w:rsidP="00A60992">
            <w:pPr>
              <w:rPr>
                <w:b/>
              </w:rPr>
            </w:pPr>
            <w:r w:rsidRPr="001C64D7">
              <w:rPr>
                <w:b/>
              </w:rPr>
              <w:t>KEEP COMMUNITIES SAFE</w:t>
            </w:r>
          </w:p>
        </w:tc>
      </w:tr>
      <w:tr w:rsidR="00F810FC" w14:paraId="2F6F367D" w14:textId="77777777" w:rsidTr="00F810FC">
        <w:tc>
          <w:tcPr>
            <w:tcW w:w="9060" w:type="dxa"/>
          </w:tcPr>
          <w:p w14:paraId="4B1CEAF9" w14:textId="6CEBE00E" w:rsidR="00F810FC" w:rsidRDefault="00986593" w:rsidP="00A60992">
            <w:r>
              <w:t>b</w:t>
            </w:r>
            <w:r w:rsidR="00E03E78">
              <w:t xml:space="preserve">y influencing the wider acceptance of socially responsible standards of behaviour, promoting Indigenous local authority and nurturing a spirit of inquiry and innovation </w:t>
            </w:r>
            <w:proofErr w:type="gramStart"/>
            <w:r w:rsidR="00E03E78">
              <w:t>in order to</w:t>
            </w:r>
            <w:proofErr w:type="gramEnd"/>
            <w:r w:rsidR="00E03E78">
              <w:t xml:space="preserve"> address the complex problems facing the welfare reform communities</w:t>
            </w:r>
          </w:p>
        </w:tc>
      </w:tr>
      <w:tr w:rsidR="00F810FC" w14:paraId="712314A8" w14:textId="77777777" w:rsidTr="00F810FC">
        <w:tc>
          <w:tcPr>
            <w:tcW w:w="9060" w:type="dxa"/>
          </w:tcPr>
          <w:p w14:paraId="45EEB1AD" w14:textId="3FC63600" w:rsidR="00F810FC" w:rsidRPr="001C64D7" w:rsidRDefault="00F810FC" w:rsidP="00A60992">
            <w:pPr>
              <w:rPr>
                <w:b/>
              </w:rPr>
            </w:pPr>
            <w:r w:rsidRPr="001C64D7">
              <w:rPr>
                <w:b/>
              </w:rPr>
              <w:t>BE A RESPONSIVE GOVERNMENT</w:t>
            </w:r>
          </w:p>
        </w:tc>
      </w:tr>
      <w:tr w:rsidR="00F810FC" w14:paraId="1831108C" w14:textId="77777777" w:rsidTr="00F810FC">
        <w:tc>
          <w:tcPr>
            <w:tcW w:w="9060" w:type="dxa"/>
          </w:tcPr>
          <w:p w14:paraId="49CB52B7" w14:textId="75393082" w:rsidR="007F6A47" w:rsidRDefault="00986593" w:rsidP="00A60992">
            <w:r>
              <w:t>b</w:t>
            </w:r>
            <w:r w:rsidR="00E03E78">
              <w:t xml:space="preserve">y proving </w:t>
            </w:r>
            <w:r w:rsidR="007F6A47">
              <w:t>effective and efficient client services for families, strengthening collaborative cross-agency partnerships to support local Aboriginal and Torres Strait Islander authorities, improving access to relevant service provision in the communities and working to increase school enrolment and attendance.</w:t>
            </w:r>
          </w:p>
        </w:tc>
      </w:tr>
    </w:tbl>
    <w:p w14:paraId="08FEAD0E" w14:textId="77777777" w:rsidR="00F810FC" w:rsidRDefault="00F810FC" w:rsidP="00A60992"/>
    <w:p w14:paraId="130EE6E5" w14:textId="42DF4BC4" w:rsidR="00A60992" w:rsidRPr="008E7494" w:rsidRDefault="00A60992" w:rsidP="00A60992">
      <w:r w:rsidRPr="008E7494">
        <w:t>The fundamental principles of the Queensland Public Service Code of Conduct are strictly adhered to and the principles of natural justice, conflict of interest and confidentiality are established and strongly reinforced with employees and Local Commissioners through the Commission’s Workplace Policy, the Local Commissioners’ Handbook, the Local Commissioners’ Conference Guidelines and annual online training in Ethical Decision Making and the Code of Conduct.</w:t>
      </w:r>
    </w:p>
    <w:p w14:paraId="3DBCA51A" w14:textId="77777777" w:rsidR="00A60992" w:rsidRPr="008E7494" w:rsidRDefault="00A60992" w:rsidP="00A60992">
      <w:r w:rsidRPr="008E7494">
        <w:t>Our activities specifically support DATSIP which is the department responsible for promoting and monitoring the government’s progress in Closing the Gap on Aboriginal and Torres Strait Islander disadvantage. There are seven strategic areas for action established under the National Indigenous Reform Agreement (NIRA) for driving the Council of Australian Governments (COAG) reforms which the Commission addresses through its conferencing processes and participation in collaborative cross-agency partnerships:</w:t>
      </w:r>
    </w:p>
    <w:p w14:paraId="09169BFC" w14:textId="77777777" w:rsidR="00A60992" w:rsidRPr="008E7494" w:rsidRDefault="00A60992" w:rsidP="00A60992">
      <w:pPr>
        <w:pStyle w:val="ListBullet3"/>
        <w:spacing w:after="60"/>
        <w:ind w:left="924" w:hanging="357"/>
        <w:contextualSpacing w:val="0"/>
      </w:pPr>
      <w:r w:rsidRPr="008E7494">
        <w:t>Early childhood – improving child and maternal health care, supporting good parenting and strengthening childhood education and care through early intervention</w:t>
      </w:r>
    </w:p>
    <w:p w14:paraId="436AB53D" w14:textId="77777777" w:rsidR="00A60992" w:rsidRPr="008E7494" w:rsidRDefault="00A60992" w:rsidP="00A60992">
      <w:pPr>
        <w:pStyle w:val="ListBullet3"/>
        <w:spacing w:after="60"/>
        <w:ind w:left="924" w:hanging="357"/>
        <w:contextualSpacing w:val="0"/>
      </w:pPr>
      <w:r w:rsidRPr="008E7494">
        <w:t>Schooling – supporting the improvement of literacy and numeracy levels and year 12 or equivalent attainment of children in our communities by providing guidance, encouragement and information to families on the requirement for children to attend school</w:t>
      </w:r>
    </w:p>
    <w:p w14:paraId="6FB7C2D1" w14:textId="77777777" w:rsidR="00A60992" w:rsidRPr="008E7494" w:rsidRDefault="00A60992" w:rsidP="00A60992">
      <w:pPr>
        <w:pStyle w:val="ListBullet3"/>
        <w:spacing w:after="60"/>
        <w:ind w:left="924" w:hanging="357"/>
        <w:contextualSpacing w:val="0"/>
      </w:pPr>
      <w:r w:rsidRPr="008E7494">
        <w:t>Health – closing the gap in health and longevity</w:t>
      </w:r>
    </w:p>
    <w:p w14:paraId="77B9CE13" w14:textId="77777777" w:rsidR="00A60992" w:rsidRPr="008E7494" w:rsidRDefault="00A60992" w:rsidP="00A60992">
      <w:pPr>
        <w:pStyle w:val="ListBullet3"/>
        <w:spacing w:after="60"/>
        <w:ind w:left="924" w:hanging="357"/>
        <w:contextualSpacing w:val="0"/>
      </w:pPr>
      <w:r w:rsidRPr="008E7494">
        <w:t>Economic participation – closing the gap in employment outcomes between Indigenous and non-Indigenous peoples</w:t>
      </w:r>
    </w:p>
    <w:p w14:paraId="78BA86CF" w14:textId="77777777" w:rsidR="000460FB" w:rsidRDefault="000460FB">
      <w:pPr>
        <w:spacing w:after="160" w:line="259" w:lineRule="auto"/>
        <w:rPr>
          <w:rFonts w:eastAsia="Times New Roman" w:cs="Times New Roman"/>
          <w:szCs w:val="24"/>
          <w:lang w:val="en-GB"/>
        </w:rPr>
      </w:pPr>
      <w:r>
        <w:br w:type="page"/>
      </w:r>
    </w:p>
    <w:p w14:paraId="2E239C60" w14:textId="506CCB27" w:rsidR="00A60992" w:rsidRPr="008E7494" w:rsidRDefault="00A60992" w:rsidP="00A60992">
      <w:pPr>
        <w:pStyle w:val="ListBullet3"/>
        <w:spacing w:after="60"/>
        <w:ind w:left="924" w:hanging="357"/>
        <w:contextualSpacing w:val="0"/>
      </w:pPr>
      <w:r w:rsidRPr="008E7494">
        <w:lastRenderedPageBreak/>
        <w:t>Safe communities – addressing the problem of violence, alcohol, criminal and anti-social behaviours</w:t>
      </w:r>
    </w:p>
    <w:p w14:paraId="2732D0E3" w14:textId="77777777" w:rsidR="00A60992" w:rsidRPr="008E7494" w:rsidRDefault="00A60992" w:rsidP="00A60992">
      <w:pPr>
        <w:pStyle w:val="ListBullet3"/>
        <w:spacing w:after="60"/>
        <w:ind w:left="924" w:hanging="357"/>
        <w:contextualSpacing w:val="0"/>
      </w:pPr>
      <w:r w:rsidRPr="008E7494">
        <w:t>Governance and leadership – enhancing government policies and systems to improve engagement mechanisms, developing and supporting community capacity and leadership and supporting the development of leadership for women and young people</w:t>
      </w:r>
    </w:p>
    <w:p w14:paraId="63846F47" w14:textId="77777777" w:rsidR="00A60992" w:rsidRPr="008E7494" w:rsidRDefault="00A60992" w:rsidP="00A60992">
      <w:pPr>
        <w:pStyle w:val="ListBullet3"/>
        <w:spacing w:after="60"/>
        <w:ind w:left="924" w:hanging="357"/>
        <w:contextualSpacing w:val="0"/>
      </w:pPr>
      <w:r w:rsidRPr="008E7494">
        <w:t>Land and culture – promoting and affirming Aboriginal and Torres Strait Islander cultures.</w:t>
      </w:r>
    </w:p>
    <w:p w14:paraId="6AADD653" w14:textId="77777777" w:rsidR="00A60992" w:rsidRPr="008E7494" w:rsidRDefault="00A60992" w:rsidP="00A60992">
      <w:r w:rsidRPr="008E7494">
        <w:t xml:space="preserve">The Commission supports the </w:t>
      </w:r>
      <w:r>
        <w:t xml:space="preserve">‘Our Way Strategy’, formerly known as </w:t>
      </w:r>
      <w:r w:rsidRPr="008E7494">
        <w:t>‘Towards a Queensland action plan for vulnerable Aboriginal and Torres Strait Islander children and families’ by participating in round table forums and working groups and empowering</w:t>
      </w:r>
      <w:r>
        <w:t xml:space="preserve"> and </w:t>
      </w:r>
      <w:r w:rsidRPr="008E7494">
        <w:t>stabilising families through the conferencing and referral processes.</w:t>
      </w:r>
    </w:p>
    <w:p w14:paraId="2A041EB2" w14:textId="77777777" w:rsidR="00A60992" w:rsidRPr="00F855B1" w:rsidRDefault="00A60992" w:rsidP="00F855B1">
      <w:pPr>
        <w:pStyle w:val="Heading3"/>
      </w:pPr>
      <w:r w:rsidRPr="00F855B1">
        <w:t>Our challenge</w:t>
      </w:r>
    </w:p>
    <w:p w14:paraId="7B1A65C2" w14:textId="77777777" w:rsidR="00A60992" w:rsidRPr="008E7494" w:rsidRDefault="00A60992" w:rsidP="00A60992">
      <w:r w:rsidRPr="008E7494">
        <w:t xml:space="preserve">The Commission delivers services to five communities, all of which are culturally unique and some of which are geographically remote. Each community is </w:t>
      </w:r>
      <w:proofErr w:type="gramStart"/>
      <w:r w:rsidRPr="008E7494">
        <w:t>different,</w:t>
      </w:r>
      <w:proofErr w:type="gramEnd"/>
      <w:r w:rsidRPr="008E7494">
        <w:t xml:space="preserve"> however, each can be characterised by the entrenched disadvantage of Indigenous community members. High rates of Indigenous welfare dependency and multi-generational poverty have resulted in communities with high numbers of individuals and families with complex needs.</w:t>
      </w:r>
    </w:p>
    <w:p w14:paraId="3EBEAE2D" w14:textId="77777777" w:rsidR="00A60992" w:rsidRPr="008E7494" w:rsidRDefault="00A60992" w:rsidP="00A60992">
      <w:r w:rsidRPr="008E7494">
        <w:t>Our challenge is to work collaboratively with partner agencies, as part of a linked service system to engage, empower and enable individuals, families and the wider community to make positive and lasting change. In meeting this challenge the Commission is supporting the ‘Moving Ahead Strategy’, a whole-of-government strategy to improve Indigenous economic participation. The Commission interacts with the strategy by referring individuals to public services, assisting community members to gain benefits from available opportunities and improving student transitions to education.</w:t>
      </w:r>
    </w:p>
    <w:p w14:paraId="443A2CA6" w14:textId="396007C0" w:rsidR="009F5659" w:rsidRDefault="00A60992" w:rsidP="007C0486">
      <w:pPr>
        <w:widowControl w:val="0"/>
        <w:autoSpaceDE w:val="0"/>
        <w:autoSpaceDN w:val="0"/>
        <w:adjustRightInd w:val="0"/>
        <w:spacing w:after="167" w:line="260" w:lineRule="atLeast"/>
      </w:pPr>
      <w:r w:rsidRPr="008E7494">
        <w:t>Our Local Commissioners collaborate with the community to identify and resolve critical issues, advocate for their community by meeting with Ministers and government departments and assist in ensuring that informed decisions are made by the transparent sharing of information.</w:t>
      </w:r>
    </w:p>
    <w:p w14:paraId="79D4C49B" w14:textId="6BECD094" w:rsidR="00827AEC" w:rsidRPr="00827AEC" w:rsidRDefault="00827AEC" w:rsidP="00827AEC">
      <w:pPr>
        <w:widowControl w:val="0"/>
        <w:autoSpaceDE w:val="0"/>
        <w:autoSpaceDN w:val="0"/>
        <w:adjustRightInd w:val="0"/>
        <w:spacing w:after="167" w:line="260" w:lineRule="atLeast"/>
      </w:pPr>
      <w:r w:rsidRPr="00827AEC">
        <w:t>There have now been three independent evaluative exercises with a focus on the FRC since its establishment. The conclusions in each have been very promising (</w:t>
      </w:r>
      <w:r w:rsidR="007301C9">
        <w:t>refer</w:t>
      </w:r>
      <w:r w:rsidRPr="00827AEC">
        <w:t xml:space="preserve"> the</w:t>
      </w:r>
      <w:hyperlink r:id="rId32" w:history="1">
        <w:r w:rsidRPr="00827AEC">
          <w:t xml:space="preserve"> </w:t>
        </w:r>
        <w:r w:rsidR="008F44C6">
          <w:t xml:space="preserve">2010 </w:t>
        </w:r>
        <w:hyperlink r:id="rId33" w:history="1">
          <w:r w:rsidR="008F44C6" w:rsidRPr="00827AEC">
            <w:t xml:space="preserve">KPMG Implementation </w:t>
          </w:r>
          <w:r w:rsidR="008F44C6">
            <w:t>Review of the Family Responsibilities Commission</w:t>
          </w:r>
        </w:hyperlink>
        <w:r w:rsidR="008F44C6">
          <w:t xml:space="preserve">, and the 2012 </w:t>
        </w:r>
        <w:r w:rsidRPr="00827AEC">
          <w:t>C</w:t>
        </w:r>
        <w:r w:rsidR="003F34C7">
          <w:t xml:space="preserve">ape </w:t>
        </w:r>
        <w:r w:rsidRPr="00827AEC">
          <w:t>Y</w:t>
        </w:r>
        <w:r w:rsidR="003F34C7">
          <w:t xml:space="preserve">ork </w:t>
        </w:r>
        <w:r w:rsidRPr="00827AEC">
          <w:t>W</w:t>
        </w:r>
        <w:r w:rsidR="003F34C7">
          <w:t xml:space="preserve">elfare </w:t>
        </w:r>
        <w:r w:rsidRPr="00827AEC">
          <w:t>R</w:t>
        </w:r>
        <w:r w:rsidR="003F34C7">
          <w:t>eform</w:t>
        </w:r>
        <w:r w:rsidRPr="00827AEC">
          <w:t xml:space="preserve"> Evaluation</w:t>
        </w:r>
      </w:hyperlink>
      <w:r w:rsidR="006D7879">
        <w:t>)</w:t>
      </w:r>
      <w:r w:rsidRPr="00827AEC">
        <w:t xml:space="preserve">. Most recently, the 2018 </w:t>
      </w:r>
      <w:hyperlink r:id="rId34" w:history="1">
        <w:r w:rsidRPr="00827AEC">
          <w:t xml:space="preserve">Strategic </w:t>
        </w:r>
        <w:r w:rsidR="00387A3A">
          <w:t>Review</w:t>
        </w:r>
        <w:r w:rsidRPr="00827AEC">
          <w:t xml:space="preserve"> of Cape York Income Management</w:t>
        </w:r>
      </w:hyperlink>
      <w:r w:rsidRPr="00827AEC">
        <w:t xml:space="preserve">, conducted by </w:t>
      </w:r>
      <w:r w:rsidR="00C11862">
        <w:t>QUT</w:t>
      </w:r>
      <w:r w:rsidRPr="00827AEC">
        <w:t xml:space="preserve"> and commissioned by </w:t>
      </w:r>
      <w:r w:rsidR="00811CF2">
        <w:t>DSS</w:t>
      </w:r>
      <w:r w:rsidRPr="00827AEC">
        <w:t xml:space="preserve"> provides evidence for building upon the progress of the past decade.</w:t>
      </w:r>
    </w:p>
    <w:p w14:paraId="4F2C04D8" w14:textId="778ABC3E" w:rsidR="00636B04" w:rsidRDefault="00827AEC" w:rsidP="00827AEC">
      <w:pPr>
        <w:widowControl w:val="0"/>
        <w:autoSpaceDE w:val="0"/>
        <w:autoSpaceDN w:val="0"/>
        <w:adjustRightInd w:val="0"/>
        <w:spacing w:after="167" w:line="260" w:lineRule="atLeast"/>
        <w:rPr>
          <w:rFonts w:eastAsia="Calibri" w:cs="Arial"/>
          <w:szCs w:val="20"/>
        </w:rPr>
      </w:pPr>
      <w:r w:rsidRPr="000515A2">
        <w:rPr>
          <w:rFonts w:eastAsia="Calibri" w:cs="Arial"/>
          <w:szCs w:val="20"/>
        </w:rPr>
        <w:t>There is no doubt the FRC has successfully re-established local authority, although ongoing broadening and renewal has not yet occurred. There is little support for the notion that the FRC is a punitive model. It is clearly not. Rather there is a great deal of evidence that suggests that FRC clients feel supported by the FRC.</w:t>
      </w:r>
      <w:r w:rsidR="00F113F4" w:rsidRPr="000515A2">
        <w:rPr>
          <w:rFonts w:eastAsia="Calibri" w:cs="Arial"/>
          <w:szCs w:val="20"/>
        </w:rPr>
        <w:t xml:space="preserve"> </w:t>
      </w:r>
      <w:r w:rsidR="003052B1" w:rsidRPr="000515A2">
        <w:rPr>
          <w:rFonts w:eastAsia="Calibri" w:cs="Arial"/>
          <w:szCs w:val="20"/>
        </w:rPr>
        <w:t xml:space="preserve">Considering aggregate community level data which does not seek to isolate the impact of the FRC intervention falls short of revealing the true effectiveness of the FRC. </w:t>
      </w:r>
      <w:r w:rsidR="00F113F4" w:rsidRPr="000515A2">
        <w:rPr>
          <w:rFonts w:eastAsia="Calibri" w:cs="Arial"/>
          <w:szCs w:val="20"/>
        </w:rPr>
        <w:t>Our challenge, and the challenge of the Queensland and Australian Governments is to build upon the lessons learnt</w:t>
      </w:r>
      <w:r w:rsidR="00550CE8" w:rsidRPr="000515A2">
        <w:rPr>
          <w:rFonts w:eastAsia="Calibri" w:cs="Arial"/>
          <w:szCs w:val="20"/>
        </w:rPr>
        <w:t xml:space="preserve">, expand upon the model to incorporate </w:t>
      </w:r>
      <w:r w:rsidR="0066478C" w:rsidRPr="000515A2">
        <w:rPr>
          <w:rFonts w:eastAsia="Calibri" w:cs="Arial"/>
          <w:szCs w:val="20"/>
        </w:rPr>
        <w:t>community led reforms</w:t>
      </w:r>
      <w:r w:rsidR="00F113F4" w:rsidRPr="000515A2">
        <w:rPr>
          <w:rFonts w:eastAsia="Calibri" w:cs="Arial"/>
          <w:szCs w:val="20"/>
        </w:rPr>
        <w:t xml:space="preserve"> and to tackle more broadly </w:t>
      </w:r>
      <w:r w:rsidR="003052B1" w:rsidRPr="000515A2">
        <w:rPr>
          <w:rFonts w:eastAsia="Calibri" w:cs="Arial"/>
          <w:szCs w:val="20"/>
        </w:rPr>
        <w:t xml:space="preserve">the </w:t>
      </w:r>
      <w:r w:rsidR="00F113F4" w:rsidRPr="000515A2">
        <w:rPr>
          <w:rFonts w:eastAsia="Calibri" w:cs="Arial"/>
          <w:szCs w:val="20"/>
        </w:rPr>
        <w:t>complex and entrenched intergenerational disadvantage</w:t>
      </w:r>
      <w:r w:rsidR="003052B1" w:rsidRPr="000515A2">
        <w:rPr>
          <w:rFonts w:eastAsia="Calibri" w:cs="Arial"/>
          <w:szCs w:val="20"/>
        </w:rPr>
        <w:t xml:space="preserve"> which affects many Indigenous communities</w:t>
      </w:r>
      <w:r w:rsidR="00F113F4" w:rsidRPr="000515A2">
        <w:rPr>
          <w:rFonts w:eastAsia="Calibri" w:cs="Arial"/>
          <w:szCs w:val="20"/>
        </w:rPr>
        <w:t>.</w:t>
      </w:r>
    </w:p>
    <w:p w14:paraId="2064929B" w14:textId="4D59165B" w:rsidR="0051512D" w:rsidRDefault="0051512D" w:rsidP="00827AEC">
      <w:pPr>
        <w:widowControl w:val="0"/>
        <w:autoSpaceDE w:val="0"/>
        <w:autoSpaceDN w:val="0"/>
        <w:adjustRightInd w:val="0"/>
        <w:spacing w:after="167" w:line="260" w:lineRule="atLeast"/>
        <w:rPr>
          <w:rFonts w:cs="Arial"/>
          <w:szCs w:val="20"/>
          <w:lang w:val="en-US"/>
        </w:rPr>
      </w:pPr>
    </w:p>
    <w:p w14:paraId="14CDDD68" w14:textId="77777777" w:rsidR="0051512D" w:rsidRDefault="0051512D" w:rsidP="00827AEC">
      <w:pPr>
        <w:widowControl w:val="0"/>
        <w:autoSpaceDE w:val="0"/>
        <w:autoSpaceDN w:val="0"/>
        <w:adjustRightInd w:val="0"/>
        <w:spacing w:after="167" w:line="260" w:lineRule="atLeast"/>
        <w:rPr>
          <w:rFonts w:cs="Arial"/>
          <w:szCs w:val="20"/>
          <w:lang w:val="en-US"/>
        </w:rPr>
        <w:sectPr w:rsidR="0051512D" w:rsidSect="00047560">
          <w:headerReference w:type="even" r:id="rId35"/>
          <w:headerReference w:type="default" r:id="rId36"/>
          <w:footerReference w:type="default" r:id="rId37"/>
          <w:headerReference w:type="first" r:id="rId38"/>
          <w:footnotePr>
            <w:numRestart w:val="eachSect"/>
          </w:footnotePr>
          <w:pgSz w:w="11906" w:h="16838"/>
          <w:pgMar w:top="2948" w:right="1418" w:bottom="567" w:left="1418" w:header="0" w:footer="567" w:gutter="0"/>
          <w:cols w:space="708"/>
          <w:docGrid w:linePitch="360"/>
        </w:sectPr>
      </w:pPr>
    </w:p>
    <w:p w14:paraId="33F4EFDF" w14:textId="675788FA" w:rsidR="007C0486" w:rsidRDefault="009A5140" w:rsidP="007C0486">
      <w:pPr>
        <w:widowControl w:val="0"/>
        <w:autoSpaceDE w:val="0"/>
        <w:autoSpaceDN w:val="0"/>
        <w:adjustRightInd w:val="0"/>
        <w:spacing w:after="167" w:line="260" w:lineRule="atLeast"/>
        <w:rPr>
          <w:noProof/>
          <w:lang w:eastAsia="en-AU"/>
        </w:rPr>
      </w:pPr>
      <w:r>
        <w:rPr>
          <w:noProof/>
          <w:lang w:eastAsia="en-AU"/>
        </w:rPr>
        <w:lastRenderedPageBreak/>
        <w:t>FRC Strategic Plan 2018-2020</w:t>
      </w:r>
    </w:p>
    <w:p w14:paraId="50EC005E" w14:textId="77777777" w:rsidR="009A5140" w:rsidRPr="0001769E" w:rsidRDefault="009A5140" w:rsidP="007C0486">
      <w:pPr>
        <w:widowControl w:val="0"/>
        <w:autoSpaceDE w:val="0"/>
        <w:autoSpaceDN w:val="0"/>
        <w:adjustRightInd w:val="0"/>
        <w:spacing w:after="167" w:line="260" w:lineRule="atLeast"/>
        <w:rPr>
          <w:rFonts w:ascii="Times New Roman" w:hAnsi="Times New Roman"/>
          <w:sz w:val="24"/>
          <w:lang w:eastAsia="en-AU"/>
        </w:rPr>
      </w:pPr>
    </w:p>
    <w:p w14:paraId="56A313CE" w14:textId="77777777" w:rsidR="00970A2C" w:rsidRPr="00FF60F3" w:rsidRDefault="00970A2C" w:rsidP="00A60992">
      <w:pPr>
        <w:widowControl w:val="0"/>
        <w:autoSpaceDE w:val="0"/>
        <w:autoSpaceDN w:val="0"/>
        <w:adjustRightInd w:val="0"/>
        <w:spacing w:after="167" w:line="260" w:lineRule="atLeast"/>
        <w:rPr>
          <w:rFonts w:ascii="Tempus Sans ITC" w:hAnsi="Tempus Sans ITC"/>
          <w:sz w:val="144"/>
          <w:szCs w:val="144"/>
          <w:lang w:val="en-US"/>
        </w:rPr>
        <w:sectPr w:rsidR="00970A2C" w:rsidRPr="00FF60F3" w:rsidSect="007C0486">
          <w:headerReference w:type="even" r:id="rId39"/>
          <w:headerReference w:type="default" r:id="rId40"/>
          <w:footerReference w:type="default" r:id="rId41"/>
          <w:headerReference w:type="first" r:id="rId42"/>
          <w:footnotePr>
            <w:numRestart w:val="eachSect"/>
          </w:footnotePr>
          <w:pgSz w:w="16838" w:h="11906" w:orient="landscape"/>
          <w:pgMar w:top="1418" w:right="2948" w:bottom="1418" w:left="567" w:header="0" w:footer="567" w:gutter="0"/>
          <w:cols w:space="708"/>
          <w:docGrid w:linePitch="360"/>
        </w:sectPr>
      </w:pPr>
    </w:p>
    <w:p w14:paraId="493B9EDA" w14:textId="7AE726F7" w:rsidR="00176460" w:rsidRPr="008E7494" w:rsidRDefault="00176460" w:rsidP="00176460">
      <w:pPr>
        <w:widowControl w:val="0"/>
        <w:autoSpaceDE w:val="0"/>
        <w:autoSpaceDN w:val="0"/>
        <w:adjustRightInd w:val="0"/>
        <w:spacing w:after="167" w:line="260" w:lineRule="atLeast"/>
        <w:rPr>
          <w:rStyle w:val="A14"/>
          <w:rFonts w:cs="Arial"/>
          <w:bCs/>
          <w:sz w:val="18"/>
          <w:szCs w:val="18"/>
        </w:rPr>
      </w:pPr>
    </w:p>
    <w:p w14:paraId="0F49E2F2" w14:textId="77777777" w:rsidR="00176460" w:rsidRPr="008E7494" w:rsidRDefault="00176460" w:rsidP="00176460">
      <w:pPr>
        <w:tabs>
          <w:tab w:val="num" w:pos="540"/>
        </w:tabs>
        <w:autoSpaceDE w:val="0"/>
        <w:autoSpaceDN w:val="0"/>
        <w:adjustRightInd w:val="0"/>
        <w:rPr>
          <w:rFonts w:cs="Arial"/>
          <w:szCs w:val="20"/>
        </w:rPr>
      </w:pPr>
      <w:r w:rsidRPr="008E7494">
        <w:rPr>
          <w:rFonts w:cs="Arial"/>
          <w:szCs w:val="20"/>
        </w:rPr>
        <w:t>The primary objective of the Commission, as set out in the FRC Act, is to hold conferences with community members. Conferences are held to encourage clients, individuals and families to engage in socially responsible standards of behaviour whilst promoting the interests, rights and wellbeing of children and other vulnerable persons living in the community.</w:t>
      </w:r>
    </w:p>
    <w:p w14:paraId="209417E9" w14:textId="77777777" w:rsidR="00176460" w:rsidRPr="008E7494" w:rsidRDefault="00176460" w:rsidP="00176460">
      <w:pPr>
        <w:rPr>
          <w:rFonts w:cs="Arial"/>
          <w:szCs w:val="20"/>
        </w:rPr>
      </w:pPr>
      <w:r w:rsidRPr="008E7494">
        <w:rPr>
          <w:rFonts w:cs="Arial"/>
          <w:szCs w:val="20"/>
        </w:rPr>
        <w:t xml:space="preserve">The Commission may conference a community member who is a welfare recipient living in a welfare reform community if the person, or their partner, is in receipt of certain welfare payments. The full list of payments subject to income management under the Cape York initiative is available at </w:t>
      </w:r>
      <w:hyperlink r:id="rId43" w:history="1">
        <w:r w:rsidRPr="008E7494">
          <w:rPr>
            <w:rStyle w:val="Hyperlink"/>
            <w:rFonts w:cs="Arial"/>
            <w:szCs w:val="20"/>
          </w:rPr>
          <w:t>http://www.dss.gov.au/our-responsibilities/families-and-children/publications-articles/cape-york-welfare-reform-fact-sheets/income-management-for-cape-york-welfare-reform</w:t>
        </w:r>
      </w:hyperlink>
      <w:r w:rsidRPr="008E7494">
        <w:rPr>
          <w:rFonts w:cs="Arial"/>
          <w:szCs w:val="20"/>
        </w:rPr>
        <w:t>.</w:t>
      </w:r>
    </w:p>
    <w:p w14:paraId="6C660FBF" w14:textId="77777777" w:rsidR="00176460" w:rsidRPr="00F855B1" w:rsidRDefault="00176460" w:rsidP="00F855B1">
      <w:pPr>
        <w:pStyle w:val="Heading3"/>
      </w:pPr>
      <w:r w:rsidRPr="00F855B1">
        <w:t>Intake and assessment</w:t>
      </w:r>
    </w:p>
    <w:p w14:paraId="227704E1" w14:textId="77777777" w:rsidR="00176460" w:rsidRPr="008E7494" w:rsidRDefault="00176460" w:rsidP="00176460">
      <w:r w:rsidRPr="008E7494">
        <w:t>The FRC Act, passed by the Queensland Parliament on 13 March 2008, sets out the statutory obligations of relevant Queensland departments to notify the Commission when a community member is not meeting pre-determined obligations.</w:t>
      </w:r>
    </w:p>
    <w:p w14:paraId="4B02F432" w14:textId="77777777" w:rsidR="00176460" w:rsidRPr="008E7494" w:rsidRDefault="00176460" w:rsidP="00176460">
      <w:r w:rsidRPr="008E7494">
        <w:t>Agency notices are received for the communities of Aurukun, Coen, Doomadgee</w:t>
      </w:r>
      <w:r w:rsidRPr="008E7494">
        <w:rPr>
          <w:rStyle w:val="FootnoteReference"/>
        </w:rPr>
        <w:footnoteReference w:id="1"/>
      </w:r>
      <w:r w:rsidRPr="008E7494">
        <w:t>, Hope Vale and Mossman Gorge in the following circumstances:</w:t>
      </w:r>
    </w:p>
    <w:p w14:paraId="4B5EEE71" w14:textId="77777777" w:rsidR="00176460" w:rsidRPr="008E7494" w:rsidRDefault="00176460" w:rsidP="00176460">
      <w:pPr>
        <w:pStyle w:val="ListBullet2"/>
      </w:pPr>
      <w:r w:rsidRPr="008E7494">
        <w:t xml:space="preserve">The Department of Education (DoE) must submit a School Attendance notice to the Commission if a child is absent for three full, or part days of a school term without reasonable </w:t>
      </w:r>
      <w:proofErr w:type="gramStart"/>
      <w:r w:rsidRPr="008E7494">
        <w:t>excuse, or</w:t>
      </w:r>
      <w:proofErr w:type="gramEnd"/>
      <w:r w:rsidRPr="008E7494">
        <w:t xml:space="preserve"> submit a School Enrolment notice where a child of compulsory school age is not enrolled to attend school.</w:t>
      </w:r>
    </w:p>
    <w:p w14:paraId="6A91E166" w14:textId="77777777" w:rsidR="005133C8" w:rsidRDefault="005133C8">
      <w:pPr>
        <w:spacing w:after="160" w:line="259" w:lineRule="auto"/>
        <w:rPr>
          <w:rFonts w:eastAsia="Times New Roman" w:cs="Times New Roman"/>
          <w:szCs w:val="24"/>
          <w:lang w:val="en-GB"/>
        </w:rPr>
      </w:pPr>
      <w:r>
        <w:br w:type="page"/>
      </w:r>
    </w:p>
    <w:p w14:paraId="13EE3B72" w14:textId="10CEDA1A" w:rsidR="00176460" w:rsidRPr="008E7494" w:rsidRDefault="00176460" w:rsidP="00176460">
      <w:pPr>
        <w:pStyle w:val="ListBullet2"/>
      </w:pPr>
      <w:r w:rsidRPr="008E7494">
        <w:lastRenderedPageBreak/>
        <w:t>The Department of Child Safety, Youth and Women (DCSYW) must submit a Child Safety and Welfare notice where the Chief Executive becomes aware of an allegation of harm or risk to a child.</w:t>
      </w:r>
    </w:p>
    <w:p w14:paraId="356B4873" w14:textId="77777777" w:rsidR="00176460" w:rsidRPr="008E7494" w:rsidRDefault="00176460" w:rsidP="00176460">
      <w:pPr>
        <w:pStyle w:val="ListBullet2"/>
      </w:pPr>
      <w:r w:rsidRPr="008E7494">
        <w:t>The Department of Justice and Attorney-General (DJAG) must submit a Court Offence notice if a person is convicted of an offence, or if a domestic violence protection order is made against a person.</w:t>
      </w:r>
    </w:p>
    <w:p w14:paraId="6FC73AEB" w14:textId="77777777" w:rsidR="00176460" w:rsidRPr="008E7494" w:rsidRDefault="00176460" w:rsidP="00176460">
      <w:pPr>
        <w:pStyle w:val="ListBullet2"/>
      </w:pPr>
      <w:r w:rsidRPr="008E7494">
        <w:t>The Department of Housing and Public Works (DHPW) or the provider of social housing must submit a Tenancy Breach notice if the tenant has breached their social housing tenancy agreement.</w:t>
      </w:r>
    </w:p>
    <w:p w14:paraId="492C2CBA" w14:textId="77777777" w:rsidR="00176460" w:rsidRPr="008E7494" w:rsidRDefault="00176460" w:rsidP="00176460">
      <w:r w:rsidRPr="008E7494">
        <w:t xml:space="preserve">Once an agency notice is received, a determination is made as to whether the person </w:t>
      </w:r>
      <w:r>
        <w:t>who is the subject of the notice is</w:t>
      </w:r>
      <w:r w:rsidRPr="008E7494">
        <w:t xml:space="preserve"> within the jurisdiction of the Commission</w:t>
      </w:r>
      <w:r>
        <w:t>.</w:t>
      </w:r>
      <w:r w:rsidRPr="008E7494">
        <w:t xml:space="preserve"> The FRC Act defines a community member as being a person who is a welfare recipient and who also lives in one of the five welfare reform </w:t>
      </w:r>
      <w:proofErr w:type="gramStart"/>
      <w:r w:rsidRPr="008E7494">
        <w:t>communities, or</w:t>
      </w:r>
      <w:proofErr w:type="gramEnd"/>
      <w:r w:rsidRPr="008E7494">
        <w:t xml:space="preserve"> has lived there for a period of at least three months. </w:t>
      </w:r>
      <w:r>
        <w:t>After determining</w:t>
      </w:r>
      <w:r w:rsidRPr="008E7494">
        <w:t xml:space="preserve"> that the matter meets the relevant criteria it is deemed to be within jurisdiction. The matter is then referred to the Local Commissioners for a decision as to whether the client should attend a conference and if other associated persons should be invited to attend the conference.</w:t>
      </w:r>
    </w:p>
    <w:p w14:paraId="3EBCB004" w14:textId="77777777" w:rsidR="00176460" w:rsidRPr="00F855B1" w:rsidRDefault="00176460" w:rsidP="00F855B1">
      <w:pPr>
        <w:pStyle w:val="Heading3"/>
      </w:pPr>
      <w:r w:rsidRPr="00F855B1">
        <w:t>Service of notice to attend conference</w:t>
      </w:r>
    </w:p>
    <w:p w14:paraId="67B95820" w14:textId="3BA87183" w:rsidR="00176460" w:rsidRPr="008E7494" w:rsidRDefault="00176460" w:rsidP="00176460">
      <w:r w:rsidRPr="008E7494">
        <w:t xml:space="preserve">Following a </w:t>
      </w:r>
      <w:r>
        <w:t>decision</w:t>
      </w:r>
      <w:r w:rsidRPr="008E7494">
        <w:t xml:space="preserve"> to proceed to conference, the client is served with a Notice to Attend Conference</w:t>
      </w:r>
      <w:r>
        <w:t>.</w:t>
      </w:r>
      <w:r w:rsidRPr="008E7494">
        <w:t xml:space="preserve"> </w:t>
      </w:r>
      <w:r>
        <w:t xml:space="preserve">The client is </w:t>
      </w:r>
      <w:r w:rsidRPr="008E7494">
        <w:t xml:space="preserve">informed of the time, date and place of the conference, the purpose of the conference, what they can expect to occur and the ramifications if they fail to attend. </w:t>
      </w:r>
      <w:r>
        <w:t xml:space="preserve">The client is advised that they may bring a support person to the conference, such as a family member, friend or Elder. They are also advised that the FRC may ask other people to attend, for example family members and representatives from Government agencies responsible for education, child safety, housing and criminal justice to talk about the details of the notice received. </w:t>
      </w:r>
      <w:proofErr w:type="gramStart"/>
      <w:r w:rsidRPr="008E7494">
        <w:t>In the event that</w:t>
      </w:r>
      <w:proofErr w:type="gramEnd"/>
      <w:r w:rsidRPr="008E7494">
        <w:t xml:space="preserve"> a client fails to attend, the Commission may reschedule the conference, and again a notice is served prior to the rescheduled conference.</w:t>
      </w:r>
    </w:p>
    <w:p w14:paraId="4C76B930" w14:textId="77777777" w:rsidR="00176460" w:rsidRPr="00F855B1" w:rsidRDefault="00176460" w:rsidP="00F855B1">
      <w:pPr>
        <w:pStyle w:val="Heading3"/>
      </w:pPr>
      <w:r w:rsidRPr="00F855B1">
        <w:t>Conference</w:t>
      </w:r>
    </w:p>
    <w:p w14:paraId="01AB400E" w14:textId="77777777" w:rsidR="00176460" w:rsidRPr="008E7494" w:rsidRDefault="00176460" w:rsidP="00176460">
      <w:r w:rsidRPr="008E7494">
        <w:t xml:space="preserve">At the conference Commissioners discuss with the client the subject matter of the agency </w:t>
      </w:r>
      <w:proofErr w:type="gramStart"/>
      <w:r w:rsidRPr="008E7494">
        <w:t>notice</w:t>
      </w:r>
      <w:proofErr w:type="gramEnd"/>
      <w:r w:rsidRPr="008E7494">
        <w:t xml:space="preserve"> and any related problems the client wishes to raise. The conference is held in an atmosphere which is informal and confidential. </w:t>
      </w:r>
      <w:r>
        <w:t>The</w:t>
      </w:r>
      <w:r w:rsidRPr="008E7494">
        <w:t xml:space="preserve"> conference can be conducted in the local language of the client with Local Commissioners translating as required. Conferences are convened either with a panel comprising of the Commissioner (or Deputy Commissioner) and two Local Commissioners, or with a panel of three Local Commissioners. All Commissioners have equal authority in the decision-making process. The Commissioners must attempt to reach a unanimous decision. If a unanimous decision cannot be reached a majority decision is acceptable, however, the reasons as to why it was not unanimous must be documented. Decisions made at conference are made fairly and with the best interests of the client and their family in mind. </w:t>
      </w:r>
      <w:proofErr w:type="gramStart"/>
      <w:r w:rsidRPr="008E7494">
        <w:t>At the conclusion of</w:t>
      </w:r>
      <w:proofErr w:type="gramEnd"/>
      <w:r w:rsidRPr="008E7494">
        <w:t xml:space="preserve"> the conference Commissioners may decide that no further action is necessary, reschedule the conference, issue the client with a warning, encourage the client to enter into a Family Responsibilities Agreement (FRA), direct the client to relevant community support services or place the client on a Conditional Income Management (CIM) order.</w:t>
      </w:r>
    </w:p>
    <w:p w14:paraId="21C515DB" w14:textId="77777777" w:rsidR="00176460" w:rsidRPr="008E7494" w:rsidRDefault="00176460" w:rsidP="00176460">
      <w:pPr>
        <w:spacing w:after="0" w:line="240" w:lineRule="auto"/>
      </w:pPr>
      <w:r w:rsidRPr="008E7494">
        <w:br w:type="page"/>
      </w:r>
    </w:p>
    <w:p w14:paraId="20E431F4" w14:textId="77777777" w:rsidR="00176460" w:rsidRPr="00F855B1" w:rsidRDefault="00176460" w:rsidP="00F855B1">
      <w:pPr>
        <w:pStyle w:val="Heading3"/>
      </w:pPr>
      <w:r w:rsidRPr="00F855B1">
        <w:lastRenderedPageBreak/>
        <w:t>Referrals</w:t>
      </w:r>
    </w:p>
    <w:p w14:paraId="6D5D1B61" w14:textId="77777777" w:rsidR="00176460" w:rsidRPr="008E7494" w:rsidRDefault="00176460" w:rsidP="00176460">
      <w:r w:rsidRPr="008E7494">
        <w:t>During the conferencing process Commissioners may decide to refer the client to support services such as:</w:t>
      </w:r>
    </w:p>
    <w:p w14:paraId="27F04BDB" w14:textId="77777777" w:rsidR="00176460" w:rsidRPr="008E7494" w:rsidRDefault="00176460" w:rsidP="00176460">
      <w:pPr>
        <w:pStyle w:val="ListBullet2"/>
      </w:pPr>
      <w:r w:rsidRPr="008E7494">
        <w:t>Wellbeing Centres (WBCs) to address alcohol and/or drug misuse, gambling, domestic violence or social health related issues</w:t>
      </w:r>
    </w:p>
    <w:p w14:paraId="489ACE86" w14:textId="77777777" w:rsidR="00176460" w:rsidRPr="008E7494" w:rsidRDefault="00176460" w:rsidP="00176460">
      <w:pPr>
        <w:pStyle w:val="ListBullet2"/>
      </w:pPr>
      <w:r w:rsidRPr="008E7494">
        <w:t>Parenting Programs to assist in implementing good parenting practices</w:t>
      </w:r>
    </w:p>
    <w:p w14:paraId="75F1CCD5" w14:textId="77777777" w:rsidR="00176460" w:rsidRPr="008E7494" w:rsidRDefault="00176460" w:rsidP="00176460">
      <w:pPr>
        <w:pStyle w:val="ListBullet2"/>
      </w:pPr>
      <w:proofErr w:type="spellStart"/>
      <w:r w:rsidRPr="008E7494">
        <w:t>MPower</w:t>
      </w:r>
      <w:proofErr w:type="spellEnd"/>
      <w:r w:rsidRPr="008E7494">
        <w:t>, a money management program, to assist with budgeting and meeting priority financial needs</w:t>
      </w:r>
    </w:p>
    <w:p w14:paraId="584C05A2" w14:textId="77777777" w:rsidR="00176460" w:rsidRPr="008E7494" w:rsidRDefault="00176460" w:rsidP="00176460">
      <w:pPr>
        <w:pStyle w:val="ListBullet2"/>
      </w:pPr>
      <w:r w:rsidRPr="008E7494">
        <w:t>Student Case Managers (SCMs) to assist parents to ensure children attend school or</w:t>
      </w:r>
    </w:p>
    <w:p w14:paraId="7780F43C" w14:textId="77777777" w:rsidR="00176460" w:rsidRPr="008E7494" w:rsidRDefault="00176460" w:rsidP="00176460">
      <w:pPr>
        <w:pStyle w:val="ListBullet2"/>
      </w:pPr>
      <w:r w:rsidRPr="008E7494">
        <w:t>other appropriate support services.</w:t>
      </w:r>
    </w:p>
    <w:p w14:paraId="2926A094" w14:textId="77777777" w:rsidR="00176460" w:rsidRPr="00F855B1" w:rsidRDefault="00176460" w:rsidP="00F855B1">
      <w:pPr>
        <w:pStyle w:val="Heading3"/>
      </w:pPr>
      <w:r w:rsidRPr="00F855B1">
        <w:t>Conditional income management</w:t>
      </w:r>
    </w:p>
    <w:p w14:paraId="49EB0E21" w14:textId="77777777" w:rsidR="00176460" w:rsidRPr="008E7494" w:rsidRDefault="00176460" w:rsidP="00176460">
      <w:r w:rsidRPr="008E7494">
        <w:t xml:space="preserve">At conference, a decision may be made to issue a client with a CIM order. Due consideration is given firstly to the individual circumstances of the client and whether </w:t>
      </w:r>
      <w:r>
        <w:t>alternative action is more appropriate</w:t>
      </w:r>
      <w:r w:rsidRPr="008E7494">
        <w:t xml:space="preserve">. Primarily CIM orders are issued to stabilise a client’s circumstances, particularly where children or other vulnerable people are concerned. CIM orders may also be made where a client fails to attend </w:t>
      </w:r>
      <w:r>
        <w:t>two</w:t>
      </w:r>
      <w:r w:rsidRPr="008E7494">
        <w:t xml:space="preserve"> scheduled conferences, is not complying with their agreement or order, or the Commission is continuing to receive additional notices in relation to their behaviour. CIM orders are issued for a defined period (normally 12 months) with the Commissioners determining whether 60, 75 or 90 percent of fortnightly welfare payments are managed.</w:t>
      </w:r>
      <w:r>
        <w:t xml:space="preserve"> Commissioners may revoke a CIM order prior to the defined period should the client have demonstrated </w:t>
      </w:r>
      <w:proofErr w:type="gramStart"/>
      <w:r>
        <w:t>sufficient</w:t>
      </w:r>
      <w:proofErr w:type="gramEnd"/>
      <w:r>
        <w:t xml:space="preserve"> progress in addressing the issue/s which have brought them before the Commission. The client may then be encouraged to continue to attend service </w:t>
      </w:r>
      <w:proofErr w:type="gramStart"/>
      <w:r>
        <w:t>providers, or</w:t>
      </w:r>
      <w:proofErr w:type="gramEnd"/>
      <w:r>
        <w:t xml:space="preserve"> may elect to continue on an income management arrangement should they wish.</w:t>
      </w:r>
    </w:p>
    <w:p w14:paraId="5989E2F3" w14:textId="77777777" w:rsidR="00176460" w:rsidRPr="008E7494" w:rsidRDefault="00176460" w:rsidP="00176460">
      <w:r w:rsidRPr="008E7494">
        <w:t xml:space="preserve">Notice of the CIM order is provided to Centrelink. Centrelink enacts the notice and meets with the client to discuss their priority needs and financial obligations such as rent and bills or utilities and allocates the remainder of funds to a </w:t>
      </w:r>
      <w:proofErr w:type="spellStart"/>
      <w:r w:rsidRPr="008E7494">
        <w:t>BasicsCard</w:t>
      </w:r>
      <w:proofErr w:type="spellEnd"/>
      <w:r w:rsidRPr="008E7494">
        <w:t xml:space="preserve"> for the purchase of food and other consumables. The client receives the remaining funds (40, 25 or 10 percent) as cash into their bank account. CIM orders are reviewed at the six and ten month point of the order. Some clients request extensions of the CIM order or a decrease of the percentage managed to ensure stability of their finances is maintained. Clients may also enter into a Voluntary Income Management (VIM) agreement to assist them to manage their budget and meet the costs of everyday essentials.</w:t>
      </w:r>
      <w:r>
        <w:t xml:space="preserve"> Once a client comes off a CIM or VIM, they return to their prior arrangements with Centrelink </w:t>
      </w:r>
      <w:proofErr w:type="gramStart"/>
      <w:r>
        <w:t>in regard to</w:t>
      </w:r>
      <w:proofErr w:type="gramEnd"/>
      <w:r>
        <w:t xml:space="preserve"> their welfare payments.</w:t>
      </w:r>
    </w:p>
    <w:p w14:paraId="19D471C0" w14:textId="77777777" w:rsidR="00176460" w:rsidRPr="00F855B1" w:rsidRDefault="00176460" w:rsidP="00F855B1">
      <w:pPr>
        <w:pStyle w:val="Heading3"/>
      </w:pPr>
      <w:r w:rsidRPr="00F855B1">
        <w:t>Case management monitoring</w:t>
      </w:r>
    </w:p>
    <w:p w14:paraId="061C94B1" w14:textId="77777777" w:rsidR="00176460" w:rsidRPr="008E7494" w:rsidRDefault="00176460" w:rsidP="00176460">
      <w:r w:rsidRPr="008E7494">
        <w:t xml:space="preserve">Clients who enter into an agreement, or who are ordered to attend community support services are monitored by the Commission. Service providers are required to submit a </w:t>
      </w:r>
      <w:r>
        <w:t>quarterly</w:t>
      </w:r>
      <w:r w:rsidRPr="008E7494">
        <w:t xml:space="preserve"> progress report advising if the client has attended and engaged with the provider and the progress they are making towards achieving their goals. The Commission collaborates with service providers to maintain consistent reporting criteria, encourages each service provider to engage in a quality assurance process </w:t>
      </w:r>
      <w:proofErr w:type="gramStart"/>
      <w:r w:rsidRPr="008E7494">
        <w:t>in regard to</w:t>
      </w:r>
      <w:proofErr w:type="gramEnd"/>
      <w:r w:rsidRPr="008E7494">
        <w:t xml:space="preserve"> the quality of information provided and conducts information sessions and updates in the communities when required. Service providers are encouraged to attend conference proceedings in each welfare reform community and discuss the decision-making processes with the Commissioners.</w:t>
      </w:r>
    </w:p>
    <w:p w14:paraId="1180F7C9" w14:textId="77777777" w:rsidR="00176460" w:rsidRPr="008E7494" w:rsidRDefault="00176460" w:rsidP="00176460">
      <w:r w:rsidRPr="008E7494">
        <w:lastRenderedPageBreak/>
        <w:t xml:space="preserve">Each agreement or order is monitored by the Commission for the period of the agreement or order. </w:t>
      </w:r>
      <w:proofErr w:type="gramStart"/>
      <w:r w:rsidRPr="008E7494">
        <w:t>As a result of</w:t>
      </w:r>
      <w:proofErr w:type="gramEnd"/>
      <w:r w:rsidRPr="008E7494">
        <w:t xml:space="preserve"> the progress reports received from service providers, clients are assessed to determine if they are fulfilling their obligations under the agreement or order. Together with local knowledge, additional information is sought from agencies and service providers where appropriate to decide upon the best course of action for the client.</w:t>
      </w:r>
    </w:p>
    <w:p w14:paraId="1BAE9750" w14:textId="77777777" w:rsidR="00176460" w:rsidRPr="008E7494" w:rsidRDefault="00176460" w:rsidP="00176460">
      <w:r w:rsidRPr="008E7494">
        <w:t>It should be noted that the number of clients monitored during the case management phase</w:t>
      </w:r>
      <w:r w:rsidRPr="008E7494" w:rsidDel="00571E51">
        <w:t xml:space="preserve"> </w:t>
      </w:r>
      <w:r w:rsidRPr="008E7494">
        <w:t>includes those who are incarcerated, out of community, in hospital or on probation orders. Their circumstances are monitored to ensure that where change occurs, such as release from prison, they are supported on their return to the community.</w:t>
      </w:r>
    </w:p>
    <w:p w14:paraId="13EFA1DF" w14:textId="77777777" w:rsidR="00176460" w:rsidRPr="00F855B1" w:rsidRDefault="00176460" w:rsidP="00F855B1">
      <w:pPr>
        <w:pStyle w:val="Heading3"/>
      </w:pPr>
      <w:r w:rsidRPr="00F855B1">
        <w:t>Show cause notices</w:t>
      </w:r>
    </w:p>
    <w:p w14:paraId="6B219843" w14:textId="760DA185" w:rsidR="00176460" w:rsidRPr="008E7494" w:rsidRDefault="00176460" w:rsidP="00176460">
      <w:pPr>
        <w:rPr>
          <w:bCs/>
        </w:rPr>
      </w:pPr>
      <w:r w:rsidRPr="008E7494">
        <w:t xml:space="preserve">Where a client is suspected of not complying with their agreement or order, a preliminary review is conducted </w:t>
      </w:r>
      <w:proofErr w:type="gramStart"/>
      <w:r w:rsidRPr="008E7494">
        <w:t>in regard to</w:t>
      </w:r>
      <w:proofErr w:type="gramEnd"/>
      <w:r w:rsidRPr="008E7494">
        <w:t xml:space="preserve"> their attendance and engagement with service providers. </w:t>
      </w:r>
      <w:proofErr w:type="gramStart"/>
      <w:r w:rsidRPr="008E7494">
        <w:t>Subsequent to</w:t>
      </w:r>
      <w:proofErr w:type="gramEnd"/>
      <w:r w:rsidRPr="008E7494">
        <w:t xml:space="preserve"> reviewing the client’s compliance with the case plan, the Commissioners may request an update on the client’s current income management status. If the client is already on an existing </w:t>
      </w:r>
      <w:r w:rsidR="00763D72" w:rsidRPr="00627ADE">
        <w:t>CIM</w:t>
      </w:r>
      <w:r w:rsidRPr="00627ADE">
        <w:t xml:space="preserve"> order with a substantial amount of time remaining, </w:t>
      </w:r>
      <w:r w:rsidRPr="00627ADE">
        <w:rPr>
          <w:bCs/>
        </w:rPr>
        <w:t xml:space="preserve">the Commissioners may either elect to continue with the current </w:t>
      </w:r>
      <w:r w:rsidR="00763D72" w:rsidRPr="00627ADE">
        <w:rPr>
          <w:bCs/>
        </w:rPr>
        <w:t>CIM</w:t>
      </w:r>
      <w:r w:rsidRPr="00627ADE">
        <w:rPr>
          <w:bCs/>
        </w:rPr>
        <w:t xml:space="preserve"> order and review it at the </w:t>
      </w:r>
      <w:proofErr w:type="gramStart"/>
      <w:r w:rsidRPr="00627ADE">
        <w:rPr>
          <w:bCs/>
        </w:rPr>
        <w:t>six and ten month</w:t>
      </w:r>
      <w:proofErr w:type="gramEnd"/>
      <w:r w:rsidRPr="00627ADE">
        <w:rPr>
          <w:bCs/>
        </w:rPr>
        <w:t xml:space="preserve"> review periods, or may increase the percentage of income</w:t>
      </w:r>
      <w:r w:rsidRPr="008E7494">
        <w:rPr>
          <w:bCs/>
        </w:rPr>
        <w:t xml:space="preserve"> management. The client may also then continue to be conferenced throughout this period should new notices be received.</w:t>
      </w:r>
    </w:p>
    <w:p w14:paraId="02DB41A6" w14:textId="77777777" w:rsidR="00176460" w:rsidRPr="008E7494" w:rsidRDefault="00176460" w:rsidP="00176460">
      <w:r w:rsidRPr="008E7494">
        <w:t xml:space="preserve">Where the Commissioners recommend proceeding to a show cause conference the client is ordered to attend </w:t>
      </w:r>
      <w:r>
        <w:t>a conference</w:t>
      </w:r>
      <w:r w:rsidRPr="008E7494">
        <w:t xml:space="preserve"> to explain their non-compliance. After due consideration and where considered appropriate, a CIM order may be made.</w:t>
      </w:r>
    </w:p>
    <w:p w14:paraId="307221CC" w14:textId="77777777" w:rsidR="00176460" w:rsidRPr="008E7494" w:rsidRDefault="00176460" w:rsidP="00176460">
      <w:r w:rsidRPr="008E7494">
        <w:t>The complexity of client obligations requires comprehensive information sharing and cooperation between the Commission, service providers and associated agencies to ensure clients can realistically meet the requirements of their agreements or orders. Each show cause is therefore assessed on a case by case basis to ensure that clients are treated in a fair and just manner.</w:t>
      </w:r>
    </w:p>
    <w:p w14:paraId="25875433" w14:textId="77777777" w:rsidR="00176460" w:rsidRPr="00F855B1" w:rsidRDefault="00176460" w:rsidP="00F855B1">
      <w:pPr>
        <w:pStyle w:val="Heading3"/>
      </w:pPr>
      <w:r w:rsidRPr="00F855B1">
        <w:t>Applications to amend or end agreements or orders</w:t>
      </w:r>
    </w:p>
    <w:p w14:paraId="53B5DEC6" w14:textId="77777777" w:rsidR="00176460" w:rsidRPr="008E7494" w:rsidRDefault="00176460" w:rsidP="00176460">
      <w:r w:rsidRPr="008E7494">
        <w:t xml:space="preserve">Clients may </w:t>
      </w:r>
      <w:proofErr w:type="gramStart"/>
      <w:r w:rsidRPr="008E7494">
        <w:t>submit an application</w:t>
      </w:r>
      <w:proofErr w:type="gramEnd"/>
      <w:r w:rsidRPr="008E7494">
        <w:t xml:space="preserve"> to amend or end their agreement or order. Commissioners view the hearing of the applications as an opportunity to engage with clients. For some clients this may be their first conference attendance as the CIM order may have been invoked due to their non-attendance at two previous conferences. The client must provide reasons for seeking to amend or end their agreement or order and each application is considered on its own merit. When CIM orders are revoked clients are encouraged to continue to address any remaining challenges and to exercise personal responsibility in their lives.</w:t>
      </w:r>
    </w:p>
    <w:p w14:paraId="03303F41" w14:textId="77777777" w:rsidR="00176460" w:rsidRPr="0001769E" w:rsidRDefault="00176460" w:rsidP="00176460">
      <w:pPr>
        <w:spacing w:after="0" w:line="240" w:lineRule="auto"/>
        <w:rPr>
          <w:rFonts w:ascii="Times New Roman" w:hAnsi="Times New Roman"/>
          <w:sz w:val="24"/>
          <w:lang w:eastAsia="en-AU"/>
        </w:rPr>
      </w:pPr>
    </w:p>
    <w:p w14:paraId="6CF7549C" w14:textId="77777777" w:rsidR="00610BEF" w:rsidRDefault="00610BEF" w:rsidP="009B129E">
      <w:pPr>
        <w:rPr>
          <w:rFonts w:cs="Arial"/>
          <w:szCs w:val="20"/>
        </w:rPr>
        <w:sectPr w:rsidR="00610BEF" w:rsidSect="00047560">
          <w:headerReference w:type="even" r:id="rId44"/>
          <w:headerReference w:type="default" r:id="rId45"/>
          <w:headerReference w:type="first" r:id="rId46"/>
          <w:footnotePr>
            <w:numRestart w:val="eachSect"/>
          </w:footnotePr>
          <w:pgSz w:w="11906" w:h="16838"/>
          <w:pgMar w:top="2948" w:right="1701" w:bottom="567" w:left="1701" w:header="0" w:footer="567" w:gutter="0"/>
          <w:cols w:space="708"/>
          <w:docGrid w:linePitch="360"/>
        </w:sectPr>
      </w:pPr>
    </w:p>
    <w:tbl>
      <w:tblPr>
        <w:tblW w:w="0" w:type="auto"/>
        <w:tblLook w:val="01E0" w:firstRow="1" w:lastRow="1" w:firstColumn="1" w:lastColumn="1" w:noHBand="0" w:noVBand="0"/>
      </w:tblPr>
      <w:tblGrid>
        <w:gridCol w:w="4254"/>
        <w:gridCol w:w="4250"/>
      </w:tblGrid>
      <w:tr w:rsidR="00416C1F" w:rsidRPr="008E7494" w14:paraId="0C0DB02C" w14:textId="77777777" w:rsidTr="00047560">
        <w:tc>
          <w:tcPr>
            <w:tcW w:w="4261" w:type="dxa"/>
          </w:tcPr>
          <w:p w14:paraId="6775E71F" w14:textId="77777777" w:rsidR="00416C1F" w:rsidRPr="00CA113C" w:rsidRDefault="00416C1F" w:rsidP="00CA113C">
            <w:pPr>
              <w:pStyle w:val="Heading2"/>
            </w:pPr>
            <w:r w:rsidRPr="00CA113C">
              <w:lastRenderedPageBreak/>
              <w:t>FAMILY RESPONSIBILITIES COMMISSIONER</w:t>
            </w:r>
          </w:p>
          <w:p w14:paraId="31308A2C" w14:textId="4802A9D2" w:rsidR="00416C1F" w:rsidRPr="00F2111F" w:rsidRDefault="00416C1F" w:rsidP="00F2111F">
            <w:pPr>
              <w:pStyle w:val="Heading3"/>
            </w:pPr>
            <w:r w:rsidRPr="00F2111F">
              <w:t>Commissioner David Glasgow</w:t>
            </w:r>
            <w:r w:rsidR="004036DD" w:rsidRPr="00F2111F">
              <w:t>,</w:t>
            </w:r>
            <w:r w:rsidRPr="00F2111F">
              <w:t xml:space="preserve"> AM</w:t>
            </w:r>
          </w:p>
          <w:p w14:paraId="2E3181C4" w14:textId="393888C8" w:rsidR="00416C1F" w:rsidRPr="008E7494" w:rsidRDefault="00416C1F" w:rsidP="00047560">
            <w:pPr>
              <w:rPr>
                <w:rFonts w:cs="Arial"/>
                <w:szCs w:val="20"/>
              </w:rPr>
            </w:pPr>
            <w:r w:rsidRPr="008E7494">
              <w:rPr>
                <w:rFonts w:cs="Arial"/>
                <w:szCs w:val="20"/>
              </w:rPr>
              <w:t xml:space="preserve">David Glasgow is a Solicitor and a former Queensland Magistrate. He was appointed the Commissioner on 25 May 2008 by </w:t>
            </w:r>
            <w:r>
              <w:rPr>
                <w:rFonts w:cs="Arial"/>
                <w:szCs w:val="20"/>
              </w:rPr>
              <w:t xml:space="preserve">then </w:t>
            </w:r>
            <w:r w:rsidRPr="008E7494">
              <w:rPr>
                <w:rFonts w:cs="Arial"/>
                <w:szCs w:val="20"/>
              </w:rPr>
              <w:t>Premier Anna Bligh</w:t>
            </w:r>
            <w:r>
              <w:rPr>
                <w:rFonts w:cs="Arial"/>
                <w:szCs w:val="20"/>
              </w:rPr>
              <w:t xml:space="preserve"> AC</w:t>
            </w:r>
            <w:r w:rsidRPr="008E7494">
              <w:rPr>
                <w:rFonts w:cs="Arial"/>
                <w:szCs w:val="20"/>
              </w:rPr>
              <w:t xml:space="preserve"> and has held this role continuously since then.</w:t>
            </w:r>
            <w:r w:rsidR="00120AFC">
              <w:rPr>
                <w:rFonts w:cs="Arial"/>
                <w:szCs w:val="20"/>
              </w:rPr>
              <w:t xml:space="preserve"> Commissioner Glasgow is due to retire on 1 </w:t>
            </w:r>
            <w:r w:rsidR="00514739">
              <w:rPr>
                <w:rFonts w:cs="Arial"/>
                <w:szCs w:val="20"/>
              </w:rPr>
              <w:t>September</w:t>
            </w:r>
            <w:r w:rsidR="00120AFC">
              <w:rPr>
                <w:rFonts w:cs="Arial"/>
                <w:szCs w:val="20"/>
              </w:rPr>
              <w:t xml:space="preserve"> 2019.</w:t>
            </w:r>
          </w:p>
          <w:p w14:paraId="3C4C167E" w14:textId="0AF9191F" w:rsidR="00416C1F" w:rsidRPr="00F2111F" w:rsidRDefault="00416C1F" w:rsidP="00F2111F">
            <w:pPr>
              <w:pStyle w:val="Heading3"/>
            </w:pPr>
            <w:r w:rsidRPr="00F2111F">
              <w:t>Deputy Commissioner Rodney Curtin</w:t>
            </w:r>
          </w:p>
          <w:p w14:paraId="4E07B4E4" w14:textId="3F7AACDC" w:rsidR="00416C1F" w:rsidRPr="008751DF" w:rsidRDefault="00416C1F" w:rsidP="00047560">
            <w:pPr>
              <w:rPr>
                <w:rFonts w:cs="Arial"/>
                <w:szCs w:val="20"/>
              </w:rPr>
            </w:pPr>
            <w:r w:rsidRPr="008751DF">
              <w:rPr>
                <w:rFonts w:cs="Arial"/>
                <w:szCs w:val="20"/>
              </w:rPr>
              <w:t>Deputy Commissioner Rod Curtin is a Queensland Barrister. He was appointed a</w:t>
            </w:r>
            <w:r>
              <w:rPr>
                <w:rFonts w:cs="Arial"/>
                <w:szCs w:val="20"/>
              </w:rPr>
              <w:t>s</w:t>
            </w:r>
            <w:r w:rsidRPr="008751DF">
              <w:rPr>
                <w:rFonts w:cs="Arial"/>
                <w:szCs w:val="20"/>
              </w:rPr>
              <w:t xml:space="preserve"> Deputy Commissioner in July 2010 and </w:t>
            </w:r>
            <w:r w:rsidR="003D0428">
              <w:rPr>
                <w:rFonts w:cs="Arial"/>
                <w:szCs w:val="20"/>
              </w:rPr>
              <w:t>his appointment expired on</w:t>
            </w:r>
            <w:r w:rsidRPr="008751DF">
              <w:rPr>
                <w:rFonts w:cs="Arial"/>
                <w:szCs w:val="20"/>
              </w:rPr>
              <w:t xml:space="preserve"> 31 December 201</w:t>
            </w:r>
            <w:r w:rsidR="006C6FC4">
              <w:rPr>
                <w:rFonts w:cs="Arial"/>
                <w:szCs w:val="20"/>
              </w:rPr>
              <w:t>8</w:t>
            </w:r>
            <w:r w:rsidRPr="008751DF">
              <w:rPr>
                <w:rFonts w:cs="Arial"/>
                <w:szCs w:val="20"/>
              </w:rPr>
              <w:t>. He continues to practice at the Bar in North Queensland and is based in Cairns.</w:t>
            </w:r>
          </w:p>
          <w:p w14:paraId="18B375DB" w14:textId="77777777" w:rsidR="00416C1F" w:rsidRPr="00F2111F" w:rsidRDefault="00416C1F" w:rsidP="00F2111F">
            <w:pPr>
              <w:pStyle w:val="Heading2"/>
            </w:pPr>
            <w:r w:rsidRPr="00F2111F">
              <w:t>LOCAL COMMISSIONERS</w:t>
            </w:r>
          </w:p>
          <w:p w14:paraId="37BD2308" w14:textId="77777777" w:rsidR="00416C1F" w:rsidRPr="00F2111F" w:rsidRDefault="00416C1F" w:rsidP="00F2111F">
            <w:pPr>
              <w:pStyle w:val="Heading2"/>
            </w:pPr>
            <w:r w:rsidRPr="00F2111F">
              <w:t>Aurukun</w:t>
            </w:r>
          </w:p>
          <w:p w14:paraId="6DF5C6E4" w14:textId="60E47305" w:rsidR="00416C1F" w:rsidRPr="008E7494" w:rsidRDefault="00416C1F" w:rsidP="00047560">
            <w:pPr>
              <w:rPr>
                <w:rFonts w:cs="Arial"/>
                <w:szCs w:val="20"/>
              </w:rPr>
            </w:pPr>
            <w:r w:rsidRPr="008E7494">
              <w:rPr>
                <w:b/>
                <w:iCs/>
              </w:rPr>
              <w:t>Commissioner Edgar KERINDUN</w:t>
            </w:r>
            <w:r w:rsidRPr="008E7494">
              <w:rPr>
                <w:rFonts w:cs="Arial"/>
                <w:szCs w:val="20"/>
              </w:rPr>
              <w:t xml:space="preserve"> </w:t>
            </w:r>
            <w:r w:rsidRPr="008E7494">
              <w:rPr>
                <w:rFonts w:cs="Arial"/>
                <w:b/>
                <w:szCs w:val="20"/>
              </w:rPr>
              <w:t>OAM</w:t>
            </w:r>
            <w:r w:rsidRPr="008E7494">
              <w:t xml:space="preserve"> (Sara Clan) was born and raised in Aurukun and is </w:t>
            </w:r>
            <w:r w:rsidRPr="008E7494">
              <w:rPr>
                <w:rFonts w:cs="Arial"/>
                <w:szCs w:val="20"/>
              </w:rPr>
              <w:t xml:space="preserve">a traditional owner of the area. Aurukun Commissioner Kerindun was re-elected to the position of Aurukun Shire Councillor in the Local Government elections conducted on 19 March 2016 and has been appointed Deputy Mayor. Commissioner Kerindun previously held the position of Engagement Officer at Queensland Health until his election as a Councillor for the Aurukun Shire Council in 2012. On 26 January 2015 Aurukun Commissioner Kerindun was awarded a Medal of the Order of Australia (OAM) in recognition of his services to the community. He was one of the original Community Police Officers in Aurukun and continues to promote justice and rehabilitation for ex-offenders. Together with his partner, Aurukun Commissioner Doris Poonkamelya, they have in their care </w:t>
            </w:r>
            <w:r w:rsidRPr="00A11595">
              <w:rPr>
                <w:rFonts w:cs="Arial"/>
                <w:szCs w:val="20"/>
              </w:rPr>
              <w:t>three</w:t>
            </w:r>
            <w:r w:rsidRPr="008E7494">
              <w:rPr>
                <w:rFonts w:cs="Arial"/>
                <w:szCs w:val="20"/>
              </w:rPr>
              <w:t xml:space="preserve"> children from their extended family. Commissioner Kerindun has a strong belief that if you show respect to everyone, everyone will have more respect for you.</w:t>
            </w:r>
          </w:p>
          <w:p w14:paraId="08DC02A1" w14:textId="77777777" w:rsidR="00416C1F" w:rsidRPr="008E7494" w:rsidRDefault="00416C1F" w:rsidP="00047560">
            <w:pPr>
              <w:rPr>
                <w:rFonts w:cs="Arial"/>
                <w:szCs w:val="20"/>
              </w:rPr>
            </w:pPr>
          </w:p>
        </w:tc>
        <w:tc>
          <w:tcPr>
            <w:tcW w:w="4261" w:type="dxa"/>
          </w:tcPr>
          <w:p w14:paraId="7B5DA03E" w14:textId="72EA4E77" w:rsidR="00416C1F" w:rsidRPr="008E7494" w:rsidRDefault="00416C1F" w:rsidP="00047560">
            <w:r w:rsidRPr="008E7494">
              <w:rPr>
                <w:b/>
                <w:szCs w:val="20"/>
              </w:rPr>
              <w:t>Commissioner Doris POONKAMELYA OAM</w:t>
            </w:r>
            <w:r w:rsidRPr="008E7494">
              <w:t xml:space="preserve"> (Putch Clan) was born at the Kendall River Outstation and her family moved to Aurukun when she was a child. Commissioner Poonkamelya retired as a senior health worker from Queensland Health in 2009 where she worked for 29 years. </w:t>
            </w:r>
            <w:r w:rsidRPr="008E7494">
              <w:rPr>
                <w:rFonts w:cs="Arial"/>
                <w:szCs w:val="20"/>
              </w:rPr>
              <w:t xml:space="preserve">On 26 January 2015 Aurukun Commissioner Poonkamelya was awarded a Medal of the Order of Australia (OAM) in recognition of her services to the community. On 19 March 2016 </w:t>
            </w:r>
            <w:r w:rsidR="00504D03">
              <w:rPr>
                <w:rFonts w:cs="Arial"/>
                <w:szCs w:val="20"/>
              </w:rPr>
              <w:t xml:space="preserve">Aurukun </w:t>
            </w:r>
            <w:r w:rsidRPr="008E7494">
              <w:rPr>
                <w:rFonts w:cs="Arial"/>
                <w:szCs w:val="20"/>
              </w:rPr>
              <w:t xml:space="preserve">Commissioner Poonkamelya was elected as a Councillor for the Aurukun Shire Council. </w:t>
            </w:r>
            <w:r w:rsidRPr="008E7494">
              <w:t>She is a founding member of the Aurukun Community Justice Group and is also deeply committed to education as the pathway to employment and a promising future for young people. As a carer for Child Safety Services, Commissioner Poonkamelya believes in ensuring a safe environment for children to grow and mature.</w:t>
            </w:r>
          </w:p>
          <w:p w14:paraId="51D96ED9" w14:textId="5C80BA9E" w:rsidR="00416C1F" w:rsidRPr="008E7494" w:rsidRDefault="00416C1F" w:rsidP="00047560">
            <w:r w:rsidRPr="008E7494">
              <w:rPr>
                <w:b/>
              </w:rPr>
              <w:t>Commissioner Ada Panawya WOOLLA OAM</w:t>
            </w:r>
            <w:r w:rsidRPr="008E7494">
              <w:t xml:space="preserve"> (Winchanum Clan) was born and raised in Aurukun, leaving the community to attend boarding school and later Cairns Business College. </w:t>
            </w:r>
            <w:r w:rsidR="0020675D">
              <w:t xml:space="preserve">Aurukun </w:t>
            </w:r>
            <w:r w:rsidRPr="008E7494">
              <w:t>Commissioner Woolla was re-elected to the position of Councillor in the Aurukun Shire Council on 19 March 2016. Upon election to the position of Councillor for the Aurukun Shire Council in April 2012 she retired from her position as a Recognised Entity, where she worked to assist families and children in Aurukun.</w:t>
            </w:r>
          </w:p>
          <w:p w14:paraId="1D7E4C48" w14:textId="77777777" w:rsidR="00416C1F" w:rsidRPr="008E7494" w:rsidRDefault="00416C1F" w:rsidP="00047560">
            <w:pPr>
              <w:rPr>
                <w:rFonts w:cs="Arial"/>
                <w:szCs w:val="20"/>
              </w:rPr>
            </w:pPr>
            <w:r w:rsidRPr="008E7494">
              <w:t xml:space="preserve">In September 2014 Aurukun Commissioner Woolla was appointed to the Special Taskforce on Domestic and Family Violence in Queensland. The Taskforce was established by the then Premier Campbell Newman and was chaired by the Honourable Quentin Bryce AD CVO, former Governor-General of Australia. </w:t>
            </w:r>
            <w:r w:rsidRPr="008E7494">
              <w:rPr>
                <w:rFonts w:cs="Arial"/>
                <w:szCs w:val="20"/>
              </w:rPr>
              <w:t>On 26 January 2015 Aurukun Commissioner Woolla was awarded</w:t>
            </w:r>
            <w:r w:rsidRPr="008E7494">
              <w:t xml:space="preserve"> </w:t>
            </w:r>
            <w:r w:rsidRPr="008E7494">
              <w:rPr>
                <w:rFonts w:cs="Arial"/>
                <w:szCs w:val="20"/>
              </w:rPr>
              <w:t>a Medal of the Order of Australia (OAM) in</w:t>
            </w:r>
            <w:r>
              <w:rPr>
                <w:rFonts w:cs="Arial"/>
                <w:szCs w:val="20"/>
              </w:rPr>
              <w:t xml:space="preserve"> </w:t>
            </w:r>
            <w:r w:rsidRPr="008E7494">
              <w:rPr>
                <w:rFonts w:cs="Arial"/>
                <w:szCs w:val="20"/>
              </w:rPr>
              <w:t>recognition of her services to the community.</w:t>
            </w:r>
          </w:p>
          <w:p w14:paraId="11412AA5" w14:textId="77777777" w:rsidR="00416C1F" w:rsidRPr="008E7494" w:rsidRDefault="00416C1F" w:rsidP="00047560">
            <w:pPr>
              <w:rPr>
                <w:rFonts w:cs="Arial"/>
                <w:szCs w:val="20"/>
              </w:rPr>
            </w:pPr>
          </w:p>
        </w:tc>
      </w:tr>
    </w:tbl>
    <w:p w14:paraId="042C2C41" w14:textId="77777777" w:rsidR="00416C1F" w:rsidRPr="008E7494" w:rsidRDefault="00416C1F" w:rsidP="00416C1F">
      <w:r w:rsidRPr="008E7494">
        <w:br w:type="page"/>
      </w:r>
    </w:p>
    <w:tbl>
      <w:tblPr>
        <w:tblW w:w="0" w:type="auto"/>
        <w:tblLook w:val="04A0" w:firstRow="1" w:lastRow="0" w:firstColumn="1" w:lastColumn="0" w:noHBand="0" w:noVBand="1"/>
      </w:tblPr>
      <w:tblGrid>
        <w:gridCol w:w="4252"/>
        <w:gridCol w:w="4252"/>
      </w:tblGrid>
      <w:tr w:rsidR="00416C1F" w:rsidRPr="008E7494" w14:paraId="12A85957" w14:textId="77777777" w:rsidTr="00047560">
        <w:tc>
          <w:tcPr>
            <w:tcW w:w="4252" w:type="dxa"/>
          </w:tcPr>
          <w:p w14:paraId="2DAA69CB" w14:textId="47E899D8" w:rsidR="00416C1F" w:rsidRPr="003A5B70" w:rsidRDefault="00416C1F" w:rsidP="00047560">
            <w:pPr>
              <w:rPr>
                <w:rFonts w:cs="Arial"/>
                <w:szCs w:val="20"/>
              </w:rPr>
            </w:pPr>
            <w:r w:rsidRPr="003A5B70">
              <w:rPr>
                <w:rFonts w:cs="Arial"/>
                <w:szCs w:val="20"/>
              </w:rPr>
              <w:lastRenderedPageBreak/>
              <w:t xml:space="preserve">In September 2018 she was appointed to the Queensland First Children and Families Board. The Board will oversee the implementation of </w:t>
            </w:r>
            <w:r w:rsidRPr="003A5B70">
              <w:rPr>
                <w:rFonts w:cs="Arial"/>
                <w:i/>
                <w:szCs w:val="20"/>
              </w:rPr>
              <w:t xml:space="preserve">Our Way – A generational strategy for Aboriginal and Torres Strait Islander children and families 2017 – 2037 </w:t>
            </w:r>
            <w:r w:rsidRPr="003A5B70">
              <w:rPr>
                <w:rFonts w:cs="Arial"/>
                <w:szCs w:val="20"/>
              </w:rPr>
              <w:t xml:space="preserve">and </w:t>
            </w:r>
            <w:r w:rsidRPr="003A5B70">
              <w:rPr>
                <w:rFonts w:cs="Arial"/>
                <w:i/>
                <w:szCs w:val="20"/>
              </w:rPr>
              <w:t>Changing Tracks – An action plan for Aboriginal and Torres Strait Islander children and families 2017 – 2019.</w:t>
            </w:r>
            <w:r w:rsidRPr="003A5B70">
              <w:rPr>
                <w:rFonts w:cs="Arial"/>
                <w:szCs w:val="20"/>
              </w:rPr>
              <w:t xml:space="preserve"> Commissioner Woolla </w:t>
            </w:r>
            <w:r w:rsidRPr="003A5B70">
              <w:rPr>
                <w:szCs w:val="20"/>
              </w:rPr>
              <w:t xml:space="preserve">is also a foster and kinship carer, an office bearer in the church, a founding Member of the Aurukun Community </w:t>
            </w:r>
            <w:r w:rsidRPr="003A5B70">
              <w:rPr>
                <w:spacing w:val="-2"/>
                <w:szCs w:val="20"/>
                <w:lang w:val="en-US"/>
              </w:rPr>
              <w:t xml:space="preserve">Justice Group, a respected mediator and community Elder. Her support for the education and training of young people is well </w:t>
            </w:r>
            <w:proofErr w:type="spellStart"/>
            <w:r w:rsidRPr="003A5B70">
              <w:rPr>
                <w:spacing w:val="-2"/>
                <w:szCs w:val="20"/>
                <w:lang w:val="en-US"/>
              </w:rPr>
              <w:t>recognised</w:t>
            </w:r>
            <w:proofErr w:type="spellEnd"/>
            <w:r w:rsidRPr="003A5B70">
              <w:rPr>
                <w:spacing w:val="-2"/>
                <w:szCs w:val="20"/>
                <w:lang w:val="en-US"/>
              </w:rPr>
              <w:t xml:space="preserve"> and together with her husband, Aurukun Mayor Dereck Walpo, she strives to improve opportunities for her community.</w:t>
            </w:r>
          </w:p>
          <w:p w14:paraId="7DA962B7" w14:textId="0873E575" w:rsidR="00416C1F" w:rsidRPr="003A5B70" w:rsidRDefault="00416C1F" w:rsidP="00047560">
            <w:pPr>
              <w:rPr>
                <w:szCs w:val="20"/>
              </w:rPr>
            </w:pPr>
            <w:r w:rsidRPr="003A5B70">
              <w:rPr>
                <w:b/>
                <w:iCs/>
                <w:szCs w:val="20"/>
              </w:rPr>
              <w:t>Commissioner Dorothy POOTCHEMUNKA</w:t>
            </w:r>
            <w:r w:rsidRPr="003A5B70">
              <w:rPr>
                <w:szCs w:val="20"/>
              </w:rPr>
              <w:t xml:space="preserve"> (Winchanum / Aplach Clans) was born, raised and educated in Aurukun, and now has 10 children, 16 grandchildren and six great grandchildren. Commissioner </w:t>
            </w:r>
            <w:proofErr w:type="spellStart"/>
            <w:r w:rsidRPr="003A5B70">
              <w:rPr>
                <w:szCs w:val="20"/>
              </w:rPr>
              <w:t>Pootchemunka’s</w:t>
            </w:r>
            <w:proofErr w:type="spellEnd"/>
            <w:r w:rsidRPr="003A5B70">
              <w:rPr>
                <w:szCs w:val="20"/>
              </w:rPr>
              <w:t xml:space="preserve"> interests span the full spectrum of traditional activities including fishing, camping and the customary female craft of basket weaving using Pandanus and Cabbage Palm leaf. Her baskets are on display in national galleries in Australia and overseas. Aurukun Commissioner Pootchemunka is also a registered </w:t>
            </w:r>
            <w:proofErr w:type="spellStart"/>
            <w:r w:rsidRPr="003A5B70">
              <w:rPr>
                <w:szCs w:val="20"/>
              </w:rPr>
              <w:t>Wik</w:t>
            </w:r>
            <w:proofErr w:type="spellEnd"/>
            <w:r w:rsidRPr="003A5B70">
              <w:rPr>
                <w:szCs w:val="20"/>
              </w:rPr>
              <w:t xml:space="preserve"> interpreter and her expertise is utilised within the court system </w:t>
            </w:r>
            <w:proofErr w:type="gramStart"/>
            <w:r w:rsidRPr="003A5B70">
              <w:rPr>
                <w:szCs w:val="20"/>
              </w:rPr>
              <w:t>and also</w:t>
            </w:r>
            <w:proofErr w:type="gramEnd"/>
            <w:r w:rsidRPr="003A5B70">
              <w:rPr>
                <w:szCs w:val="20"/>
              </w:rPr>
              <w:t xml:space="preserve"> by the Department of Human Services. She views education as the key to employment and encourages all students to make the most of their education and training to enhance future job opportunities.</w:t>
            </w:r>
          </w:p>
          <w:p w14:paraId="663CFBBE" w14:textId="77777777" w:rsidR="00416C1F" w:rsidRPr="003A5B70" w:rsidRDefault="00416C1F" w:rsidP="00047560">
            <w:pPr>
              <w:rPr>
                <w:szCs w:val="20"/>
              </w:rPr>
            </w:pPr>
            <w:r w:rsidRPr="003A5B70">
              <w:rPr>
                <w:b/>
                <w:bCs/>
                <w:szCs w:val="20"/>
              </w:rPr>
              <w:t>Commissioner Vera KOOMEETA OAM</w:t>
            </w:r>
            <w:r w:rsidRPr="003A5B70">
              <w:rPr>
                <w:szCs w:val="20"/>
              </w:rPr>
              <w:t xml:space="preserve"> (Aplach Clan) was born in Aurukun and attended primary school in Aurukun. She continued her studies at PGC and Scots College in Warwick completing year 10, and then obtained a qualification in community teaching from Technical and Further Education in Cairns. On 19 March 2016 Aurukun Commissioner </w:t>
            </w:r>
            <w:proofErr w:type="spellStart"/>
            <w:r w:rsidRPr="003A5B70">
              <w:rPr>
                <w:szCs w:val="20"/>
              </w:rPr>
              <w:t>Koomeeta</w:t>
            </w:r>
            <w:proofErr w:type="spellEnd"/>
            <w:r w:rsidRPr="003A5B70">
              <w:rPr>
                <w:szCs w:val="20"/>
              </w:rPr>
              <w:t xml:space="preserve"> was re-elected to the position of </w:t>
            </w:r>
            <w:r w:rsidRPr="003A5B70">
              <w:rPr>
                <w:rFonts w:cs="Arial"/>
                <w:szCs w:val="20"/>
              </w:rPr>
              <w:t xml:space="preserve">Aurukun Shire </w:t>
            </w:r>
            <w:r w:rsidRPr="003A5B70">
              <w:rPr>
                <w:szCs w:val="20"/>
              </w:rPr>
              <w:t xml:space="preserve">Councillor in the Local Government elections. </w:t>
            </w:r>
          </w:p>
          <w:p w14:paraId="4C928C34" w14:textId="77777777" w:rsidR="00416C1F" w:rsidRPr="003A5B70" w:rsidRDefault="00416C1F" w:rsidP="00047560">
            <w:pPr>
              <w:rPr>
                <w:rFonts w:cs="Arial"/>
                <w:szCs w:val="20"/>
              </w:rPr>
            </w:pPr>
          </w:p>
          <w:p w14:paraId="2D197B1D" w14:textId="77777777" w:rsidR="00416C1F" w:rsidRPr="003A5B70" w:rsidRDefault="00416C1F" w:rsidP="00047560">
            <w:pPr>
              <w:rPr>
                <w:rFonts w:cs="Arial"/>
                <w:szCs w:val="20"/>
              </w:rPr>
            </w:pPr>
          </w:p>
          <w:p w14:paraId="4594C14E" w14:textId="77777777" w:rsidR="00416C1F" w:rsidRPr="003A5B70" w:rsidRDefault="00416C1F" w:rsidP="00047560">
            <w:pPr>
              <w:rPr>
                <w:rFonts w:cs="Arial"/>
                <w:szCs w:val="20"/>
              </w:rPr>
            </w:pPr>
          </w:p>
          <w:p w14:paraId="76C8A8E5" w14:textId="77777777" w:rsidR="00416C1F" w:rsidRPr="003A5B70" w:rsidRDefault="00416C1F" w:rsidP="00047560">
            <w:pPr>
              <w:rPr>
                <w:rFonts w:cs="Arial"/>
                <w:szCs w:val="20"/>
              </w:rPr>
            </w:pPr>
          </w:p>
          <w:p w14:paraId="0B04580C" w14:textId="77777777" w:rsidR="00416C1F" w:rsidRPr="00F2111F" w:rsidRDefault="00416C1F" w:rsidP="00F2111F">
            <w:pPr>
              <w:pStyle w:val="Heading2"/>
            </w:pPr>
            <w:r w:rsidRPr="00F2111F">
              <w:lastRenderedPageBreak/>
              <w:t>Coen</w:t>
            </w:r>
          </w:p>
          <w:p w14:paraId="40B28BC4" w14:textId="18BFFE41" w:rsidR="00416C1F" w:rsidRPr="003A5B70" w:rsidRDefault="00416C1F" w:rsidP="00047560">
            <w:pPr>
              <w:rPr>
                <w:szCs w:val="20"/>
              </w:rPr>
            </w:pPr>
            <w:r w:rsidRPr="003A5B70">
              <w:rPr>
                <w:b/>
                <w:szCs w:val="20"/>
              </w:rPr>
              <w:t>Commissioner Peter Pedro PETER OAM</w:t>
            </w:r>
            <w:r w:rsidRPr="003A5B70">
              <w:rPr>
                <w:szCs w:val="20"/>
              </w:rPr>
              <w:t xml:space="preserve"> (Lama </w:t>
            </w:r>
            <w:proofErr w:type="spellStart"/>
            <w:r w:rsidRPr="003A5B70">
              <w:rPr>
                <w:szCs w:val="20"/>
              </w:rPr>
              <w:t>Lama</w:t>
            </w:r>
            <w:proofErr w:type="spellEnd"/>
            <w:r w:rsidRPr="003A5B70">
              <w:rPr>
                <w:szCs w:val="20"/>
              </w:rPr>
              <w:t xml:space="preserve"> Clan) is an Elder of great significance within the Lama </w:t>
            </w:r>
            <w:proofErr w:type="spellStart"/>
            <w:r w:rsidRPr="003A5B70">
              <w:rPr>
                <w:szCs w:val="20"/>
              </w:rPr>
              <w:t>Lama</w:t>
            </w:r>
            <w:proofErr w:type="spellEnd"/>
            <w:r w:rsidRPr="003A5B70">
              <w:rPr>
                <w:szCs w:val="20"/>
              </w:rPr>
              <w:t xml:space="preserve"> Clan and the wider community. </w:t>
            </w:r>
            <w:r w:rsidRPr="003A5B70">
              <w:rPr>
                <w:rFonts w:cs="Arial"/>
                <w:szCs w:val="20"/>
              </w:rPr>
              <w:t xml:space="preserve">On 26 January 2015 Coen Commissioner Peter was awarded a Medal of the Order of Australia (OAM) in recognition of his services to the community. </w:t>
            </w:r>
            <w:r w:rsidRPr="003A5B70">
              <w:rPr>
                <w:szCs w:val="20"/>
              </w:rPr>
              <w:t>Commissioner Peter retired as a Coen Commissioner on 31 December 2018.</w:t>
            </w:r>
          </w:p>
          <w:p w14:paraId="1CA8BC04" w14:textId="598AD5E2" w:rsidR="00416C1F" w:rsidRPr="003A5B70" w:rsidRDefault="00416C1F" w:rsidP="00047560">
            <w:pPr>
              <w:rPr>
                <w:rFonts w:cs="Arial"/>
                <w:szCs w:val="20"/>
              </w:rPr>
            </w:pPr>
            <w:bookmarkStart w:id="1" w:name="_Hlk8981542"/>
            <w:r w:rsidRPr="003A5B70">
              <w:rPr>
                <w:b/>
                <w:szCs w:val="20"/>
              </w:rPr>
              <w:t>Commissioner Garry Lloyd PORT OAM</w:t>
            </w:r>
            <w:r w:rsidRPr="003A5B70">
              <w:rPr>
                <w:szCs w:val="20"/>
              </w:rPr>
              <w:t xml:space="preserve"> (Lama </w:t>
            </w:r>
            <w:proofErr w:type="spellStart"/>
            <w:r w:rsidRPr="003A5B70">
              <w:rPr>
                <w:szCs w:val="20"/>
              </w:rPr>
              <w:t>Lama</w:t>
            </w:r>
            <w:proofErr w:type="spellEnd"/>
            <w:r w:rsidRPr="003A5B70">
              <w:rPr>
                <w:szCs w:val="20"/>
              </w:rPr>
              <w:t xml:space="preserve"> / Kuku </w:t>
            </w:r>
            <w:proofErr w:type="spellStart"/>
            <w:r w:rsidRPr="003A5B70">
              <w:rPr>
                <w:szCs w:val="20"/>
              </w:rPr>
              <w:t>Yalanji</w:t>
            </w:r>
            <w:proofErr w:type="spellEnd"/>
            <w:r w:rsidRPr="003A5B70">
              <w:rPr>
                <w:szCs w:val="20"/>
              </w:rPr>
              <w:t xml:space="preserve"> / </w:t>
            </w:r>
            <w:proofErr w:type="spellStart"/>
            <w:r w:rsidRPr="003A5B70">
              <w:rPr>
                <w:szCs w:val="20"/>
              </w:rPr>
              <w:t>Ayapathu</w:t>
            </w:r>
            <w:proofErr w:type="spellEnd"/>
            <w:r w:rsidRPr="003A5B70">
              <w:rPr>
                <w:szCs w:val="20"/>
              </w:rPr>
              <w:t xml:space="preserve"> Clans) is from a well-respected Coen family and son of Barry Port, the famous Aboriginal police tracker. Coen Commissioner Port is a Justice of the Peace (Qualified). In February 2018 Commissioner Port commenced full-time employment for the Hope Vale Aboriginal Shire Council initially as a Council Maintenance Worker. He currently holds the position of Supervisor of Operations, Parks and Gardens at the Council. He is heavily involved with supporting young people </w:t>
            </w:r>
            <w:proofErr w:type="gramStart"/>
            <w:r w:rsidRPr="003A5B70">
              <w:rPr>
                <w:szCs w:val="20"/>
              </w:rPr>
              <w:t>and also</w:t>
            </w:r>
            <w:proofErr w:type="gramEnd"/>
            <w:r w:rsidRPr="003A5B70">
              <w:rPr>
                <w:szCs w:val="20"/>
              </w:rPr>
              <w:t xml:space="preserve"> volunteers his time to junior sports development, providing guidance for young boys.</w:t>
            </w:r>
            <w:bookmarkEnd w:id="1"/>
            <w:r w:rsidRPr="003A5B70">
              <w:rPr>
                <w:szCs w:val="20"/>
              </w:rPr>
              <w:t xml:space="preserve"> </w:t>
            </w:r>
            <w:r w:rsidRPr="003A5B70">
              <w:rPr>
                <w:rFonts w:cs="Arial"/>
                <w:szCs w:val="20"/>
              </w:rPr>
              <w:t>On 26 January 2015 Coen Commissioner Port was awarded a Medal of the Order of Australia (OAM) in recognition of his services to the community.</w:t>
            </w:r>
          </w:p>
          <w:p w14:paraId="1041A8D1" w14:textId="222E9576" w:rsidR="00416C1F" w:rsidRDefault="00416C1F" w:rsidP="00047560">
            <w:pPr>
              <w:rPr>
                <w:rFonts w:cs="Arial"/>
                <w:bCs/>
                <w:szCs w:val="20"/>
              </w:rPr>
            </w:pPr>
            <w:r w:rsidRPr="003A5B70">
              <w:rPr>
                <w:b/>
                <w:iCs/>
                <w:szCs w:val="20"/>
              </w:rPr>
              <w:t>Commissioner May Mary KEPPLE OAM</w:t>
            </w:r>
            <w:r w:rsidRPr="003A5B70">
              <w:rPr>
                <w:szCs w:val="20"/>
              </w:rPr>
              <w:t xml:space="preserve"> </w:t>
            </w:r>
            <w:r w:rsidRPr="003A5B70">
              <w:rPr>
                <w:bCs/>
                <w:szCs w:val="20"/>
              </w:rPr>
              <w:t>(</w:t>
            </w:r>
            <w:proofErr w:type="spellStart"/>
            <w:r w:rsidRPr="003A5B70">
              <w:rPr>
                <w:szCs w:val="20"/>
              </w:rPr>
              <w:t>Wik-Munkan</w:t>
            </w:r>
            <w:proofErr w:type="spellEnd"/>
            <w:r w:rsidRPr="003A5B70">
              <w:rPr>
                <w:szCs w:val="20"/>
              </w:rPr>
              <w:t xml:space="preserve"> Clan) is a Justice of the Peace (Qualified) and the Recognised Entity for Child Safety in Coen. Commissioner Kepple has had a variety of positions in retail and sales. She enjoys painting on canvas and previously managed the </w:t>
            </w:r>
            <w:proofErr w:type="spellStart"/>
            <w:r w:rsidRPr="003A5B70">
              <w:rPr>
                <w:szCs w:val="20"/>
              </w:rPr>
              <w:t>Wunthulpu</w:t>
            </w:r>
            <w:proofErr w:type="spellEnd"/>
            <w:r w:rsidRPr="003A5B70">
              <w:rPr>
                <w:szCs w:val="20"/>
              </w:rPr>
              <w:t xml:space="preserve"> Visitor Centre in Coen. As an accredited foster carer since 2007 she remains committed to the welfare of children, ensuring they receive opportunities for self-development and a bright future. From February 2014 </w:t>
            </w:r>
            <w:r w:rsidRPr="003A5B70">
              <w:rPr>
                <w:rFonts w:cs="Arial"/>
                <w:bCs/>
                <w:szCs w:val="20"/>
              </w:rPr>
              <w:t xml:space="preserve">Commissioner Kepple worked part-time with RAATSICC (Cape York/Gulf Remote Area Aboriginal &amp; Torres Strait Islander Child Care) as a Community Recognised Entity, and in 2018 worked on an </w:t>
            </w:r>
            <w:r w:rsidR="007530B3" w:rsidRPr="003A5B70">
              <w:rPr>
                <w:rFonts w:cs="Arial"/>
                <w:bCs/>
                <w:szCs w:val="20"/>
              </w:rPr>
              <w:t>on-call basis</w:t>
            </w:r>
          </w:p>
          <w:p w14:paraId="41F618B7" w14:textId="77777777" w:rsidR="00416C1F" w:rsidRDefault="00416C1F" w:rsidP="00047560">
            <w:pPr>
              <w:rPr>
                <w:rFonts w:cs="Arial"/>
                <w:bCs/>
                <w:szCs w:val="20"/>
              </w:rPr>
            </w:pPr>
          </w:p>
          <w:p w14:paraId="191F0690" w14:textId="77777777" w:rsidR="00416C1F" w:rsidRDefault="00416C1F" w:rsidP="00047560">
            <w:pPr>
              <w:rPr>
                <w:rFonts w:cs="Arial"/>
                <w:bCs/>
                <w:szCs w:val="20"/>
              </w:rPr>
            </w:pPr>
          </w:p>
          <w:p w14:paraId="564B933C" w14:textId="77777777" w:rsidR="00416C1F" w:rsidRDefault="00416C1F" w:rsidP="00047560">
            <w:pPr>
              <w:rPr>
                <w:rFonts w:cs="Arial"/>
                <w:bCs/>
                <w:szCs w:val="20"/>
              </w:rPr>
            </w:pPr>
          </w:p>
          <w:p w14:paraId="2C5C453B" w14:textId="77777777" w:rsidR="00416C1F" w:rsidRDefault="00416C1F" w:rsidP="00047560">
            <w:pPr>
              <w:rPr>
                <w:rFonts w:cs="Arial"/>
                <w:bCs/>
                <w:szCs w:val="20"/>
              </w:rPr>
            </w:pPr>
          </w:p>
          <w:p w14:paraId="6AD8B981" w14:textId="77777777" w:rsidR="00416C1F" w:rsidRDefault="00416C1F" w:rsidP="00047560">
            <w:pPr>
              <w:rPr>
                <w:rFonts w:cs="Arial"/>
                <w:bCs/>
                <w:szCs w:val="20"/>
              </w:rPr>
            </w:pPr>
          </w:p>
          <w:p w14:paraId="1751783C" w14:textId="77777777" w:rsidR="001E3006" w:rsidRDefault="001E3006" w:rsidP="00047560">
            <w:pPr>
              <w:rPr>
                <w:rFonts w:cs="Arial"/>
                <w:bCs/>
                <w:szCs w:val="20"/>
              </w:rPr>
            </w:pPr>
          </w:p>
          <w:p w14:paraId="2B7E5EB4" w14:textId="0B27FBA5" w:rsidR="00416C1F" w:rsidRPr="003C3261" w:rsidRDefault="00416C1F" w:rsidP="00047560">
            <w:pPr>
              <w:rPr>
                <w:b/>
                <w:bCs/>
                <w:szCs w:val="20"/>
              </w:rPr>
            </w:pPr>
            <w:r w:rsidRPr="003A5B70">
              <w:rPr>
                <w:szCs w:val="20"/>
              </w:rPr>
              <w:lastRenderedPageBreak/>
              <w:t xml:space="preserve">Care Centre, Community Engagement Officer with the Royal Flying Doctor Service (RFDS) and </w:t>
            </w:r>
            <w:proofErr w:type="spellStart"/>
            <w:r w:rsidRPr="003A5B70">
              <w:rPr>
                <w:szCs w:val="20"/>
              </w:rPr>
              <w:t>Apunipima</w:t>
            </w:r>
            <w:proofErr w:type="spellEnd"/>
            <w:r w:rsidRPr="003A5B70">
              <w:rPr>
                <w:szCs w:val="20"/>
              </w:rPr>
              <w:t xml:space="preserve"> Cape York Health Council at the Coen Wellbeing Centre. </w:t>
            </w:r>
            <w:r w:rsidR="008F6148">
              <w:rPr>
                <w:szCs w:val="20"/>
              </w:rPr>
              <w:t>Coen</w:t>
            </w:r>
            <w:r w:rsidRPr="003A5B70">
              <w:rPr>
                <w:szCs w:val="20"/>
              </w:rPr>
              <w:t xml:space="preserve"> Commissioner Alison Liddy is currently employed at the </w:t>
            </w:r>
            <w:proofErr w:type="spellStart"/>
            <w:r w:rsidRPr="003A5B70">
              <w:rPr>
                <w:szCs w:val="20"/>
              </w:rPr>
              <w:t>Yintjinnga</w:t>
            </w:r>
            <w:proofErr w:type="spellEnd"/>
            <w:r w:rsidRPr="003A5B70">
              <w:rPr>
                <w:szCs w:val="20"/>
              </w:rPr>
              <w:t xml:space="preserve"> Aboriginal Corporation and the Lama </w:t>
            </w:r>
            <w:proofErr w:type="spellStart"/>
            <w:r w:rsidRPr="003A5B70">
              <w:rPr>
                <w:szCs w:val="20"/>
              </w:rPr>
              <w:t>Lama</w:t>
            </w:r>
            <w:proofErr w:type="spellEnd"/>
            <w:r w:rsidRPr="003A5B70">
              <w:rPr>
                <w:szCs w:val="20"/>
              </w:rPr>
              <w:t xml:space="preserve"> Ranger Service. Working locally in Coen for many years and being involved in the community has enabled her to gain a broad understanding of the issues that affect those living in Coen. Her interest in becoming a Local Commissioner was inspired through her sister, Elaine Liddy, who has been a Coen Commissioner since the commencement of the Commission in 2008.</w:t>
            </w:r>
          </w:p>
          <w:p w14:paraId="2A03EF1E" w14:textId="1B04A4A2" w:rsidR="00416C1F" w:rsidRPr="003A5B70" w:rsidRDefault="00416C1F" w:rsidP="00047560">
            <w:pPr>
              <w:rPr>
                <w:szCs w:val="20"/>
              </w:rPr>
            </w:pPr>
            <w:r w:rsidRPr="003A5B70">
              <w:rPr>
                <w:b/>
                <w:szCs w:val="20"/>
              </w:rPr>
              <w:t>Commissioner Maureen LIDDY</w:t>
            </w:r>
            <w:r w:rsidRPr="003A5B70">
              <w:rPr>
                <w:szCs w:val="20"/>
              </w:rPr>
              <w:t xml:space="preserve"> (Lama </w:t>
            </w:r>
            <w:proofErr w:type="spellStart"/>
            <w:r w:rsidRPr="003A5B70">
              <w:rPr>
                <w:szCs w:val="20"/>
              </w:rPr>
              <w:t>Lama</w:t>
            </w:r>
            <w:proofErr w:type="spellEnd"/>
            <w:r w:rsidRPr="003A5B70">
              <w:rPr>
                <w:szCs w:val="20"/>
              </w:rPr>
              <w:t xml:space="preserve"> Clan) also commenced with the Commission on 14 May 2015. Coen Commissioner Maureen Liddy has worked extensively</w:t>
            </w:r>
            <w:r>
              <w:rPr>
                <w:szCs w:val="20"/>
              </w:rPr>
              <w:t xml:space="preserve"> </w:t>
            </w:r>
            <w:r w:rsidRPr="003A5B70">
              <w:rPr>
                <w:szCs w:val="20"/>
              </w:rPr>
              <w:t xml:space="preserve">with families and children across Cape York. Commissioner </w:t>
            </w:r>
            <w:r w:rsidR="002B04ED">
              <w:rPr>
                <w:szCs w:val="20"/>
              </w:rPr>
              <w:t xml:space="preserve">Maureen </w:t>
            </w:r>
            <w:r w:rsidRPr="003A5B70">
              <w:rPr>
                <w:szCs w:val="20"/>
              </w:rPr>
              <w:t xml:space="preserve">Liddy taught at </w:t>
            </w:r>
            <w:proofErr w:type="gramStart"/>
            <w:r w:rsidRPr="003A5B70">
              <w:rPr>
                <w:szCs w:val="20"/>
              </w:rPr>
              <w:t>a number of</w:t>
            </w:r>
            <w:proofErr w:type="gramEnd"/>
            <w:r w:rsidRPr="003A5B70">
              <w:rPr>
                <w:szCs w:val="20"/>
              </w:rPr>
              <w:t xml:space="preserve"> schools in the far north, including Bloomfield River State School where she became the Acting Principal. She was the Coen State School Principal for some five years and then was the Hope Vale State School Principal. For four years in Hope Vale she was seconded to DATSIP’s Cape York Strategy Unit as part of the Government Champions program where she coordinated the Negotiation Tables throughout Cape York between the communities and their Government Champions. She resigned as the Principal of Hope Vale State School and took on the role of Transition Officer for the Department of Education, assisting in moving children from primary schools to secondary schooling, and even further education.</w:t>
            </w:r>
          </w:p>
          <w:p w14:paraId="73F90F90" w14:textId="5881ABD2" w:rsidR="00416C1F" w:rsidRDefault="00416C1F" w:rsidP="00047560">
            <w:pPr>
              <w:rPr>
                <w:szCs w:val="20"/>
              </w:rPr>
            </w:pPr>
            <w:r w:rsidRPr="003A5B70">
              <w:rPr>
                <w:szCs w:val="20"/>
              </w:rPr>
              <w:t xml:space="preserve">In 2010 Coen Commissioner </w:t>
            </w:r>
            <w:r w:rsidR="00DF751B">
              <w:rPr>
                <w:szCs w:val="20"/>
              </w:rPr>
              <w:t xml:space="preserve">Maureen </w:t>
            </w:r>
            <w:r w:rsidRPr="003A5B70">
              <w:rPr>
                <w:szCs w:val="20"/>
              </w:rPr>
              <w:t xml:space="preserve">Liddy resigned again from active teaching and took up an appointment with Cape York Partnership as a manager involved with the academy schools and teachers, helping them to become familiar with and proficient in direct instruction teaching. In 2013 she began working for the RFDS in Coen as a Community Development Officer and in 2015 moved to the position of Services Coordinator. On 1 April 2017 </w:t>
            </w:r>
            <w:r w:rsidR="00F156A8" w:rsidRPr="003A5B70">
              <w:rPr>
                <w:szCs w:val="20"/>
              </w:rPr>
              <w:t>Commissioner</w:t>
            </w:r>
          </w:p>
          <w:p w14:paraId="04E2BA06" w14:textId="77777777" w:rsidR="004B5B3B" w:rsidRDefault="004B5B3B" w:rsidP="00047560"/>
          <w:p w14:paraId="54EDB1CB" w14:textId="77777777" w:rsidR="00416C1F" w:rsidRPr="004B5B3B" w:rsidRDefault="00416C1F" w:rsidP="00047560">
            <w:pPr>
              <w:rPr>
                <w:rStyle w:val="Heading4Char"/>
                <w:rFonts w:eastAsia="Times New Roman" w:cs="Times New Roman"/>
                <w:b w:val="0"/>
                <w:bCs/>
                <w:iCs w:val="0"/>
                <w:color w:val="auto"/>
                <w:szCs w:val="20"/>
              </w:rPr>
            </w:pPr>
          </w:p>
        </w:tc>
        <w:tc>
          <w:tcPr>
            <w:tcW w:w="4252" w:type="dxa"/>
          </w:tcPr>
          <w:p w14:paraId="3DCA900A" w14:textId="77777777" w:rsidR="00416C1F" w:rsidRPr="003A5B70" w:rsidRDefault="00416C1F" w:rsidP="00047560">
            <w:pPr>
              <w:rPr>
                <w:szCs w:val="20"/>
              </w:rPr>
            </w:pPr>
            <w:r w:rsidRPr="003A5B70">
              <w:rPr>
                <w:rFonts w:cs="Arial"/>
                <w:szCs w:val="20"/>
              </w:rPr>
              <w:lastRenderedPageBreak/>
              <w:t xml:space="preserve">On 26 January 2015 Aurukun Commissioner </w:t>
            </w:r>
            <w:proofErr w:type="spellStart"/>
            <w:r w:rsidRPr="003A5B70">
              <w:rPr>
                <w:rFonts w:cs="Arial"/>
                <w:szCs w:val="20"/>
              </w:rPr>
              <w:t>Koomeeta</w:t>
            </w:r>
            <w:proofErr w:type="spellEnd"/>
            <w:r w:rsidRPr="003A5B70">
              <w:rPr>
                <w:rFonts w:cs="Arial"/>
                <w:szCs w:val="20"/>
              </w:rPr>
              <w:t xml:space="preserve"> was awarded a Medal of the Order of Australia (OAM) in recognition of her services to the community. </w:t>
            </w:r>
            <w:r w:rsidRPr="003A5B70">
              <w:rPr>
                <w:szCs w:val="20"/>
              </w:rPr>
              <w:t xml:space="preserve">She is a Justice of the Peace (Magistrates Court) and a registered interpreter as well as a member of the Aurukun Community Justice Group. As the representative of her clan group she is involved in several committees and holds positions on </w:t>
            </w:r>
            <w:proofErr w:type="gramStart"/>
            <w:r w:rsidRPr="003A5B70">
              <w:rPr>
                <w:szCs w:val="20"/>
              </w:rPr>
              <w:t>a number of</w:t>
            </w:r>
            <w:proofErr w:type="gramEnd"/>
            <w:r w:rsidRPr="003A5B70">
              <w:rPr>
                <w:szCs w:val="20"/>
              </w:rPr>
              <w:t xml:space="preserve"> boards. Aurukun Commissioner </w:t>
            </w:r>
            <w:proofErr w:type="spellStart"/>
            <w:r w:rsidRPr="003A5B70">
              <w:rPr>
                <w:szCs w:val="20"/>
              </w:rPr>
              <w:t>Koomeeta’s</w:t>
            </w:r>
            <w:proofErr w:type="spellEnd"/>
            <w:r w:rsidRPr="003A5B70">
              <w:rPr>
                <w:szCs w:val="20"/>
              </w:rPr>
              <w:t xml:space="preserve"> experience assists in her ability to make independent and informed decisions as a Local Commissioner. When not working, she can be found spending time with her three grandchildren, camping and fishing.</w:t>
            </w:r>
          </w:p>
          <w:p w14:paraId="1F049A90" w14:textId="4F01681B" w:rsidR="00416C1F" w:rsidRPr="003A5B70" w:rsidRDefault="00416C1F" w:rsidP="00047560">
            <w:pPr>
              <w:spacing w:before="120"/>
              <w:rPr>
                <w:rFonts w:cs="Arial"/>
                <w:szCs w:val="20"/>
              </w:rPr>
            </w:pPr>
            <w:r w:rsidRPr="003A5B70">
              <w:rPr>
                <w:rFonts w:cs="Arial"/>
                <w:b/>
                <w:szCs w:val="20"/>
              </w:rPr>
              <w:t xml:space="preserve">Commissioner Keri TAMWOY </w:t>
            </w:r>
            <w:r w:rsidRPr="003A5B70">
              <w:rPr>
                <w:rFonts w:cs="Arial"/>
                <w:szCs w:val="20"/>
              </w:rPr>
              <w:t xml:space="preserve">(Putch Clan) although born in Cairns has lived her entire life in Aurukun where she has raised her family. Commissioner </w:t>
            </w:r>
            <w:proofErr w:type="spellStart"/>
            <w:r w:rsidRPr="003A5B70">
              <w:rPr>
                <w:rFonts w:cs="Arial"/>
                <w:szCs w:val="20"/>
              </w:rPr>
              <w:t>Tamwoy</w:t>
            </w:r>
            <w:proofErr w:type="spellEnd"/>
            <w:r w:rsidRPr="003A5B70">
              <w:rPr>
                <w:rFonts w:cs="Arial"/>
                <w:szCs w:val="20"/>
              </w:rPr>
              <w:t xml:space="preserve"> is a qualified mediator and is currently running the mediation program in Aurukun. This program has been a huge success in bringing families together to resolve issues without resorting to violence.</w:t>
            </w:r>
          </w:p>
          <w:p w14:paraId="0EAA525E" w14:textId="77777777" w:rsidR="00416C1F" w:rsidRPr="003A5B70" w:rsidRDefault="00416C1F" w:rsidP="00047560">
            <w:pPr>
              <w:spacing w:before="120"/>
              <w:rPr>
                <w:rFonts w:cs="Arial"/>
                <w:szCs w:val="20"/>
              </w:rPr>
            </w:pPr>
            <w:r w:rsidRPr="003A5B70">
              <w:rPr>
                <w:rFonts w:cs="Arial"/>
                <w:szCs w:val="20"/>
              </w:rPr>
              <w:t xml:space="preserve">Commissioner </w:t>
            </w:r>
            <w:proofErr w:type="spellStart"/>
            <w:r w:rsidRPr="003A5B70">
              <w:rPr>
                <w:rFonts w:cs="Arial"/>
                <w:szCs w:val="20"/>
              </w:rPr>
              <w:t>Tamwoy</w:t>
            </w:r>
            <w:proofErr w:type="spellEnd"/>
            <w:r w:rsidRPr="003A5B70">
              <w:rPr>
                <w:rFonts w:cs="Arial"/>
                <w:szCs w:val="20"/>
              </w:rPr>
              <w:t xml:space="preserve"> met her husband, Gerald </w:t>
            </w:r>
            <w:proofErr w:type="spellStart"/>
            <w:r w:rsidRPr="003A5B70">
              <w:rPr>
                <w:rFonts w:cs="Arial"/>
                <w:szCs w:val="20"/>
              </w:rPr>
              <w:t>Tamwoy</w:t>
            </w:r>
            <w:proofErr w:type="spellEnd"/>
            <w:r w:rsidRPr="003A5B70">
              <w:rPr>
                <w:rFonts w:cs="Arial"/>
                <w:szCs w:val="20"/>
              </w:rPr>
              <w:t>, when they were 17 years old. They have now been married for 12 years and have six children.</w:t>
            </w:r>
          </w:p>
          <w:p w14:paraId="3726A1A3" w14:textId="5667D5D3" w:rsidR="00416C1F" w:rsidRPr="003A5B70" w:rsidRDefault="00922BBB" w:rsidP="00047560">
            <w:pPr>
              <w:spacing w:before="120"/>
              <w:rPr>
                <w:rFonts w:cs="Arial"/>
                <w:szCs w:val="20"/>
              </w:rPr>
            </w:pPr>
            <w:r>
              <w:rPr>
                <w:rFonts w:cs="Arial"/>
                <w:szCs w:val="20"/>
              </w:rPr>
              <w:t xml:space="preserve">Aurukun Commissioner </w:t>
            </w:r>
            <w:proofErr w:type="spellStart"/>
            <w:r>
              <w:rPr>
                <w:rFonts w:cs="Arial"/>
                <w:szCs w:val="20"/>
              </w:rPr>
              <w:t>Tam</w:t>
            </w:r>
            <w:r w:rsidR="00400CDE">
              <w:rPr>
                <w:rFonts w:cs="Arial"/>
                <w:szCs w:val="20"/>
              </w:rPr>
              <w:t>woy</w:t>
            </w:r>
            <w:proofErr w:type="spellEnd"/>
            <w:r w:rsidR="00416C1F" w:rsidRPr="003A5B70">
              <w:rPr>
                <w:rFonts w:cs="Arial"/>
                <w:szCs w:val="20"/>
              </w:rPr>
              <w:t xml:space="preserve"> has previously worked as the Office Manager for the </w:t>
            </w:r>
            <w:proofErr w:type="spellStart"/>
            <w:r w:rsidR="00416C1F" w:rsidRPr="003A5B70">
              <w:rPr>
                <w:rFonts w:cs="Arial"/>
                <w:szCs w:val="20"/>
              </w:rPr>
              <w:t>Aak</w:t>
            </w:r>
            <w:proofErr w:type="spellEnd"/>
            <w:r w:rsidR="00416C1F" w:rsidRPr="003A5B70">
              <w:rPr>
                <w:rFonts w:cs="Arial"/>
                <w:szCs w:val="20"/>
              </w:rPr>
              <w:t xml:space="preserve"> </w:t>
            </w:r>
            <w:proofErr w:type="spellStart"/>
            <w:r w:rsidR="00416C1F" w:rsidRPr="003A5B70">
              <w:rPr>
                <w:rFonts w:cs="Arial"/>
                <w:szCs w:val="20"/>
              </w:rPr>
              <w:t>Puul</w:t>
            </w:r>
            <w:proofErr w:type="spellEnd"/>
            <w:r w:rsidR="00416C1F" w:rsidRPr="003A5B70">
              <w:rPr>
                <w:rFonts w:cs="Arial"/>
                <w:szCs w:val="20"/>
              </w:rPr>
              <w:t xml:space="preserve"> </w:t>
            </w:r>
            <w:proofErr w:type="spellStart"/>
            <w:r w:rsidR="00416C1F" w:rsidRPr="003A5B70">
              <w:rPr>
                <w:rFonts w:cs="Arial"/>
                <w:szCs w:val="20"/>
              </w:rPr>
              <w:t>Ngantam</w:t>
            </w:r>
            <w:proofErr w:type="spellEnd"/>
            <w:r w:rsidR="00416C1F" w:rsidRPr="003A5B70">
              <w:rPr>
                <w:rFonts w:cs="Arial"/>
                <w:szCs w:val="20"/>
              </w:rPr>
              <w:t xml:space="preserve"> ranger program </w:t>
            </w:r>
            <w:proofErr w:type="gramStart"/>
            <w:r w:rsidR="00416C1F" w:rsidRPr="003A5B70">
              <w:rPr>
                <w:rFonts w:cs="Arial"/>
                <w:szCs w:val="20"/>
              </w:rPr>
              <w:t>and also</w:t>
            </w:r>
            <w:proofErr w:type="gramEnd"/>
            <w:r w:rsidR="00416C1F" w:rsidRPr="003A5B70">
              <w:rPr>
                <w:rFonts w:cs="Arial"/>
                <w:szCs w:val="20"/>
              </w:rPr>
              <w:t xml:space="preserve"> as an Administration Officer in her husband’s business. Her current role as mediator is where her passion </w:t>
            </w:r>
            <w:proofErr w:type="gramStart"/>
            <w:r w:rsidR="00416C1F" w:rsidRPr="003A5B70">
              <w:rPr>
                <w:rFonts w:cs="Arial"/>
                <w:szCs w:val="20"/>
              </w:rPr>
              <w:t>lies</w:t>
            </w:r>
            <w:proofErr w:type="gramEnd"/>
            <w:r w:rsidR="00416C1F" w:rsidRPr="003A5B70">
              <w:rPr>
                <w:rFonts w:cs="Arial"/>
                <w:szCs w:val="20"/>
              </w:rPr>
              <w:t xml:space="preserve"> and she is extremely committed to supporting the </w:t>
            </w:r>
            <w:proofErr w:type="spellStart"/>
            <w:r w:rsidR="00416C1F" w:rsidRPr="003A5B70">
              <w:rPr>
                <w:rFonts w:cs="Arial"/>
                <w:szCs w:val="20"/>
              </w:rPr>
              <w:t>Wik</w:t>
            </w:r>
            <w:proofErr w:type="spellEnd"/>
            <w:r w:rsidR="00416C1F" w:rsidRPr="003A5B70">
              <w:rPr>
                <w:rFonts w:cs="Arial"/>
                <w:szCs w:val="20"/>
              </w:rPr>
              <w:t xml:space="preserve"> people of Aurukun and empowering them to grow and improve their community into the future. </w:t>
            </w:r>
            <w:r w:rsidR="00400CDE" w:rsidRPr="003A5B70">
              <w:rPr>
                <w:rFonts w:cs="Arial"/>
                <w:szCs w:val="20"/>
              </w:rPr>
              <w:t xml:space="preserve">Commissioner </w:t>
            </w:r>
            <w:proofErr w:type="spellStart"/>
            <w:r w:rsidR="00400CDE" w:rsidRPr="003A5B70">
              <w:rPr>
                <w:rFonts w:cs="Arial"/>
                <w:szCs w:val="20"/>
              </w:rPr>
              <w:t>Tamwoy</w:t>
            </w:r>
            <w:proofErr w:type="spellEnd"/>
            <w:r w:rsidR="00400CDE" w:rsidRPr="003A5B70">
              <w:rPr>
                <w:rFonts w:cs="Arial"/>
                <w:szCs w:val="20"/>
              </w:rPr>
              <w:t xml:space="preserve"> </w:t>
            </w:r>
            <w:r w:rsidR="00416C1F" w:rsidRPr="003A5B70">
              <w:rPr>
                <w:rFonts w:cs="Arial"/>
                <w:szCs w:val="20"/>
              </w:rPr>
              <w:t>enjoys fishing and camping when she can find the spare time, or just a quiet day at home watching movies with her three grandchildren.</w:t>
            </w:r>
          </w:p>
          <w:p w14:paraId="22E1B3A5" w14:textId="77777777" w:rsidR="00416C1F" w:rsidRPr="003A5B70" w:rsidRDefault="00416C1F" w:rsidP="00047560">
            <w:pPr>
              <w:rPr>
                <w:szCs w:val="20"/>
              </w:rPr>
            </w:pPr>
          </w:p>
          <w:p w14:paraId="47B58666" w14:textId="77777777" w:rsidR="00416C1F" w:rsidRPr="003A5B70" w:rsidRDefault="00416C1F" w:rsidP="00047560">
            <w:pPr>
              <w:rPr>
                <w:szCs w:val="20"/>
              </w:rPr>
            </w:pPr>
          </w:p>
          <w:p w14:paraId="19F1DF82" w14:textId="77777777" w:rsidR="00416C1F" w:rsidRPr="003A5B70" w:rsidRDefault="00416C1F" w:rsidP="00047560">
            <w:pPr>
              <w:rPr>
                <w:szCs w:val="20"/>
              </w:rPr>
            </w:pPr>
          </w:p>
          <w:p w14:paraId="6F1839A4" w14:textId="77777777" w:rsidR="00416C1F" w:rsidRPr="003A5B70" w:rsidRDefault="00416C1F" w:rsidP="00047560">
            <w:pPr>
              <w:rPr>
                <w:szCs w:val="20"/>
              </w:rPr>
            </w:pPr>
          </w:p>
          <w:p w14:paraId="0F684A5B" w14:textId="77777777" w:rsidR="00416C1F" w:rsidRPr="003A5B70" w:rsidRDefault="00416C1F" w:rsidP="00047560">
            <w:pPr>
              <w:rPr>
                <w:szCs w:val="20"/>
              </w:rPr>
            </w:pPr>
          </w:p>
          <w:p w14:paraId="2EF94F9D" w14:textId="77777777" w:rsidR="00416C1F" w:rsidRPr="003A5B70" w:rsidRDefault="00416C1F" w:rsidP="00047560">
            <w:pPr>
              <w:rPr>
                <w:szCs w:val="20"/>
              </w:rPr>
            </w:pPr>
          </w:p>
          <w:p w14:paraId="2D70099C" w14:textId="1742140D" w:rsidR="00416C1F" w:rsidRDefault="00416C1F" w:rsidP="00047560">
            <w:pPr>
              <w:rPr>
                <w:szCs w:val="20"/>
              </w:rPr>
            </w:pPr>
          </w:p>
          <w:p w14:paraId="5D0802C6" w14:textId="77777777" w:rsidR="00AC305D" w:rsidRPr="003A5B70" w:rsidRDefault="00AC305D" w:rsidP="00047560">
            <w:pPr>
              <w:rPr>
                <w:szCs w:val="20"/>
              </w:rPr>
            </w:pPr>
          </w:p>
          <w:p w14:paraId="3E2D7BC4" w14:textId="77777777" w:rsidR="00416C1F" w:rsidRPr="003A5B70" w:rsidRDefault="00416C1F" w:rsidP="00047560">
            <w:pPr>
              <w:rPr>
                <w:b/>
                <w:szCs w:val="20"/>
                <w:highlight w:val="yellow"/>
              </w:rPr>
            </w:pPr>
          </w:p>
          <w:p w14:paraId="71F1DCBA" w14:textId="45D1F19B" w:rsidR="00416C1F" w:rsidRPr="003A5B70" w:rsidRDefault="00416C1F" w:rsidP="00047560">
            <w:pPr>
              <w:rPr>
                <w:szCs w:val="20"/>
              </w:rPr>
            </w:pPr>
            <w:bookmarkStart w:id="2" w:name="_Hlk8982200"/>
            <w:r w:rsidRPr="003A5B70">
              <w:rPr>
                <w:rFonts w:cs="Arial"/>
                <w:bCs/>
                <w:szCs w:val="20"/>
              </w:rPr>
              <w:lastRenderedPageBreak/>
              <w:t xml:space="preserve">for the organisation. </w:t>
            </w:r>
            <w:r w:rsidR="00724085">
              <w:rPr>
                <w:rFonts w:cs="Arial"/>
                <w:bCs/>
                <w:szCs w:val="20"/>
              </w:rPr>
              <w:t xml:space="preserve">Coen </w:t>
            </w:r>
            <w:r w:rsidRPr="003A5B70">
              <w:rPr>
                <w:rFonts w:cs="Arial"/>
                <w:bCs/>
                <w:szCs w:val="20"/>
              </w:rPr>
              <w:t>Commissioner Kepple is currently working for the Department of Justice and Attorney-General as a Domestic Violence Engagement Officer. She is responsible for providing court support to the Justice Group Coordinator and clients, and networking with other stakeholders to advocate for clients in relation to referrals, programs and activities.</w:t>
            </w:r>
          </w:p>
          <w:p w14:paraId="66ADB332" w14:textId="33FFC2A7" w:rsidR="00416C1F" w:rsidRPr="003A5B70" w:rsidRDefault="00416C1F" w:rsidP="00047560">
            <w:pPr>
              <w:rPr>
                <w:rFonts w:cs="Arial"/>
                <w:szCs w:val="20"/>
              </w:rPr>
            </w:pPr>
            <w:r w:rsidRPr="003A5B70">
              <w:rPr>
                <w:rFonts w:cs="Arial"/>
                <w:szCs w:val="20"/>
              </w:rPr>
              <w:t xml:space="preserve">On 26 January 2015 Coen Commissioner Kepple was awarded a Medal of the Order of Australia (OAM) in recognition of her services to the community. </w:t>
            </w:r>
            <w:r w:rsidRPr="003A5B70">
              <w:rPr>
                <w:szCs w:val="20"/>
              </w:rPr>
              <w:t>Commissioner Kepple spends her weekends on country with her daughter and grandchildren passing on culture and the ways of the Elders.</w:t>
            </w:r>
          </w:p>
          <w:p w14:paraId="30C06719" w14:textId="0F935A7A" w:rsidR="00416C1F" w:rsidRPr="003A5B70" w:rsidRDefault="00416C1F" w:rsidP="00047560">
            <w:pPr>
              <w:rPr>
                <w:szCs w:val="20"/>
              </w:rPr>
            </w:pPr>
            <w:r w:rsidRPr="003A5B70">
              <w:rPr>
                <w:b/>
                <w:szCs w:val="20"/>
              </w:rPr>
              <w:t xml:space="preserve">Commissioner Elaine Louise LIDDY OAM </w:t>
            </w:r>
            <w:r w:rsidRPr="003A5B70">
              <w:rPr>
                <w:szCs w:val="20"/>
              </w:rPr>
              <w:t xml:space="preserve">(Lama </w:t>
            </w:r>
            <w:proofErr w:type="spellStart"/>
            <w:r w:rsidRPr="003A5B70">
              <w:rPr>
                <w:szCs w:val="20"/>
              </w:rPr>
              <w:t>Lama</w:t>
            </w:r>
            <w:proofErr w:type="spellEnd"/>
            <w:r w:rsidRPr="003A5B70">
              <w:rPr>
                <w:szCs w:val="20"/>
              </w:rPr>
              <w:t xml:space="preserve"> Clan) was born in Cairns. She is a fluent </w:t>
            </w:r>
            <w:proofErr w:type="spellStart"/>
            <w:r w:rsidRPr="003A5B70">
              <w:rPr>
                <w:szCs w:val="20"/>
              </w:rPr>
              <w:t>Umpithamu</w:t>
            </w:r>
            <w:proofErr w:type="spellEnd"/>
            <w:r w:rsidRPr="003A5B70">
              <w:rPr>
                <w:szCs w:val="20"/>
              </w:rPr>
              <w:t xml:space="preserve"> language speaker and has contributed to the dictionary of the </w:t>
            </w:r>
            <w:proofErr w:type="spellStart"/>
            <w:r w:rsidRPr="003A5B70">
              <w:rPr>
                <w:szCs w:val="20"/>
              </w:rPr>
              <w:t>Umpithamu</w:t>
            </w:r>
            <w:proofErr w:type="spellEnd"/>
            <w:r w:rsidRPr="003A5B70">
              <w:rPr>
                <w:szCs w:val="20"/>
              </w:rPr>
              <w:t xml:space="preserve"> language. Coen Commissioner Elaine Liddy has been pivotal in establishing the Lama </w:t>
            </w:r>
            <w:proofErr w:type="spellStart"/>
            <w:r w:rsidRPr="003A5B70">
              <w:rPr>
                <w:szCs w:val="20"/>
              </w:rPr>
              <w:t>Lama</w:t>
            </w:r>
            <w:proofErr w:type="spellEnd"/>
            <w:r w:rsidRPr="003A5B70">
              <w:rPr>
                <w:szCs w:val="20"/>
              </w:rPr>
              <w:t xml:space="preserve"> Rangers who live and work on the Lama </w:t>
            </w:r>
            <w:proofErr w:type="spellStart"/>
            <w:r w:rsidRPr="003A5B70">
              <w:rPr>
                <w:szCs w:val="20"/>
              </w:rPr>
              <w:t>Lama</w:t>
            </w:r>
            <w:proofErr w:type="spellEnd"/>
            <w:r w:rsidRPr="003A5B70">
              <w:rPr>
                <w:szCs w:val="20"/>
              </w:rPr>
              <w:t xml:space="preserve"> homelands of Port Stewart and is now a full-time Cultural Heritage Adviser Team Leader. She is a Justice of the Peace (Qualified) and is a highly respected leader of the Lama </w:t>
            </w:r>
            <w:proofErr w:type="spellStart"/>
            <w:r w:rsidRPr="003A5B70">
              <w:rPr>
                <w:szCs w:val="20"/>
              </w:rPr>
              <w:t>Lama</w:t>
            </w:r>
            <w:proofErr w:type="spellEnd"/>
            <w:r w:rsidRPr="003A5B70">
              <w:rPr>
                <w:szCs w:val="20"/>
              </w:rPr>
              <w:t xml:space="preserve"> Clan. </w:t>
            </w:r>
            <w:r w:rsidRPr="003A5B70">
              <w:rPr>
                <w:rFonts w:cs="Arial"/>
                <w:szCs w:val="20"/>
              </w:rPr>
              <w:t xml:space="preserve">On 26 January 2015 Coen Commissioner </w:t>
            </w:r>
            <w:r w:rsidR="002A20B4">
              <w:rPr>
                <w:rFonts w:cs="Arial"/>
                <w:szCs w:val="20"/>
              </w:rPr>
              <w:t xml:space="preserve">Elaine </w:t>
            </w:r>
            <w:r w:rsidRPr="003A5B70">
              <w:rPr>
                <w:rFonts w:cs="Arial"/>
                <w:szCs w:val="20"/>
              </w:rPr>
              <w:t>Liddy was awarded a Medal of the Order of Australia (OAM) in recognition of her services to the community.</w:t>
            </w:r>
            <w:r w:rsidRPr="003A5B70">
              <w:rPr>
                <w:szCs w:val="20"/>
              </w:rPr>
              <w:t xml:space="preserve"> Commissioner Elaine Liddy devotes her spare time to the care of her homelands, and to passing on tradition and culture to future generations.</w:t>
            </w:r>
          </w:p>
          <w:p w14:paraId="603FED11" w14:textId="6941031D" w:rsidR="00416C1F" w:rsidRDefault="00416C1F" w:rsidP="00047560">
            <w:pPr>
              <w:rPr>
                <w:szCs w:val="20"/>
              </w:rPr>
            </w:pPr>
            <w:r w:rsidRPr="003A5B70">
              <w:rPr>
                <w:b/>
                <w:szCs w:val="20"/>
              </w:rPr>
              <w:t>Commissioner Alison LIDDY</w:t>
            </w:r>
            <w:r w:rsidRPr="003A5B70">
              <w:rPr>
                <w:szCs w:val="20"/>
              </w:rPr>
              <w:t xml:space="preserve"> (Lama </w:t>
            </w:r>
            <w:proofErr w:type="spellStart"/>
            <w:r w:rsidRPr="003A5B70">
              <w:rPr>
                <w:szCs w:val="20"/>
              </w:rPr>
              <w:t>Lama</w:t>
            </w:r>
            <w:proofErr w:type="spellEnd"/>
            <w:r w:rsidRPr="003A5B70">
              <w:rPr>
                <w:szCs w:val="20"/>
              </w:rPr>
              <w:t xml:space="preserve"> Clan) commenced with the Commission on 14 May 2015. Coen Commissioner Alison Liddy was born in Cairns and completed most of her schooling in North Queensland. Furthering her educational qualifications, Commissioner </w:t>
            </w:r>
            <w:r w:rsidR="00D93A78">
              <w:rPr>
                <w:szCs w:val="20"/>
              </w:rPr>
              <w:t xml:space="preserve">Alison </w:t>
            </w:r>
            <w:r w:rsidRPr="003A5B70">
              <w:rPr>
                <w:szCs w:val="20"/>
              </w:rPr>
              <w:t xml:space="preserve">Liddy attained a Certificate III in Indigenous Community Service and Primary Health Care. She has held many positions over the years, working in administrative roles as an Indigenous </w:t>
            </w:r>
            <w:r w:rsidR="00F57321" w:rsidRPr="003A5B70">
              <w:rPr>
                <w:szCs w:val="20"/>
              </w:rPr>
              <w:t>Health Worker with the Coen Primary Health</w:t>
            </w:r>
          </w:p>
          <w:p w14:paraId="0F768DDB" w14:textId="77777777" w:rsidR="00416C1F" w:rsidRDefault="00416C1F" w:rsidP="00047560">
            <w:pPr>
              <w:rPr>
                <w:szCs w:val="20"/>
              </w:rPr>
            </w:pPr>
          </w:p>
          <w:p w14:paraId="1816215E" w14:textId="77777777" w:rsidR="00416C1F" w:rsidRDefault="00416C1F" w:rsidP="00047560">
            <w:pPr>
              <w:rPr>
                <w:szCs w:val="20"/>
              </w:rPr>
            </w:pPr>
          </w:p>
          <w:p w14:paraId="240ADED4" w14:textId="77777777" w:rsidR="00416C1F" w:rsidRDefault="00416C1F" w:rsidP="00047560">
            <w:pPr>
              <w:rPr>
                <w:szCs w:val="20"/>
              </w:rPr>
            </w:pPr>
          </w:p>
          <w:p w14:paraId="50133006" w14:textId="77777777" w:rsidR="00416C1F" w:rsidRDefault="00416C1F" w:rsidP="00047560">
            <w:pPr>
              <w:rPr>
                <w:szCs w:val="20"/>
              </w:rPr>
            </w:pPr>
          </w:p>
          <w:p w14:paraId="0B263B30" w14:textId="673C4745" w:rsidR="00416C1F" w:rsidRDefault="00416C1F" w:rsidP="00047560">
            <w:pPr>
              <w:rPr>
                <w:szCs w:val="20"/>
              </w:rPr>
            </w:pPr>
          </w:p>
          <w:p w14:paraId="711E6742" w14:textId="3CD5288E" w:rsidR="006A71A4" w:rsidRDefault="006A71A4" w:rsidP="00047560">
            <w:pPr>
              <w:rPr>
                <w:szCs w:val="20"/>
              </w:rPr>
            </w:pPr>
            <w:r>
              <w:rPr>
                <w:szCs w:val="20"/>
              </w:rPr>
              <w:lastRenderedPageBreak/>
              <w:t xml:space="preserve">Maureen </w:t>
            </w:r>
            <w:r w:rsidRPr="003A5B70">
              <w:rPr>
                <w:szCs w:val="20"/>
              </w:rPr>
              <w:t>Liddy’s position</w:t>
            </w:r>
            <w:r>
              <w:rPr>
                <w:szCs w:val="20"/>
              </w:rPr>
              <w:t xml:space="preserve"> </w:t>
            </w:r>
            <w:r w:rsidRPr="003A5B70">
              <w:rPr>
                <w:szCs w:val="20"/>
              </w:rPr>
              <w:t xml:space="preserve">transitioned from the RFDS to the </w:t>
            </w:r>
            <w:proofErr w:type="spellStart"/>
            <w:r w:rsidRPr="003A5B70">
              <w:rPr>
                <w:szCs w:val="20"/>
              </w:rPr>
              <w:t>Apunipima</w:t>
            </w:r>
            <w:proofErr w:type="spellEnd"/>
            <w:r>
              <w:rPr>
                <w:szCs w:val="20"/>
              </w:rPr>
              <w:t xml:space="preserve"> </w:t>
            </w:r>
            <w:r w:rsidRPr="003A5B70">
              <w:rPr>
                <w:szCs w:val="20"/>
              </w:rPr>
              <w:t>Cape York Health Council as Team Leader</w:t>
            </w:r>
            <w:r>
              <w:rPr>
                <w:szCs w:val="20"/>
              </w:rPr>
              <w:t>.</w:t>
            </w:r>
          </w:p>
          <w:p w14:paraId="54B94E38" w14:textId="46421B4E" w:rsidR="00416C1F" w:rsidRDefault="00416C1F" w:rsidP="00047560">
            <w:pPr>
              <w:rPr>
                <w:szCs w:val="20"/>
              </w:rPr>
            </w:pPr>
            <w:r w:rsidRPr="003A5B70">
              <w:rPr>
                <w:szCs w:val="20"/>
              </w:rPr>
              <w:t xml:space="preserve">In April 2019 Commissioner </w:t>
            </w:r>
            <w:r w:rsidR="00DF751B">
              <w:rPr>
                <w:szCs w:val="20"/>
              </w:rPr>
              <w:t xml:space="preserve">Maureen </w:t>
            </w:r>
            <w:r w:rsidRPr="003A5B70">
              <w:rPr>
                <w:szCs w:val="20"/>
              </w:rPr>
              <w:t xml:space="preserve">Liddy resigned from her position with </w:t>
            </w:r>
            <w:proofErr w:type="spellStart"/>
            <w:r w:rsidRPr="003A5B70">
              <w:rPr>
                <w:szCs w:val="20"/>
              </w:rPr>
              <w:t>Apunipima</w:t>
            </w:r>
            <w:proofErr w:type="spellEnd"/>
            <w:r w:rsidRPr="003A5B70">
              <w:rPr>
                <w:szCs w:val="20"/>
              </w:rPr>
              <w:t xml:space="preserve"> Cape York Health Council and commenced in the role of</w:t>
            </w:r>
            <w:r>
              <w:rPr>
                <w:szCs w:val="20"/>
              </w:rPr>
              <w:t xml:space="preserve"> </w:t>
            </w:r>
            <w:r w:rsidRPr="003A5B70">
              <w:rPr>
                <w:szCs w:val="20"/>
              </w:rPr>
              <w:t>Community Partnership Engagement Manager with Good to Great Schools. On 26 January 2019 Coen Commissioner Maureen Liddy was awarded the Cook Shire Citizen of the Year in recognition of her work to improve the lives of Indigenous people in the Cook Shire.</w:t>
            </w:r>
          </w:p>
          <w:p w14:paraId="63FA9382" w14:textId="3728B2FA" w:rsidR="00416C1F" w:rsidRDefault="00416C1F" w:rsidP="00047560">
            <w:pPr>
              <w:rPr>
                <w:szCs w:val="20"/>
              </w:rPr>
            </w:pPr>
            <w:r w:rsidRPr="008E7494">
              <w:t xml:space="preserve">She holds a Graduate Diploma in Education and is a member of: the Coen Justice Group; the local Sports and Recreation Association; and the Advisory Committee to the Cook Shire Council. Commissioner Maureen Liddy’s personal interests include spending time with her family, camping, fishing, reading, </w:t>
            </w:r>
            <w:proofErr w:type="gramStart"/>
            <w:r w:rsidRPr="008E7494">
              <w:t>four wheel</w:t>
            </w:r>
            <w:proofErr w:type="gramEnd"/>
            <w:r w:rsidRPr="008E7494">
              <w:t xml:space="preserve"> driving and meeting people.</w:t>
            </w:r>
          </w:p>
          <w:bookmarkEnd w:id="2"/>
          <w:p w14:paraId="1EF9C1EA" w14:textId="77777777" w:rsidR="00416C1F" w:rsidRPr="00F2111F" w:rsidRDefault="00416C1F" w:rsidP="00F2111F">
            <w:pPr>
              <w:pStyle w:val="Heading2"/>
            </w:pPr>
            <w:r w:rsidRPr="00F2111F">
              <w:t>Doomadgee</w:t>
            </w:r>
          </w:p>
          <w:p w14:paraId="27E1D13B" w14:textId="0A323B2E" w:rsidR="00C20C14" w:rsidRDefault="00416C1F" w:rsidP="00047560">
            <w:r w:rsidRPr="00676F9F">
              <w:rPr>
                <w:rFonts w:cs="Arial"/>
                <w:b/>
                <w:bCs/>
              </w:rPr>
              <w:t>Commissioner Christopher LOGAN</w:t>
            </w:r>
            <w:r w:rsidRPr="008E7494">
              <w:t xml:space="preserve"> (</w:t>
            </w:r>
            <w:proofErr w:type="spellStart"/>
            <w:r w:rsidRPr="008E7494">
              <w:t>Garrawa</w:t>
            </w:r>
            <w:proofErr w:type="spellEnd"/>
            <w:r w:rsidRPr="008E7494">
              <w:t xml:space="preserve"> </w:t>
            </w:r>
            <w:proofErr w:type="spellStart"/>
            <w:r w:rsidRPr="008E7494">
              <w:t>Ghuthaarn</w:t>
            </w:r>
            <w:proofErr w:type="spellEnd"/>
            <w:r w:rsidRPr="008E7494">
              <w:t xml:space="preserve"> Clan) was born in Normanton and educated at Normanton State School to year 10 after which he moved to Doomadgee. Doomadgee Commissioner </w:t>
            </w:r>
            <w:r w:rsidR="002A20B4">
              <w:t xml:space="preserve">Christopher </w:t>
            </w:r>
            <w:r w:rsidRPr="008E7494">
              <w:t xml:space="preserve">Logan is married to Eleanor Logan, herself a Local Commissioner, and together they have had three children of their own, raised another two from a young age, and provided foster care for many more. </w:t>
            </w:r>
            <w:r w:rsidR="001B11BE">
              <w:t xml:space="preserve">Commissioner </w:t>
            </w:r>
            <w:r w:rsidRPr="008E7494">
              <w:t>Christopher</w:t>
            </w:r>
            <w:r w:rsidR="001B11BE">
              <w:t xml:space="preserve"> Logan’s</w:t>
            </w:r>
            <w:r>
              <w:t xml:space="preserve"> </w:t>
            </w:r>
            <w:r w:rsidRPr="008E7494">
              <w:t xml:space="preserve">working life has included employment as a stockman, carpenter, Community Police Officer, a storeman at the Doomadgee Aboriginal </w:t>
            </w:r>
            <w:r>
              <w:t>Shire</w:t>
            </w:r>
            <w:r w:rsidRPr="008E7494">
              <w:t xml:space="preserve"> Council and work at the Doomadgee retail store. He was a Councillor from 1992 to 1994 with the Doomadgee Aboriginal </w:t>
            </w:r>
            <w:r>
              <w:t>Shire</w:t>
            </w:r>
            <w:r w:rsidRPr="008E7494">
              <w:t xml:space="preserve"> Council and the Deputy Mayor from 2008 to 2012. He has also driven trucks and has run the night patrol for the Doomadgee community. For many years Doomadgee Commissioner </w:t>
            </w:r>
            <w:r w:rsidR="002A20B4">
              <w:t xml:space="preserve">Christopher </w:t>
            </w:r>
            <w:r w:rsidRPr="008E7494">
              <w:t>Logan was involved with the State Emergency Service and was second in charge. His strong belief in education and the importance of children attending school every day led in 2013 to his commencement in the</w:t>
            </w:r>
          </w:p>
          <w:p w14:paraId="6E90DFC2" w14:textId="41195286" w:rsidR="00416C1F" w:rsidRDefault="00416C1F" w:rsidP="00047560"/>
          <w:p w14:paraId="5B3E9FD2" w14:textId="77777777" w:rsidR="00416C1F" w:rsidRDefault="00416C1F" w:rsidP="00047560"/>
          <w:p w14:paraId="0C862E3C" w14:textId="77777777" w:rsidR="00416C1F" w:rsidRPr="003A5B70" w:rsidRDefault="00416C1F" w:rsidP="00047560">
            <w:pPr>
              <w:rPr>
                <w:rStyle w:val="Heading4Char"/>
                <w:rFonts w:cs="Arial"/>
                <w:b w:val="0"/>
                <w:i/>
                <w:color w:val="auto"/>
                <w:szCs w:val="20"/>
              </w:rPr>
            </w:pPr>
          </w:p>
        </w:tc>
      </w:tr>
      <w:tr w:rsidR="00416C1F" w:rsidRPr="008E7494" w14:paraId="6EEDD10D" w14:textId="77777777" w:rsidTr="00047560">
        <w:tc>
          <w:tcPr>
            <w:tcW w:w="4252" w:type="dxa"/>
          </w:tcPr>
          <w:p w14:paraId="5F781228" w14:textId="38A09F7F" w:rsidR="00416C1F" w:rsidRDefault="00B2274E" w:rsidP="00047560">
            <w:r w:rsidRPr="008E7494">
              <w:lastRenderedPageBreak/>
              <w:t xml:space="preserve">initial role of School Attendance Supervisor at </w:t>
            </w:r>
            <w:r w:rsidR="00C20C14" w:rsidRPr="008E7494">
              <w:t>the Doomadgee</w:t>
            </w:r>
            <w:r w:rsidR="00C20C14">
              <w:t xml:space="preserve"> State School, working </w:t>
            </w:r>
            <w:r w:rsidR="00416C1F" w:rsidRPr="008E7494">
              <w:t xml:space="preserve">directly alongside the Doomadgee State School Principal. </w:t>
            </w:r>
            <w:r w:rsidR="0067432C">
              <w:t xml:space="preserve">Doomadgee </w:t>
            </w:r>
            <w:r w:rsidR="00416C1F" w:rsidRPr="008E7494">
              <w:t xml:space="preserve">Commissioner </w:t>
            </w:r>
            <w:r w:rsidR="001B11BE">
              <w:t xml:space="preserve">Christopher </w:t>
            </w:r>
            <w:r w:rsidR="00416C1F" w:rsidRPr="008E7494">
              <w:t>Logan currently holds</w:t>
            </w:r>
            <w:r w:rsidR="00416C1F" w:rsidRPr="008E7494" w:rsidDel="00F9258D">
              <w:t xml:space="preserve"> </w:t>
            </w:r>
            <w:r w:rsidR="00416C1F" w:rsidRPr="008E7494">
              <w:t>the position of Indigenous Education Leader at the Doomadgee State School.</w:t>
            </w:r>
            <w:r w:rsidR="00416C1F">
              <w:t xml:space="preserve"> </w:t>
            </w:r>
            <w:r w:rsidR="00416C1F" w:rsidRPr="008E7494">
              <w:t xml:space="preserve">Commissioner </w:t>
            </w:r>
            <w:r w:rsidR="001B11BE">
              <w:t xml:space="preserve">Christopher </w:t>
            </w:r>
            <w:r w:rsidR="00416C1F" w:rsidRPr="008E7494">
              <w:t xml:space="preserve">Logan played </w:t>
            </w:r>
            <w:r w:rsidR="00B04981">
              <w:t>r</w:t>
            </w:r>
            <w:r w:rsidR="00416C1F" w:rsidRPr="008E7494">
              <w:t xml:space="preserve">ugby </w:t>
            </w:r>
            <w:r w:rsidR="00B04981">
              <w:t>l</w:t>
            </w:r>
            <w:r w:rsidR="00416C1F" w:rsidRPr="008E7494">
              <w:t>eague for the Doomadgee Dragons from 1989 to 2007, captaining the side from 1989 to 1994, and was the club chairperson from 2008 to 2014. He loves to spend his weekends taking his grandchildren out bush, camping, hunting and fishing</w:t>
            </w:r>
            <w:r w:rsidR="00416C1F">
              <w:t>.</w:t>
            </w:r>
          </w:p>
          <w:p w14:paraId="1C5D612D" w14:textId="3AC8734D" w:rsidR="00416C1F" w:rsidRDefault="00416C1F" w:rsidP="00047560">
            <w:r w:rsidRPr="00676F9F">
              <w:rPr>
                <w:rFonts w:cs="Arial"/>
                <w:b/>
                <w:bCs/>
              </w:rPr>
              <w:t xml:space="preserve">Commissioner </w:t>
            </w:r>
            <w:r w:rsidRPr="00676F9F">
              <w:rPr>
                <w:b/>
                <w:bCs/>
              </w:rPr>
              <w:t>Elaine CAIRNS</w:t>
            </w:r>
            <w:r w:rsidRPr="00676F9F">
              <w:t xml:space="preserve"> (</w:t>
            </w:r>
            <w:proofErr w:type="spellStart"/>
            <w:r w:rsidRPr="008E7494">
              <w:t>Waanyi</w:t>
            </w:r>
            <w:proofErr w:type="spellEnd"/>
            <w:r w:rsidRPr="008E7494">
              <w:t xml:space="preserve"> Lardil Clan) moved to Doomadgee from Mornington Island in 1969. She completed her junior education at Doomadgee State School before moving to Malanda to complete years 9 and 10. A mother of six, grandmother to 17 and great grandmother to </w:t>
            </w:r>
            <w:r w:rsidRPr="003B7DB8">
              <w:t>eight</w:t>
            </w:r>
            <w:r w:rsidRPr="008E7494">
              <w:t xml:space="preserve">, </w:t>
            </w:r>
            <w:r w:rsidR="00727731">
              <w:t>Commissioner Cairns</w:t>
            </w:r>
            <w:r w:rsidRPr="008E7494">
              <w:t xml:space="preserve"> has firm ties to several clans within the community and derives great joy from her extended family. A strong Indigenous woman, </w:t>
            </w:r>
            <w:r w:rsidR="00342867">
              <w:t>Doomadgee</w:t>
            </w:r>
            <w:r w:rsidRPr="008E7494">
              <w:t xml:space="preserve"> Commissioner Cairns worked as a cleaner and receptionist at the Doomadgee Aboriginal Shire Council, served as Deputy Mayor from 2004 to 2007, acted as Mayor for six months in 2007 and was a Councillor from 2012 to 2016. Previously Doomadgee Commissioner Cairns spent one and a-half years as a chef at the</w:t>
            </w:r>
            <w:r>
              <w:t xml:space="preserve"> </w:t>
            </w:r>
            <w:r w:rsidRPr="008E7494">
              <w:t>Doomadgee Hospital</w:t>
            </w:r>
            <w:r>
              <w:t xml:space="preserve"> </w:t>
            </w:r>
            <w:r w:rsidRPr="008E7494">
              <w:t xml:space="preserve">and nine and a-half years as a Centrelink agent before becoming a </w:t>
            </w:r>
            <w:r w:rsidRPr="00507A71">
              <w:t>Councillor</w:t>
            </w:r>
            <w:r>
              <w:t>.</w:t>
            </w:r>
            <w:r w:rsidRPr="00507A71">
              <w:t xml:space="preserve"> </w:t>
            </w:r>
            <w:r w:rsidRPr="008E7494">
              <w:t xml:space="preserve">She has also been involved with the </w:t>
            </w:r>
            <w:r>
              <w:t xml:space="preserve">Strong Women’s Group (formerly known as </w:t>
            </w:r>
            <w:r w:rsidR="00AB2C87">
              <w:t xml:space="preserve">the </w:t>
            </w:r>
            <w:r w:rsidRPr="008E7494">
              <w:t>Indigenous Women’s Forum</w:t>
            </w:r>
            <w:r>
              <w:t>)</w:t>
            </w:r>
            <w:r w:rsidRPr="008E7494">
              <w:t xml:space="preserve"> since 2004. In her capacity with the </w:t>
            </w:r>
            <w:r>
              <w:t>Group</w:t>
            </w:r>
            <w:r w:rsidRPr="008E7494">
              <w:t xml:space="preserve"> she has travelled across Australia taking a stand against domestic violence towards Aboriginal women. Her view that strong Indigenous women can make a difference to the communities in which they live drives her ambition to contribute to building a better future for Doomadgee’s children.</w:t>
            </w:r>
            <w:r>
              <w:t xml:space="preserve"> </w:t>
            </w:r>
            <w:r w:rsidRPr="008E7494">
              <w:t>Commissioner Cairns loves reading, gardening and spending time out bush, fishing and camping. As a hobby she also enjoys composing and writing poems and songs.</w:t>
            </w:r>
          </w:p>
          <w:p w14:paraId="4565AA41" w14:textId="77777777" w:rsidR="00416C1F" w:rsidRPr="008E7494" w:rsidRDefault="00416C1F" w:rsidP="00047560"/>
        </w:tc>
        <w:tc>
          <w:tcPr>
            <w:tcW w:w="4252" w:type="dxa"/>
          </w:tcPr>
          <w:p w14:paraId="68414E36" w14:textId="33831EF1" w:rsidR="00416C1F" w:rsidRDefault="00416C1F" w:rsidP="00047560">
            <w:r w:rsidRPr="00676F9F">
              <w:rPr>
                <w:b/>
              </w:rPr>
              <w:t>Commissioner Karen JUPITER</w:t>
            </w:r>
            <w:r w:rsidRPr="008E7494">
              <w:t xml:space="preserve"> (</w:t>
            </w:r>
            <w:proofErr w:type="spellStart"/>
            <w:r w:rsidRPr="008E7494">
              <w:t>Gangalidda</w:t>
            </w:r>
            <w:proofErr w:type="spellEnd"/>
            <w:r w:rsidRPr="008E7494">
              <w:t xml:space="preserve"> Clan) was born on Abingdon Downs Cattle Station and moved to Doomadgee where, apart from a stint in boarding school, she has lived her whole life. After completing a course in Business Administration, </w:t>
            </w:r>
            <w:r w:rsidR="00944E68">
              <w:t xml:space="preserve">Doomadgee </w:t>
            </w:r>
            <w:r w:rsidR="00D04ECD">
              <w:t>Commissioner Jupiter</w:t>
            </w:r>
            <w:r w:rsidRPr="008E7494">
              <w:t xml:space="preserve"> worked at </w:t>
            </w:r>
            <w:r>
              <w:t xml:space="preserve">the </w:t>
            </w:r>
            <w:r w:rsidRPr="008E7494">
              <w:t xml:space="preserve">Department of Communities and the Doomadgee Hospital. She has also worked as a receptionist, a teacher aide at the local school and a Centrelink agent. During the 1990s she spent seven years as a Family Support Worker at the Women’s Shelter. From July 2009 to March 2013 </w:t>
            </w:r>
            <w:r w:rsidR="00D04ECD">
              <w:t>Doomadgee Commissioner Jupiter</w:t>
            </w:r>
            <w:r w:rsidRPr="008E7494">
              <w:t xml:space="preserve"> worked at the day care centre also as a Family Support Worker. Commissioner Jupiter has four children of her own and has been a foster carer for five others. She commenced as a School Attendance Officer in </w:t>
            </w:r>
            <w:proofErr w:type="gramStart"/>
            <w:r w:rsidRPr="008E7494">
              <w:t>2014, and</w:t>
            </w:r>
            <w:proofErr w:type="gramEnd"/>
            <w:r w:rsidRPr="008E7494">
              <w:t xml:space="preserve"> believes that the best way forward for the future of Doomadgee’s children is through a quality education.</w:t>
            </w:r>
          </w:p>
          <w:p w14:paraId="2C625C36" w14:textId="58652819" w:rsidR="00416C1F" w:rsidRPr="008E7494" w:rsidRDefault="00416C1F" w:rsidP="00047560">
            <w:pPr>
              <w:autoSpaceDE w:val="0"/>
              <w:autoSpaceDN w:val="0"/>
              <w:adjustRightInd w:val="0"/>
            </w:pPr>
            <w:r w:rsidRPr="007A222C">
              <w:rPr>
                <w:b/>
              </w:rPr>
              <w:t>Commissioner Kaylene O’KEEFE</w:t>
            </w:r>
            <w:r w:rsidRPr="00676F9F">
              <w:t xml:space="preserve"> grew</w:t>
            </w:r>
            <w:r w:rsidRPr="008E7494">
              <w:t xml:space="preserve"> up in Mount Isa before moving to her parents’ home town of Doomadgee in 1990. Married to Dwayne O’Keefe since 2001, Commissioner O’Keefe is a mother to three daughters. Her past employment has included time working at the local store, in accounts at the Doomadgee Aboriginal Shire Council and as a Family Support Worker with RAATSICC. </w:t>
            </w:r>
            <w:r>
              <w:t xml:space="preserve">Since 2018 </w:t>
            </w:r>
            <w:r w:rsidR="00077B74">
              <w:t xml:space="preserve">Doomadgee </w:t>
            </w:r>
            <w:r>
              <w:t xml:space="preserve">Commissioner O’Keefe has been involved with the Strong Women’s Group and was recently involved in mentoring a select group of Indigenous women during a week-long domestic violence conference held in Mackay. </w:t>
            </w:r>
            <w:r w:rsidR="00063B79">
              <w:t>Commissioner O’Keefe</w:t>
            </w:r>
            <w:r w:rsidRPr="008E7494">
              <w:t xml:space="preserve"> hopes that her role as a Local Commissioner with the Family Responsibilities Commission will enable her to play a significant part in improving outcomes for Doomadgee families. Commissioner O’Keefe enjoys camping, fishing and spending time with her family, </w:t>
            </w:r>
            <w:proofErr w:type="gramStart"/>
            <w:r w:rsidRPr="008E7494">
              <w:t>in particular her</w:t>
            </w:r>
            <w:proofErr w:type="gramEnd"/>
            <w:r w:rsidRPr="008E7494">
              <w:t xml:space="preserve"> young grandson.</w:t>
            </w:r>
          </w:p>
          <w:p w14:paraId="5478615A" w14:textId="77777777" w:rsidR="00416C1F" w:rsidRPr="008E7494" w:rsidRDefault="00416C1F" w:rsidP="00047560"/>
          <w:p w14:paraId="293B9C74" w14:textId="77777777" w:rsidR="00416C1F" w:rsidRPr="008E7494" w:rsidRDefault="00416C1F" w:rsidP="00047560"/>
        </w:tc>
      </w:tr>
    </w:tbl>
    <w:p w14:paraId="3479C16E" w14:textId="77777777" w:rsidR="00416C1F" w:rsidRPr="008E7494" w:rsidRDefault="00416C1F" w:rsidP="00416C1F"/>
    <w:p w14:paraId="3DFE6D68" w14:textId="77777777" w:rsidR="00416C1F" w:rsidRPr="008E7494" w:rsidRDefault="00416C1F" w:rsidP="00416C1F">
      <w:r w:rsidRPr="008E7494">
        <w:br w:type="page"/>
      </w:r>
    </w:p>
    <w:tbl>
      <w:tblPr>
        <w:tblW w:w="0" w:type="auto"/>
        <w:tblLook w:val="04A0" w:firstRow="1" w:lastRow="0" w:firstColumn="1" w:lastColumn="0" w:noHBand="0" w:noVBand="1"/>
      </w:tblPr>
      <w:tblGrid>
        <w:gridCol w:w="4252"/>
        <w:gridCol w:w="4252"/>
      </w:tblGrid>
      <w:tr w:rsidR="00416C1F" w:rsidRPr="008E7494" w14:paraId="570E9395" w14:textId="77777777" w:rsidTr="00047560">
        <w:tc>
          <w:tcPr>
            <w:tcW w:w="4261" w:type="dxa"/>
          </w:tcPr>
          <w:p w14:paraId="64B7FD74" w14:textId="1C757E9B" w:rsidR="00416C1F" w:rsidRDefault="00416C1F" w:rsidP="00047560">
            <w:pPr>
              <w:autoSpaceDE w:val="0"/>
              <w:autoSpaceDN w:val="0"/>
              <w:adjustRightInd w:val="0"/>
            </w:pPr>
            <w:r w:rsidRPr="00676F9F">
              <w:rPr>
                <w:b/>
                <w:bCs/>
              </w:rPr>
              <w:lastRenderedPageBreak/>
              <w:t>Commissioner Eleanor LOGAN</w:t>
            </w:r>
            <w:r w:rsidRPr="00676F9F">
              <w:t xml:space="preserve"> (</w:t>
            </w:r>
            <w:proofErr w:type="spellStart"/>
            <w:r w:rsidRPr="00676F9F">
              <w:t>Waanyi</w:t>
            </w:r>
            <w:proofErr w:type="spellEnd"/>
            <w:r w:rsidRPr="008E7494">
              <w:t xml:space="preserve"> / </w:t>
            </w:r>
            <w:proofErr w:type="spellStart"/>
            <w:r w:rsidRPr="008E7494">
              <w:t>Gangalidda</w:t>
            </w:r>
            <w:proofErr w:type="spellEnd"/>
            <w:r w:rsidRPr="008E7494">
              <w:t xml:space="preserve"> Clans) grew up in Doomadgee, before moving to Banyo College in Brisbane to complete year 11. </w:t>
            </w:r>
            <w:r w:rsidR="00D16648">
              <w:t>Commissioner Eleanor Logan</w:t>
            </w:r>
            <w:r w:rsidRPr="008E7494">
              <w:t xml:space="preserve"> continued to further her education, gaining a Certificate III and a Diploma of Children’s Services, and trained </w:t>
            </w:r>
            <w:proofErr w:type="gramStart"/>
            <w:r w:rsidRPr="008E7494">
              <w:t>in the area of</w:t>
            </w:r>
            <w:proofErr w:type="gramEnd"/>
            <w:r w:rsidRPr="008E7494">
              <w:t xml:space="preserve"> Aged Care Management. Recognising the need for a support network for young mothers in Doomadgee, Commissioner</w:t>
            </w:r>
            <w:r w:rsidR="00E361BF">
              <w:t xml:space="preserve"> Eleanor</w:t>
            </w:r>
            <w:r w:rsidRPr="008E7494">
              <w:t xml:space="preserve"> Logan was instrumental in forming a playgroup for young mums. She was a Councillor with the Doomadgee Aboriginal Shire Council from 2008 to 2012. Married to fellow </w:t>
            </w:r>
            <w:r w:rsidR="00AA380A">
              <w:t>Doomadgee</w:t>
            </w:r>
            <w:r w:rsidRPr="008E7494">
              <w:t xml:space="preserve"> Commissioner Christopher Logan, she says family is her priority. She has fostered many children and is presently fostering </w:t>
            </w:r>
            <w:r w:rsidRPr="00387CE8">
              <w:t>two</w:t>
            </w:r>
            <w:r w:rsidRPr="008E7494">
              <w:t xml:space="preserve"> young boys. </w:t>
            </w:r>
            <w:r w:rsidR="003211D2">
              <w:t>Doomadgee Commissioner Eleanor Logan</w:t>
            </w:r>
            <w:r w:rsidRPr="008E7494">
              <w:t xml:space="preserve"> is currently the Director of the Doomadgee Child Care Centre. When not working she enjoys camping, fishing and spending time with her </w:t>
            </w:r>
            <w:r w:rsidRPr="00387CE8">
              <w:t>15 grandchildren</w:t>
            </w:r>
            <w:r w:rsidRPr="008E7494">
              <w:t>.</w:t>
            </w:r>
          </w:p>
          <w:p w14:paraId="018340B5" w14:textId="6B346C99" w:rsidR="00416C1F" w:rsidRPr="008E7494" w:rsidRDefault="00416C1F" w:rsidP="00047560">
            <w:r w:rsidRPr="00676F9F">
              <w:rPr>
                <w:b/>
                <w:bCs/>
              </w:rPr>
              <w:t>Commissioner Guy DOUGLAS</w:t>
            </w:r>
            <w:r w:rsidRPr="00676F9F">
              <w:t xml:space="preserve"> (</w:t>
            </w:r>
            <w:proofErr w:type="spellStart"/>
            <w:r w:rsidRPr="00676F9F">
              <w:t>Waanyi</w:t>
            </w:r>
            <w:proofErr w:type="spellEnd"/>
            <w:r w:rsidRPr="008E7494">
              <w:t xml:space="preserve"> / </w:t>
            </w:r>
            <w:proofErr w:type="spellStart"/>
            <w:r w:rsidRPr="008E7494">
              <w:t>Gangalidda</w:t>
            </w:r>
            <w:proofErr w:type="spellEnd"/>
            <w:r w:rsidRPr="008E7494">
              <w:t xml:space="preserve"> Clans) has always lived in Doomadgee, apart from a year spent completing his education at Atherton High School. </w:t>
            </w:r>
            <w:r w:rsidRPr="008E7494">
              <w:rPr>
                <w:color w:val="000000"/>
              </w:rPr>
              <w:t>He has worked as an Aboriginal Health Worker, Senior Community Worker</w:t>
            </w:r>
            <w:r>
              <w:rPr>
                <w:color w:val="000000"/>
              </w:rPr>
              <w:t>,</w:t>
            </w:r>
            <w:r w:rsidRPr="008E7494">
              <w:rPr>
                <w:color w:val="000000"/>
              </w:rPr>
              <w:t xml:space="preserve"> Police Liaison Officer and </w:t>
            </w:r>
            <w:r>
              <w:rPr>
                <w:color w:val="000000"/>
              </w:rPr>
              <w:t>a project worker</w:t>
            </w:r>
            <w:r w:rsidRPr="008E7494">
              <w:rPr>
                <w:color w:val="000000"/>
              </w:rPr>
              <w:t xml:space="preserve"> at Save the Children for the Doomadgee Deadly Homes Program. </w:t>
            </w:r>
            <w:r w:rsidR="00342BFA">
              <w:rPr>
                <w:color w:val="000000"/>
              </w:rPr>
              <w:t xml:space="preserve">Doomadgee </w:t>
            </w:r>
            <w:r>
              <w:rPr>
                <w:color w:val="000000"/>
              </w:rPr>
              <w:t xml:space="preserve">Commissioner Douglas is currently employed at Gidgee Healing as the Health Services Manager. </w:t>
            </w:r>
            <w:r w:rsidRPr="008E7494">
              <w:rPr>
                <w:color w:val="000000"/>
              </w:rPr>
              <w:t>In this role Commissioner Douglas provides education, support and referral to community members who are elderly and in need of assistance tidying up their homes and managing hygiene.</w:t>
            </w:r>
            <w:r w:rsidRPr="008E7494">
              <w:t xml:space="preserve"> Commissioner Douglas is married to Cecilia, is father to six children and they have </w:t>
            </w:r>
            <w:r w:rsidRPr="00365CAA">
              <w:t>one</w:t>
            </w:r>
            <w:r w:rsidRPr="008E7494">
              <w:t xml:space="preserve"> grandchild. </w:t>
            </w:r>
            <w:r w:rsidR="00A80D83">
              <w:t>Commissioner Douglas</w:t>
            </w:r>
            <w:r w:rsidRPr="008E7494">
              <w:t>, along with his wife, has spent many years volunteering with young people in the community and as a leader of the local Brethren Church. When he is not busy coaching the local women’s softball team, ‘The Bushfires’, he likes nothing better than to go back out on country to hunt, fish and camp. Doomadgee Commissioner Douglas is a firm believer that education must begin at home from a young age to form a strong foundation for the future.</w:t>
            </w:r>
          </w:p>
          <w:p w14:paraId="23561302" w14:textId="77777777" w:rsidR="00416C1F" w:rsidRPr="008E7494" w:rsidRDefault="00416C1F" w:rsidP="00047560">
            <w:pPr>
              <w:autoSpaceDE w:val="0"/>
              <w:autoSpaceDN w:val="0"/>
              <w:adjustRightInd w:val="0"/>
            </w:pPr>
          </w:p>
        </w:tc>
        <w:tc>
          <w:tcPr>
            <w:tcW w:w="4261" w:type="dxa"/>
          </w:tcPr>
          <w:p w14:paraId="3823F07F" w14:textId="77777777" w:rsidR="00416C1F" w:rsidRPr="00F2111F" w:rsidRDefault="00416C1F" w:rsidP="00F2111F">
            <w:pPr>
              <w:pStyle w:val="Heading2"/>
              <w:spacing w:before="0"/>
            </w:pPr>
            <w:r w:rsidRPr="00F2111F">
              <w:t>Hope Vale</w:t>
            </w:r>
          </w:p>
          <w:p w14:paraId="55CE0307" w14:textId="35BE0371" w:rsidR="00416C1F" w:rsidRDefault="00416C1F" w:rsidP="00047560">
            <w:r w:rsidRPr="008E7494">
              <w:rPr>
                <w:b/>
              </w:rPr>
              <w:t>Commissioner Victor Patrick GIBSON OAM</w:t>
            </w:r>
            <w:r w:rsidRPr="008E7494">
              <w:t xml:space="preserve"> (</w:t>
            </w:r>
            <w:proofErr w:type="spellStart"/>
            <w:r w:rsidRPr="008E7494">
              <w:t>Binhthi</w:t>
            </w:r>
            <w:proofErr w:type="spellEnd"/>
            <w:r w:rsidRPr="008E7494">
              <w:t xml:space="preserve"> / </w:t>
            </w:r>
            <w:proofErr w:type="spellStart"/>
            <w:r w:rsidRPr="008E7494">
              <w:t>Bulcan</w:t>
            </w:r>
            <w:proofErr w:type="spellEnd"/>
            <w:r w:rsidRPr="008E7494">
              <w:t xml:space="preserve"> Clans) worked as a Student Case Manager for Cape York Aboriginal Australian Academy (CYAAA) in Hope Vale for three years until his retirement. He is the organiser of the Young Leadership Forum, encouraging young people to become the leaders of tomorrow. He is an active member of the Hope Vale Men’s Group again supporting the young and encouraging the role and merits of traditional or back-to-roots cultural and community activities. Commissioner </w:t>
            </w:r>
            <w:r w:rsidR="006D57B4">
              <w:t xml:space="preserve">Victor </w:t>
            </w:r>
            <w:r w:rsidRPr="008E7494">
              <w:t>Gibson has devoted much of his working career to Hope Vale, assisting to build up his community. In doing so he has served as Deputy Mayor and a Councillor.</w:t>
            </w:r>
          </w:p>
          <w:p w14:paraId="5B56FF41" w14:textId="48E1A006" w:rsidR="00416C1F" w:rsidRPr="008E7494" w:rsidRDefault="00416C1F" w:rsidP="00047560">
            <w:r w:rsidRPr="008E7494">
              <w:rPr>
                <w:rFonts w:cs="Arial"/>
                <w:szCs w:val="20"/>
              </w:rPr>
              <w:t xml:space="preserve">On 26 January 2015 Hope Vale Commissioner </w:t>
            </w:r>
            <w:r w:rsidR="008878B2">
              <w:rPr>
                <w:rFonts w:cs="Arial"/>
                <w:szCs w:val="20"/>
              </w:rPr>
              <w:t xml:space="preserve">Victor </w:t>
            </w:r>
            <w:r w:rsidRPr="008E7494">
              <w:rPr>
                <w:rFonts w:cs="Arial"/>
                <w:szCs w:val="20"/>
              </w:rPr>
              <w:t xml:space="preserve">Gibson was awarded a Medal of the Order of Australia (OAM) in recognition of his services to his community. </w:t>
            </w:r>
            <w:r w:rsidRPr="008E7494">
              <w:t xml:space="preserve">He remains a keen supporter of good </w:t>
            </w:r>
            <w:r w:rsidRPr="008E7494">
              <w:rPr>
                <w:rFonts w:cs="Arial"/>
                <w:szCs w:val="20"/>
              </w:rPr>
              <w:t xml:space="preserve">governance with his </w:t>
            </w:r>
            <w:proofErr w:type="gramStart"/>
            <w:r w:rsidRPr="008E7494">
              <w:rPr>
                <w:rFonts w:cs="Arial"/>
                <w:szCs w:val="20"/>
              </w:rPr>
              <w:t>particular concern</w:t>
            </w:r>
            <w:proofErr w:type="gramEnd"/>
            <w:r w:rsidRPr="008E7494">
              <w:rPr>
                <w:rFonts w:cs="Arial"/>
                <w:szCs w:val="20"/>
              </w:rPr>
              <w:t xml:space="preserve"> of making sure there is a place for young people in leadership and governance roles.</w:t>
            </w:r>
          </w:p>
          <w:p w14:paraId="338B470B" w14:textId="77777777" w:rsidR="00416C1F" w:rsidRPr="008E7494" w:rsidRDefault="00416C1F" w:rsidP="00047560">
            <w:pPr>
              <w:autoSpaceDE w:val="0"/>
              <w:autoSpaceDN w:val="0"/>
              <w:adjustRightInd w:val="0"/>
            </w:pPr>
            <w:r w:rsidRPr="003E2E7C">
              <w:rPr>
                <w:b/>
              </w:rPr>
              <w:t>Commissioner Doreen HART OAM</w:t>
            </w:r>
            <w:r w:rsidRPr="008E7494">
              <w:t xml:space="preserve"> (</w:t>
            </w:r>
            <w:proofErr w:type="spellStart"/>
            <w:r w:rsidRPr="008E7494">
              <w:t>Binhthi</w:t>
            </w:r>
            <w:proofErr w:type="spellEnd"/>
            <w:r w:rsidRPr="008E7494">
              <w:t xml:space="preserve"> / </w:t>
            </w:r>
            <w:proofErr w:type="spellStart"/>
            <w:r w:rsidRPr="008E7494">
              <w:t>Bulcan</w:t>
            </w:r>
            <w:proofErr w:type="spellEnd"/>
            <w:r w:rsidRPr="008E7494">
              <w:t xml:space="preserve"> Clans) currently holds the position of Team Leader/Service Provider with </w:t>
            </w:r>
            <w:proofErr w:type="spellStart"/>
            <w:r w:rsidRPr="008E7494">
              <w:t>Apunipima</w:t>
            </w:r>
            <w:proofErr w:type="spellEnd"/>
            <w:r w:rsidRPr="008E7494">
              <w:t xml:space="preserve"> Cape York Health Council. In 2015 she was selected as a Cape York representative for the 2015 Emerging Leaders Program hosted by Jawun, however health issues prevented her from completing the program. Her former roles include Engagement Officer for Cape York Empowered Communities Backbone Organisation, Community Development Officer with Living Change in the </w:t>
            </w:r>
            <w:proofErr w:type="spellStart"/>
            <w:r w:rsidRPr="008E7494">
              <w:t>Wunan</w:t>
            </w:r>
            <w:proofErr w:type="spellEnd"/>
            <w:r w:rsidRPr="008E7494">
              <w:t xml:space="preserve"> Foundation, Chief Executive Officer for the </w:t>
            </w:r>
            <w:proofErr w:type="spellStart"/>
            <w:r w:rsidRPr="008E7494">
              <w:t>Apunipima</w:t>
            </w:r>
            <w:proofErr w:type="spellEnd"/>
            <w:r w:rsidRPr="008E7494">
              <w:t xml:space="preserve"> Cape York Health Council and Housing Officer for the Hope Vale Aboriginal Shire Council. She is a Justice of the Peace (Qualified) and a member of the </w:t>
            </w:r>
            <w:proofErr w:type="spellStart"/>
            <w:r w:rsidRPr="008E7494">
              <w:t>Thurrbill</w:t>
            </w:r>
            <w:proofErr w:type="spellEnd"/>
            <w:r w:rsidRPr="008E7494">
              <w:t xml:space="preserve"> Community Justice Group. </w:t>
            </w:r>
            <w:r w:rsidRPr="008E7494">
              <w:rPr>
                <w:rFonts w:cs="Arial"/>
                <w:szCs w:val="20"/>
              </w:rPr>
              <w:t>On 26 January 2015 Hope Vale Commissioner Hart was awarded a Medal of the Order of Australia (OAM) in recognition of her services to the community.</w:t>
            </w:r>
          </w:p>
          <w:p w14:paraId="01313017" w14:textId="77777777" w:rsidR="00416C1F" w:rsidRPr="008E7494" w:rsidRDefault="00416C1F" w:rsidP="00047560"/>
        </w:tc>
      </w:tr>
    </w:tbl>
    <w:p w14:paraId="6540A1EE" w14:textId="77777777" w:rsidR="00416C1F" w:rsidRPr="008E7494" w:rsidRDefault="00416C1F" w:rsidP="00416C1F">
      <w:r w:rsidRPr="008E7494">
        <w:br w:type="page"/>
      </w:r>
    </w:p>
    <w:p w14:paraId="7B9114DA" w14:textId="77777777" w:rsidR="00416C1F" w:rsidRPr="008E7494" w:rsidRDefault="00416C1F" w:rsidP="00416C1F"/>
    <w:tbl>
      <w:tblPr>
        <w:tblW w:w="0" w:type="auto"/>
        <w:tblLook w:val="04A0" w:firstRow="1" w:lastRow="0" w:firstColumn="1" w:lastColumn="0" w:noHBand="0" w:noVBand="1"/>
      </w:tblPr>
      <w:tblGrid>
        <w:gridCol w:w="4249"/>
        <w:gridCol w:w="4249"/>
      </w:tblGrid>
      <w:tr w:rsidR="00416C1F" w:rsidRPr="008E7494" w14:paraId="4E388B41" w14:textId="77777777" w:rsidTr="00047560">
        <w:tc>
          <w:tcPr>
            <w:tcW w:w="4249" w:type="dxa"/>
          </w:tcPr>
          <w:p w14:paraId="07D9F6E5" w14:textId="3131997D" w:rsidR="00416C1F" w:rsidRDefault="00416C1F" w:rsidP="00047560">
            <w:pPr>
              <w:rPr>
                <w:bCs/>
              </w:rPr>
            </w:pPr>
            <w:r w:rsidRPr="00A3179B">
              <w:rPr>
                <w:b/>
                <w:bCs/>
              </w:rPr>
              <w:t>Commissioner Cheryl Florence CANNON</w:t>
            </w:r>
            <w:r w:rsidRPr="00A3179B">
              <w:rPr>
                <w:bCs/>
              </w:rPr>
              <w:t xml:space="preserve"> is</w:t>
            </w:r>
            <w:r w:rsidRPr="008E7494">
              <w:rPr>
                <w:bCs/>
              </w:rPr>
              <w:t xml:space="preserve"> a strong, determined and motivated Indigenous woman from Hope Vale. Commissioner Cannon loves the precious time she spends with her family and pottering around home tending to her garden. She has had a career in education across Cape York, teaching and in leadership roles within </w:t>
            </w:r>
            <w:proofErr w:type="gramStart"/>
            <w:r w:rsidRPr="008E7494">
              <w:rPr>
                <w:bCs/>
              </w:rPr>
              <w:t>a number of</w:t>
            </w:r>
            <w:proofErr w:type="gramEnd"/>
            <w:r w:rsidRPr="008E7494">
              <w:rPr>
                <w:bCs/>
              </w:rPr>
              <w:t xml:space="preserve"> schools. After a brief retirement, Hope Vale Commissioner Cannon’s commitment to education has her currently in </w:t>
            </w:r>
            <w:r>
              <w:rPr>
                <w:bCs/>
              </w:rPr>
              <w:t>a</w:t>
            </w:r>
            <w:r w:rsidRPr="008E7494">
              <w:rPr>
                <w:bCs/>
              </w:rPr>
              <w:t xml:space="preserve"> </w:t>
            </w:r>
            <w:r>
              <w:rPr>
                <w:bCs/>
              </w:rPr>
              <w:t>teaching role at the CYAAA Hope Vale campus</w:t>
            </w:r>
            <w:r w:rsidRPr="008E7494">
              <w:rPr>
                <w:bCs/>
              </w:rPr>
              <w:t>. Her role also involves</w:t>
            </w:r>
            <w:r>
              <w:rPr>
                <w:bCs/>
              </w:rPr>
              <w:t xml:space="preserve"> </w:t>
            </w:r>
            <w:r w:rsidRPr="00982CAA">
              <w:rPr>
                <w:bCs/>
              </w:rPr>
              <w:t>engaging community people to be more active within the school community, in addition to providing support for school attendance and incorporating cultural aspects within the school.</w:t>
            </w:r>
          </w:p>
          <w:p w14:paraId="4FE160DE" w14:textId="661D4BC3" w:rsidR="00416C1F" w:rsidRPr="00982CAA" w:rsidRDefault="00416C1F" w:rsidP="00047560">
            <w:pPr>
              <w:rPr>
                <w:bCs/>
              </w:rPr>
            </w:pPr>
            <w:r w:rsidRPr="00982CAA">
              <w:rPr>
                <w:bCs/>
              </w:rPr>
              <w:t>She joined the Commission as a Local Commissioner in Hope Vale in August 2014, and thoroughly enjoys the experience. As a Commissioner</w:t>
            </w:r>
            <w:r w:rsidR="00B237F0">
              <w:rPr>
                <w:bCs/>
              </w:rPr>
              <w:t xml:space="preserve"> for Hope Vale</w:t>
            </w:r>
            <w:r w:rsidRPr="00982CAA">
              <w:rPr>
                <w:bCs/>
              </w:rPr>
              <w:t>, Cheryl’s vision and values run parallel to that of the wider community and she is willing to set in motion responsibilities that bring about change for the positive future of Hope Vale.</w:t>
            </w:r>
          </w:p>
          <w:p w14:paraId="144E0EE6" w14:textId="608D415A" w:rsidR="00416C1F" w:rsidRPr="00982CAA" w:rsidRDefault="00416C1F" w:rsidP="00047560">
            <w:pPr>
              <w:rPr>
                <w:bCs/>
              </w:rPr>
            </w:pPr>
            <w:r w:rsidRPr="00621D7D">
              <w:rPr>
                <w:b/>
              </w:rPr>
              <w:t>Commissioner Erica DEERAL</w:t>
            </w:r>
            <w:r w:rsidRPr="00982CAA">
              <w:rPr>
                <w:b/>
              </w:rPr>
              <w:t xml:space="preserve"> </w:t>
            </w:r>
            <w:r w:rsidRPr="00982CAA">
              <w:rPr>
                <w:bCs/>
              </w:rPr>
              <w:t>(</w:t>
            </w:r>
            <w:proofErr w:type="spellStart"/>
            <w:r w:rsidRPr="00982CAA">
              <w:rPr>
                <w:bCs/>
              </w:rPr>
              <w:t>Gamaay</w:t>
            </w:r>
            <w:proofErr w:type="spellEnd"/>
            <w:r w:rsidRPr="00982CAA">
              <w:rPr>
                <w:bCs/>
              </w:rPr>
              <w:t xml:space="preserve"> / </w:t>
            </w:r>
            <w:proofErr w:type="spellStart"/>
            <w:r w:rsidRPr="00982CAA">
              <w:rPr>
                <w:bCs/>
              </w:rPr>
              <w:t>Waymbuurr</w:t>
            </w:r>
            <w:proofErr w:type="spellEnd"/>
            <w:r w:rsidRPr="00982CAA">
              <w:rPr>
                <w:bCs/>
              </w:rPr>
              <w:t xml:space="preserve"> Clans) </w:t>
            </w:r>
            <w:r>
              <w:rPr>
                <w:bCs/>
              </w:rPr>
              <w:t xml:space="preserve">retired from her </w:t>
            </w:r>
            <w:r w:rsidRPr="00982CAA">
              <w:rPr>
                <w:bCs/>
              </w:rPr>
              <w:t>position of Administrative/Accounts Officer with the Hope Vale campus of CYAAA</w:t>
            </w:r>
            <w:r>
              <w:rPr>
                <w:bCs/>
              </w:rPr>
              <w:t xml:space="preserve"> in 2019</w:t>
            </w:r>
            <w:r w:rsidRPr="00982CAA">
              <w:rPr>
                <w:bCs/>
              </w:rPr>
              <w:t>. She enjoy</w:t>
            </w:r>
            <w:r>
              <w:rPr>
                <w:bCs/>
              </w:rPr>
              <w:t>ed</w:t>
            </w:r>
            <w:r w:rsidRPr="00982CAA">
              <w:rPr>
                <w:bCs/>
              </w:rPr>
              <w:t xml:space="preserve"> working at the school and seeing school attendance improve so that young children can obtain an education to better their futures. Prior to this Hope Vale Commissioner Deeral held administrative positions with the North Queensland Land Council and Cook Shire and Hope Vale Aboriginal Shire Councils. She attended Hope Vale State School, Cairns West State School, Trinity Bay High School and the Cairns Business College. She is a traditional owner and a Director o</w:t>
            </w:r>
            <w:r w:rsidR="00BC76E1">
              <w:rPr>
                <w:bCs/>
              </w:rPr>
              <w:t>f</w:t>
            </w:r>
            <w:r w:rsidRPr="00982CAA">
              <w:rPr>
                <w:bCs/>
              </w:rPr>
              <w:t xml:space="preserve"> the Hope Vale Congress Aboriginal Corporation. Commissioner Deeral is a mother to two sons and grandmother </w:t>
            </w:r>
            <w:r w:rsidRPr="00C13492">
              <w:rPr>
                <w:bCs/>
              </w:rPr>
              <w:t>to four granddaughters and one grandson.</w:t>
            </w:r>
          </w:p>
          <w:p w14:paraId="119E56C3" w14:textId="77777777" w:rsidR="00416C1F" w:rsidRPr="008E7494" w:rsidRDefault="00416C1F" w:rsidP="00047560">
            <w:pPr>
              <w:autoSpaceDE w:val="0"/>
              <w:autoSpaceDN w:val="0"/>
              <w:adjustRightInd w:val="0"/>
              <w:rPr>
                <w:rFonts w:cs="Arial"/>
                <w:szCs w:val="20"/>
              </w:rPr>
            </w:pPr>
          </w:p>
          <w:p w14:paraId="02733C14" w14:textId="77777777" w:rsidR="00416C1F" w:rsidRPr="008E7494" w:rsidRDefault="00416C1F" w:rsidP="00047560">
            <w:pPr>
              <w:autoSpaceDE w:val="0"/>
              <w:autoSpaceDN w:val="0"/>
              <w:adjustRightInd w:val="0"/>
            </w:pPr>
          </w:p>
        </w:tc>
        <w:tc>
          <w:tcPr>
            <w:tcW w:w="4249" w:type="dxa"/>
          </w:tcPr>
          <w:p w14:paraId="19D47873" w14:textId="1DA11505" w:rsidR="00416C1F" w:rsidRDefault="00416C1F" w:rsidP="00047560">
            <w:pPr>
              <w:rPr>
                <w:bCs/>
              </w:rPr>
            </w:pPr>
            <w:r w:rsidRPr="00621D7D">
              <w:rPr>
                <w:b/>
              </w:rPr>
              <w:t>Commissioner Selina BOWEN</w:t>
            </w:r>
            <w:r w:rsidRPr="00982CAA">
              <w:rPr>
                <w:b/>
              </w:rPr>
              <w:t xml:space="preserve"> </w:t>
            </w:r>
            <w:r w:rsidRPr="00982CAA">
              <w:rPr>
                <w:bCs/>
              </w:rPr>
              <w:t xml:space="preserve">is married to Ronald Bowen from the </w:t>
            </w:r>
            <w:proofErr w:type="spellStart"/>
            <w:r w:rsidRPr="00982CAA">
              <w:rPr>
                <w:bCs/>
              </w:rPr>
              <w:t>Thuupi</w:t>
            </w:r>
            <w:proofErr w:type="spellEnd"/>
            <w:r w:rsidRPr="00982CAA">
              <w:rPr>
                <w:bCs/>
              </w:rPr>
              <w:t xml:space="preserve"> / </w:t>
            </w:r>
            <w:proofErr w:type="spellStart"/>
            <w:r w:rsidRPr="00982CAA">
              <w:rPr>
                <w:bCs/>
              </w:rPr>
              <w:t>Dharrba</w:t>
            </w:r>
            <w:proofErr w:type="spellEnd"/>
            <w:r w:rsidRPr="00982CAA">
              <w:rPr>
                <w:bCs/>
              </w:rPr>
              <w:t xml:space="preserve"> Warra Clans of Hope Vale. Commissioner Bowen has two children and one adopted son from the many children that she and her husband cared for over the years while being kinship carers. Both of her sons graduated from Peace Lutheran College in 2013. Her daughter attended at the Coen Campus of CYAAA in 2015 and is currently at the Hope Vale Campus of CYAAA. Commissioner Bowen has lived in Hope Vale for </w:t>
            </w:r>
            <w:proofErr w:type="gramStart"/>
            <w:r w:rsidRPr="00982CAA">
              <w:rPr>
                <w:bCs/>
              </w:rPr>
              <w:t>the majority of</w:t>
            </w:r>
            <w:proofErr w:type="gramEnd"/>
            <w:r w:rsidRPr="00982CAA">
              <w:rPr>
                <w:bCs/>
              </w:rPr>
              <w:t xml:space="preserve"> her life, only leaving to</w:t>
            </w:r>
            <w:r>
              <w:rPr>
                <w:bCs/>
              </w:rPr>
              <w:t xml:space="preserve"> </w:t>
            </w:r>
            <w:r w:rsidRPr="00982CAA">
              <w:rPr>
                <w:bCs/>
              </w:rPr>
              <w:t xml:space="preserve">complete her secondary schooling in Brisbane where she graduated from Hendra High in Nunda. After leaving school her </w:t>
            </w:r>
            <w:r>
              <w:rPr>
                <w:bCs/>
              </w:rPr>
              <w:t xml:space="preserve">former </w:t>
            </w:r>
            <w:r w:rsidRPr="00982CAA">
              <w:rPr>
                <w:bCs/>
              </w:rPr>
              <w:t>jobs have included being an Assistant Manager for the local food store</w:t>
            </w:r>
            <w:r>
              <w:rPr>
                <w:bCs/>
              </w:rPr>
              <w:t>,</w:t>
            </w:r>
            <w:r w:rsidRPr="00982CAA">
              <w:rPr>
                <w:bCs/>
              </w:rPr>
              <w:t xml:space="preserve"> an agent for the Commonwealth Bank in Hope Vale</w:t>
            </w:r>
            <w:r>
              <w:rPr>
                <w:bCs/>
              </w:rPr>
              <w:t xml:space="preserve"> and a Parenting Consultant where she delivered the Triple P program for Cape York Partnership</w:t>
            </w:r>
            <w:r w:rsidRPr="00982CAA">
              <w:rPr>
                <w:bCs/>
              </w:rPr>
              <w:t>.</w:t>
            </w:r>
          </w:p>
          <w:p w14:paraId="071D9B91" w14:textId="77777777" w:rsidR="00416C1F" w:rsidRPr="00982CAA" w:rsidRDefault="00416C1F" w:rsidP="00047560">
            <w:pPr>
              <w:rPr>
                <w:bCs/>
              </w:rPr>
            </w:pPr>
            <w:r w:rsidRPr="00982CAA">
              <w:rPr>
                <w:bCs/>
              </w:rPr>
              <w:t>Hope Vale Commissioner Bowen feels good parenting is vitally important and she would like other parents to also enjoy the close relationship and respect from their teenagers that she has with her children.</w:t>
            </w:r>
            <w:r>
              <w:rPr>
                <w:bCs/>
              </w:rPr>
              <w:t xml:space="preserve"> </w:t>
            </w:r>
            <w:r w:rsidRPr="00982CAA">
              <w:rPr>
                <w:bCs/>
              </w:rPr>
              <w:t>Hope Vale Commissioner Bowen commenced with the Commission on 14 May 2015 and on 19 March 2016 was elected to the position of Hope Vale Aboriginal Shire Councillor in the Local Government elections.</w:t>
            </w:r>
          </w:p>
          <w:p w14:paraId="15E5AE3E" w14:textId="77777777" w:rsidR="00416C1F" w:rsidRPr="00F2111F" w:rsidRDefault="00416C1F" w:rsidP="00F2111F">
            <w:pPr>
              <w:pStyle w:val="Heading2"/>
            </w:pPr>
            <w:r w:rsidRPr="00F2111F">
              <w:t>Mossman Gorge</w:t>
            </w:r>
          </w:p>
          <w:p w14:paraId="275A4C94" w14:textId="77777777" w:rsidR="00416C1F" w:rsidRPr="008E7494" w:rsidRDefault="00416C1F" w:rsidP="00047560">
            <w:pPr>
              <w:autoSpaceDE w:val="0"/>
              <w:autoSpaceDN w:val="0"/>
              <w:adjustRightInd w:val="0"/>
            </w:pPr>
            <w:r w:rsidRPr="00982CAA">
              <w:rPr>
                <w:b/>
              </w:rPr>
              <w:t xml:space="preserve">Commissioner Loretta SPRATT OAM </w:t>
            </w:r>
            <w:r w:rsidRPr="00982CAA">
              <w:t>(</w:t>
            </w:r>
            <w:proofErr w:type="spellStart"/>
            <w:r w:rsidRPr="00982CAA">
              <w:t>Olkola</w:t>
            </w:r>
            <w:proofErr w:type="spellEnd"/>
            <w:r w:rsidRPr="00982CAA">
              <w:t xml:space="preserve"> / Lama </w:t>
            </w:r>
            <w:proofErr w:type="spellStart"/>
            <w:r w:rsidRPr="00982CAA">
              <w:t>Lama</w:t>
            </w:r>
            <w:proofErr w:type="spellEnd"/>
            <w:r w:rsidRPr="00982CAA">
              <w:t xml:space="preserve"> Clans) was born on Thursday Island but spent her infant years in Coen and Hope Vale. She remained in Hope Vale throughout her childhood until her late teens when she met Nathan McLean, a young man visiting from Mossman Gorge. Commissioner Spratt later moved to the Gorge where she resided for many years with Nathan before buying a house and moving to Mossman in February 2018. Mossman Gorge Commissioner Spratt has previously worked</w:t>
            </w:r>
            <w:r>
              <w:t xml:space="preserve"> in the areas of sport and</w:t>
            </w:r>
          </w:p>
        </w:tc>
      </w:tr>
    </w:tbl>
    <w:p w14:paraId="6A430D02" w14:textId="77777777" w:rsidR="00416C1F" w:rsidRPr="008E7494" w:rsidRDefault="00416C1F" w:rsidP="00416C1F"/>
    <w:p w14:paraId="2957021C" w14:textId="77777777" w:rsidR="00416C1F" w:rsidRPr="008E7494" w:rsidRDefault="00416C1F" w:rsidP="00416C1F">
      <w:r w:rsidRPr="008E7494">
        <w:br w:type="page"/>
      </w:r>
    </w:p>
    <w:p w14:paraId="09F8B3BB" w14:textId="77777777" w:rsidR="00416C1F" w:rsidRPr="008E7494" w:rsidRDefault="00416C1F" w:rsidP="00416C1F"/>
    <w:tbl>
      <w:tblPr>
        <w:tblW w:w="0" w:type="auto"/>
        <w:tblLook w:val="04A0" w:firstRow="1" w:lastRow="0" w:firstColumn="1" w:lastColumn="0" w:noHBand="0" w:noVBand="1"/>
      </w:tblPr>
      <w:tblGrid>
        <w:gridCol w:w="4252"/>
        <w:gridCol w:w="4252"/>
      </w:tblGrid>
      <w:tr w:rsidR="00416C1F" w:rsidRPr="008E7494" w14:paraId="6202876A" w14:textId="77777777" w:rsidTr="00047560">
        <w:tc>
          <w:tcPr>
            <w:tcW w:w="4261" w:type="dxa"/>
          </w:tcPr>
          <w:p w14:paraId="2513D252" w14:textId="77777777" w:rsidR="00416C1F" w:rsidRPr="00982CAA" w:rsidRDefault="00416C1F" w:rsidP="00047560">
            <w:r w:rsidRPr="00982CAA">
              <w:t xml:space="preserve">recreation. She has </w:t>
            </w:r>
            <w:r w:rsidRPr="00982CAA">
              <w:rPr>
                <w:rFonts w:cs="Arial"/>
              </w:rPr>
              <w:t>completed a Certificate III in Horticulture, discovering her true passion in life, and is currently employed by</w:t>
            </w:r>
            <w:r w:rsidRPr="006B1384">
              <w:t xml:space="preserve"> </w:t>
            </w:r>
            <w:proofErr w:type="spellStart"/>
            <w:r w:rsidRPr="006B1384">
              <w:t>Bamanga</w:t>
            </w:r>
            <w:proofErr w:type="spellEnd"/>
            <w:r w:rsidRPr="006B1384">
              <w:t xml:space="preserve"> Bubu </w:t>
            </w:r>
            <w:proofErr w:type="spellStart"/>
            <w:r w:rsidRPr="006B1384">
              <w:t>Ngadimunku</w:t>
            </w:r>
            <w:proofErr w:type="spellEnd"/>
            <w:r w:rsidRPr="00982CAA">
              <w:rPr>
                <w:rFonts w:cs="Arial"/>
              </w:rPr>
              <w:t xml:space="preserve"> </w:t>
            </w:r>
            <w:r w:rsidRPr="006B1384">
              <w:rPr>
                <w:rFonts w:cs="Arial"/>
              </w:rPr>
              <w:t>Aboriginal Corporation</w:t>
            </w:r>
            <w:r w:rsidRPr="00982CAA">
              <w:rPr>
                <w:rFonts w:cs="Arial"/>
              </w:rPr>
              <w:t xml:space="preserve"> (BBNAC) propagating and using native plants and trees in landscaping.</w:t>
            </w:r>
          </w:p>
          <w:p w14:paraId="04784EE9" w14:textId="77777777" w:rsidR="00416C1F" w:rsidRPr="00982CAA" w:rsidRDefault="00416C1F" w:rsidP="00047560">
            <w:r w:rsidRPr="00982CAA">
              <w:rPr>
                <w:rFonts w:cs="Arial"/>
                <w:szCs w:val="20"/>
              </w:rPr>
              <w:t xml:space="preserve">On 26 January 2015 Mossman Gorge Commissioner Spratt was awarded a Medal of the Order of Australia (OAM) in recognition of her services to the community. </w:t>
            </w:r>
            <w:r w:rsidRPr="00982CAA">
              <w:t xml:space="preserve">She has a keen interest in art and a love of </w:t>
            </w:r>
            <w:proofErr w:type="gramStart"/>
            <w:r w:rsidRPr="00982CAA">
              <w:t>reading, and</w:t>
            </w:r>
            <w:proofErr w:type="gramEnd"/>
            <w:r w:rsidRPr="00982CAA">
              <w:t xml:space="preserve"> continues to learn new skills to complement her Local Commissioner role in the community. Mossman Gorge Commissioner Spratt continues to work closely with young</w:t>
            </w:r>
            <w:r>
              <w:t xml:space="preserve"> </w:t>
            </w:r>
            <w:r w:rsidRPr="00982CAA">
              <w:t>people and the women of her community to promote strong, healthy and supportive families. On weekends she likes to spend time with her nieces and nephews fishing, enjoying the natural beauty of the Daintree area, reading and particularly gardening at home.</w:t>
            </w:r>
          </w:p>
          <w:p w14:paraId="16780030" w14:textId="653C3305" w:rsidR="00416C1F" w:rsidRDefault="00416C1F" w:rsidP="00047560">
            <w:r w:rsidRPr="00BF1C34">
              <w:rPr>
                <w:b/>
              </w:rPr>
              <w:t>Commissioner Karen GIBSON OAM</w:t>
            </w:r>
            <w:r w:rsidRPr="00982CAA">
              <w:rPr>
                <w:bCs/>
              </w:rPr>
              <w:t xml:space="preserve"> (Kuku </w:t>
            </w:r>
            <w:proofErr w:type="spellStart"/>
            <w:r w:rsidRPr="00982CAA">
              <w:rPr>
                <w:bCs/>
              </w:rPr>
              <w:t>Nyungul</w:t>
            </w:r>
            <w:proofErr w:type="spellEnd"/>
            <w:r w:rsidRPr="00982CAA">
              <w:rPr>
                <w:bCs/>
              </w:rPr>
              <w:t xml:space="preserve"> / Kuku </w:t>
            </w:r>
            <w:proofErr w:type="spellStart"/>
            <w:r w:rsidRPr="00982CAA">
              <w:rPr>
                <w:bCs/>
              </w:rPr>
              <w:t>Yalanji</w:t>
            </w:r>
            <w:proofErr w:type="spellEnd"/>
            <w:r w:rsidRPr="00982CAA">
              <w:rPr>
                <w:bCs/>
              </w:rPr>
              <w:t xml:space="preserve"> Clans) </w:t>
            </w:r>
            <w:r w:rsidRPr="00982CAA">
              <w:t xml:space="preserve">was born and raised in the Mossman area. She is an artist whose work has gained increasing recognition and exposure. As an artist Commissioner </w:t>
            </w:r>
            <w:r w:rsidR="003D23F7">
              <w:t xml:space="preserve">Karen </w:t>
            </w:r>
            <w:r w:rsidRPr="00982CAA">
              <w:t xml:space="preserve">Gibson also enjoys inspiring other artists to follow their dreams. </w:t>
            </w:r>
            <w:r w:rsidR="00516FE3">
              <w:t xml:space="preserve">Mossman Gorge </w:t>
            </w:r>
            <w:r w:rsidR="003D23F7">
              <w:t xml:space="preserve">Commissioner </w:t>
            </w:r>
            <w:r>
              <w:t>Karen</w:t>
            </w:r>
            <w:r w:rsidRPr="00982CAA">
              <w:t xml:space="preserve"> </w:t>
            </w:r>
            <w:r w:rsidR="003D23F7">
              <w:t xml:space="preserve">Gibson </w:t>
            </w:r>
            <w:r w:rsidRPr="00982CAA">
              <w:t>previously held position</w:t>
            </w:r>
            <w:r>
              <w:t>s</w:t>
            </w:r>
            <w:r w:rsidRPr="00982CAA">
              <w:t xml:space="preserve"> </w:t>
            </w:r>
            <w:r>
              <w:t>at Cape York Partnership Empowered Communities as a</w:t>
            </w:r>
            <w:r w:rsidRPr="00982CAA">
              <w:t xml:space="preserve"> </w:t>
            </w:r>
            <w:r>
              <w:t xml:space="preserve">Community Engagement Officer and </w:t>
            </w:r>
            <w:r w:rsidRPr="00982CAA">
              <w:t>Regional Coordinator</w:t>
            </w:r>
            <w:r>
              <w:t>,</w:t>
            </w:r>
            <w:r w:rsidRPr="00982CAA">
              <w:t xml:space="preserve"> where she was the Empowered Community Champion for the Mossman Gorge community. Mossman Gorge Commissioner </w:t>
            </w:r>
            <w:r w:rsidR="003D23F7">
              <w:t xml:space="preserve">Karen </w:t>
            </w:r>
            <w:r w:rsidRPr="00982CAA">
              <w:t>Gibson is on the Board of Directors for the Cape York Girl Academy and previously held the positions of Chairperson and Vice Chairperson of BBNAC. Other positions held include Board Member for the Cape York</w:t>
            </w:r>
            <w:r w:rsidRPr="00982CAA">
              <w:rPr>
                <w:iCs/>
              </w:rPr>
              <w:t xml:space="preserve"> </w:t>
            </w:r>
            <w:r w:rsidRPr="00982CAA">
              <w:t xml:space="preserve">Land Council, Director of Kuku </w:t>
            </w:r>
            <w:proofErr w:type="spellStart"/>
            <w:r w:rsidRPr="00982CAA">
              <w:t>Yalanji</w:t>
            </w:r>
            <w:proofErr w:type="spellEnd"/>
            <w:r w:rsidRPr="00982CAA">
              <w:t xml:space="preserve"> Dreamtime Tours, Attendance Case Manager with Cape York Partnerships and Local Coordinator for the Family Responsibilities Commission, Mossman Gorge.</w:t>
            </w:r>
          </w:p>
          <w:p w14:paraId="14ABE61D" w14:textId="418BC07D" w:rsidR="00416C1F" w:rsidRPr="00982CAA" w:rsidRDefault="00416C1F" w:rsidP="00047560">
            <w:pPr>
              <w:rPr>
                <w:rStyle w:val="Heading4Char"/>
                <w:rFonts w:cs="Arial"/>
                <w:b w:val="0"/>
                <w:color w:val="auto"/>
                <w:szCs w:val="20"/>
              </w:rPr>
            </w:pPr>
            <w:r w:rsidRPr="00982CAA">
              <w:t xml:space="preserve">On 26 January 2015 Mossman Gorge Commissioner </w:t>
            </w:r>
            <w:r w:rsidR="003D23F7">
              <w:t xml:space="preserve">Karen </w:t>
            </w:r>
            <w:r w:rsidRPr="00982CAA">
              <w:t>Gibson was awarded a Medal of the Order of Australia (OAM) in recognition of her services to the community.</w:t>
            </w:r>
          </w:p>
        </w:tc>
        <w:tc>
          <w:tcPr>
            <w:tcW w:w="4261" w:type="dxa"/>
          </w:tcPr>
          <w:p w14:paraId="21A7B49D" w14:textId="29645CF8" w:rsidR="00416C1F" w:rsidRPr="00982CAA" w:rsidRDefault="00416C1F" w:rsidP="00047560">
            <w:r w:rsidRPr="00982CAA">
              <w:rPr>
                <w:b/>
              </w:rPr>
              <w:t xml:space="preserve">Commissioner Karen SHUAN </w:t>
            </w:r>
            <w:r w:rsidRPr="00982CAA">
              <w:rPr>
                <w:szCs w:val="20"/>
              </w:rPr>
              <w:t>(Kuku</w:t>
            </w:r>
            <w:r w:rsidRPr="00982CAA">
              <w:t xml:space="preserve"> </w:t>
            </w:r>
            <w:proofErr w:type="spellStart"/>
            <w:r w:rsidRPr="00982CAA">
              <w:t>Yalanji</w:t>
            </w:r>
            <w:proofErr w:type="spellEnd"/>
            <w:r w:rsidRPr="00982CAA">
              <w:t xml:space="preserve"> Clan) was born </w:t>
            </w:r>
            <w:r w:rsidR="00D87054">
              <w:t xml:space="preserve">as </w:t>
            </w:r>
            <w:r w:rsidRPr="00982CAA">
              <w:t xml:space="preserve">a Kuku </w:t>
            </w:r>
            <w:proofErr w:type="spellStart"/>
            <w:r w:rsidRPr="00982CAA">
              <w:t>Yalanji</w:t>
            </w:r>
            <w:proofErr w:type="spellEnd"/>
            <w:r w:rsidRPr="00982CAA">
              <w:t xml:space="preserve"> woman</w:t>
            </w:r>
            <w:r w:rsidR="00891105">
              <w:t>.</w:t>
            </w:r>
            <w:r w:rsidRPr="00982CAA">
              <w:t xml:space="preserve"> </w:t>
            </w:r>
            <w:r w:rsidR="00891105">
              <w:t>S</w:t>
            </w:r>
            <w:r w:rsidRPr="00982CAA">
              <w:t xml:space="preserve">he is a traditional owner of the Mossman area and has resided in Mossman </w:t>
            </w:r>
            <w:proofErr w:type="gramStart"/>
            <w:r w:rsidRPr="00982CAA">
              <w:t>all of</w:t>
            </w:r>
            <w:proofErr w:type="gramEnd"/>
            <w:r w:rsidRPr="00982CAA">
              <w:t xml:space="preserve"> her life. After completing year 11 at Mossman State High School, she gained a Certificate III in Tourism and a Certificate III in Business. Mossman Gorge Commissioner </w:t>
            </w:r>
            <w:proofErr w:type="spellStart"/>
            <w:r w:rsidRPr="00982CAA">
              <w:t>Shuan</w:t>
            </w:r>
            <w:proofErr w:type="spellEnd"/>
            <w:r w:rsidRPr="00982CAA">
              <w:t xml:space="preserve"> became increasingly involved in Aboriginal culture and concerns and joined BBNAC. Positions she has held at BBNAC include Secretary, Director, Vice Chairperson and tourism guide. Commissioner </w:t>
            </w:r>
            <w:proofErr w:type="spellStart"/>
            <w:r w:rsidRPr="00982CAA">
              <w:t>Shuan</w:t>
            </w:r>
            <w:proofErr w:type="spellEnd"/>
            <w:r w:rsidRPr="00982CAA">
              <w:t xml:space="preserve"> is presently the </w:t>
            </w:r>
            <w:r>
              <w:t xml:space="preserve">cultural </w:t>
            </w:r>
            <w:r w:rsidRPr="00982CAA">
              <w:t xml:space="preserve">tour guide at the Mossman Gorge Centre where she welcomes visitors to Country and provides cultural information to the many tourists who visit the area, as well as providing support to other Indigenous staff at the centre. As a custodian of the Kuku </w:t>
            </w:r>
            <w:proofErr w:type="spellStart"/>
            <w:r w:rsidRPr="00982CAA">
              <w:t>Yalanji</w:t>
            </w:r>
            <w:proofErr w:type="spellEnd"/>
            <w:r w:rsidRPr="00982CAA">
              <w:t xml:space="preserve"> culture she is recognised as a cultural leader and a skilled and passionate teacher of traditional dance.</w:t>
            </w:r>
          </w:p>
          <w:p w14:paraId="39C8A8DA" w14:textId="77777777" w:rsidR="00416C1F" w:rsidRPr="00982CAA" w:rsidRDefault="00416C1F" w:rsidP="00047560">
            <w:pPr>
              <w:rPr>
                <w:rStyle w:val="Heading4Char"/>
                <w:b w:val="0"/>
                <w:color w:val="auto"/>
              </w:rPr>
            </w:pPr>
            <w:r w:rsidRPr="00982CAA">
              <w:t xml:space="preserve">Today she leads the dance group for Mossman Gorge, </w:t>
            </w:r>
            <w:proofErr w:type="spellStart"/>
            <w:r w:rsidRPr="00982CAA">
              <w:t>Wabal</w:t>
            </w:r>
            <w:proofErr w:type="spellEnd"/>
            <w:r w:rsidRPr="00982CAA">
              <w:t xml:space="preserve"> </w:t>
            </w:r>
            <w:proofErr w:type="spellStart"/>
            <w:r w:rsidRPr="00982CAA">
              <w:t>Wabal</w:t>
            </w:r>
            <w:proofErr w:type="spellEnd"/>
            <w:r w:rsidRPr="00982CAA">
              <w:t xml:space="preserve"> Dance, in local performances which celebrate the culture of Cape York people through song and dance. The group has also performed in Cairns at professional engagements and at the National Aboriginal and Islander Day Observance Committee week.</w:t>
            </w:r>
          </w:p>
        </w:tc>
      </w:tr>
    </w:tbl>
    <w:p w14:paraId="1611CDA5" w14:textId="77777777" w:rsidR="00416C1F" w:rsidRPr="008E7494" w:rsidRDefault="00416C1F" w:rsidP="00416C1F">
      <w:pPr>
        <w:autoSpaceDE w:val="0"/>
        <w:autoSpaceDN w:val="0"/>
        <w:adjustRightInd w:val="0"/>
        <w:spacing w:after="0" w:line="240" w:lineRule="auto"/>
      </w:pPr>
    </w:p>
    <w:tbl>
      <w:tblPr>
        <w:tblW w:w="0" w:type="auto"/>
        <w:tblLook w:val="04A0" w:firstRow="1" w:lastRow="0" w:firstColumn="1" w:lastColumn="0" w:noHBand="0" w:noVBand="1"/>
      </w:tblPr>
      <w:tblGrid>
        <w:gridCol w:w="4250"/>
        <w:gridCol w:w="4254"/>
      </w:tblGrid>
      <w:tr w:rsidR="00416C1F" w:rsidRPr="008E7494" w14:paraId="15341907" w14:textId="77777777" w:rsidTr="00047560">
        <w:tc>
          <w:tcPr>
            <w:tcW w:w="4261" w:type="dxa"/>
          </w:tcPr>
          <w:p w14:paraId="440AE824" w14:textId="77777777" w:rsidR="00416C1F" w:rsidRPr="00F2111F" w:rsidRDefault="00416C1F" w:rsidP="00F2111F">
            <w:pPr>
              <w:pStyle w:val="Heading3"/>
            </w:pPr>
            <w:r w:rsidRPr="00F2111F">
              <w:lastRenderedPageBreak/>
              <w:t>Registrar Maxine McLeod</w:t>
            </w:r>
          </w:p>
          <w:p w14:paraId="71788591" w14:textId="08FB8804" w:rsidR="00416C1F" w:rsidRPr="008E7494" w:rsidRDefault="00416C1F" w:rsidP="00047560">
            <w:pPr>
              <w:rPr>
                <w:rFonts w:cs="Arial"/>
                <w:szCs w:val="20"/>
                <w:lang w:val="en-US" w:eastAsia="en-AU"/>
              </w:rPr>
            </w:pPr>
            <w:r w:rsidRPr="008E7494">
              <w:rPr>
                <w:rFonts w:cs="Arial"/>
                <w:szCs w:val="20"/>
                <w:lang w:val="en-US" w:eastAsia="en-AU"/>
              </w:rPr>
              <w:t xml:space="preserve">Maxine McLeod was appointed as the Registrar of the Family Responsibilities Commission on 22 January 2016, having acted as the Registrar/General Manager from 1 January 2015. Prior to this appointment Maxine was seconded to the Commission in November 2009 as the Registrar Support Officer. Upon the Commission migrating its human resource management and financial services in-house in 2012, Maxine was appointed as the HR and Policy Manager. In this role Maxine led the development and application of human resource and strategic/operational policies and procedures. In the role of Registrar Maxine is responsible for managing the </w:t>
            </w:r>
            <w:r w:rsidR="005F439B">
              <w:rPr>
                <w:rFonts w:cs="Arial"/>
                <w:szCs w:val="20"/>
                <w:lang w:val="en-US" w:eastAsia="en-AU"/>
              </w:rPr>
              <w:t>R</w:t>
            </w:r>
            <w:r w:rsidRPr="008E7494">
              <w:rPr>
                <w:rFonts w:cs="Arial"/>
                <w:szCs w:val="20"/>
                <w:lang w:val="en-US" w:eastAsia="en-AU"/>
              </w:rPr>
              <w:t xml:space="preserve">egistry and the administrative affairs of the Commission. A significant focus of the role includes the development and implementation of appropriate strategies to support the strategic capability of the Commission, introducing and implementing reforms and overseeing the operations of the </w:t>
            </w:r>
            <w:r w:rsidR="005F439B">
              <w:rPr>
                <w:rFonts w:cs="Arial"/>
                <w:szCs w:val="20"/>
                <w:lang w:val="en-US" w:eastAsia="en-AU"/>
              </w:rPr>
              <w:t>R</w:t>
            </w:r>
            <w:r w:rsidRPr="008E7494">
              <w:rPr>
                <w:rFonts w:cs="Arial"/>
                <w:szCs w:val="20"/>
                <w:lang w:val="en-US" w:eastAsia="en-AU"/>
              </w:rPr>
              <w:t>egistry.</w:t>
            </w:r>
          </w:p>
          <w:p w14:paraId="37A8F95F" w14:textId="77777777" w:rsidR="00416C1F" w:rsidRPr="008E7494" w:rsidRDefault="00416C1F" w:rsidP="00047560">
            <w:pPr>
              <w:rPr>
                <w:rFonts w:cs="Arial"/>
                <w:szCs w:val="20"/>
                <w:lang w:val="en-US" w:eastAsia="en-AU"/>
              </w:rPr>
            </w:pPr>
            <w:r w:rsidRPr="008E7494">
              <w:rPr>
                <w:rFonts w:cs="Arial"/>
                <w:szCs w:val="20"/>
                <w:lang w:val="en-US" w:eastAsia="en-AU"/>
              </w:rPr>
              <w:t xml:space="preserve">Prior to joining the Commission Maxine was employed by DJAG for a </w:t>
            </w:r>
            <w:proofErr w:type="gramStart"/>
            <w:r w:rsidRPr="008E7494">
              <w:rPr>
                <w:rFonts w:cs="Arial"/>
                <w:szCs w:val="20"/>
                <w:lang w:val="en-US" w:eastAsia="en-AU"/>
              </w:rPr>
              <w:t>17 year</w:t>
            </w:r>
            <w:proofErr w:type="gramEnd"/>
            <w:r w:rsidRPr="008E7494">
              <w:rPr>
                <w:rFonts w:cs="Arial"/>
                <w:szCs w:val="20"/>
                <w:lang w:val="en-US" w:eastAsia="en-AU"/>
              </w:rPr>
              <w:t xml:space="preserve"> period, the last four years of which she spent as the Regional Operations Manager for the State Reporting Bureau.</w:t>
            </w:r>
          </w:p>
          <w:p w14:paraId="6873885A" w14:textId="77777777" w:rsidR="00416C1F" w:rsidRPr="008E7494" w:rsidRDefault="00416C1F" w:rsidP="00047560">
            <w:pPr>
              <w:rPr>
                <w:rFonts w:cs="Arial"/>
                <w:szCs w:val="20"/>
                <w:lang w:val="en-US" w:eastAsia="en-AU"/>
              </w:rPr>
            </w:pPr>
            <w:r w:rsidRPr="008E7494">
              <w:rPr>
                <w:rFonts w:cs="Arial"/>
                <w:szCs w:val="20"/>
                <w:lang w:val="en-US" w:eastAsia="en-AU"/>
              </w:rPr>
              <w:t>Having been born and raised in Asia, Maxine has a keen interest in travel, enjoys cooking and is an avid reader and fisherwoman.</w:t>
            </w:r>
          </w:p>
        </w:tc>
        <w:tc>
          <w:tcPr>
            <w:tcW w:w="4261" w:type="dxa"/>
          </w:tcPr>
          <w:p w14:paraId="3342D28B" w14:textId="77777777" w:rsidR="00416C1F" w:rsidRPr="00F2111F" w:rsidRDefault="00416C1F" w:rsidP="00F2111F">
            <w:pPr>
              <w:pStyle w:val="Heading2"/>
              <w:spacing w:before="0"/>
            </w:pPr>
            <w:r w:rsidRPr="00F2111F">
              <w:t>SUPPORT STAFF</w:t>
            </w:r>
          </w:p>
          <w:p w14:paraId="2593DCEA" w14:textId="77777777" w:rsidR="00416C1F" w:rsidRPr="00F2111F" w:rsidRDefault="00416C1F" w:rsidP="00F2111F">
            <w:pPr>
              <w:pStyle w:val="Heading3"/>
            </w:pPr>
            <w:r w:rsidRPr="00F2111F">
              <w:t>Local Coordinators</w:t>
            </w:r>
          </w:p>
          <w:p w14:paraId="348EBC40" w14:textId="77777777" w:rsidR="00416C1F" w:rsidRPr="008E7494" w:rsidRDefault="00416C1F" w:rsidP="00047560">
            <w:r w:rsidRPr="008E7494">
              <w:t>A Local Coordinator has been appointed for each of the welfare reform communities. The function of the Local Coordinators is to support, at the local level, the operations of the Commission in the welfare reform community areas.</w:t>
            </w:r>
          </w:p>
          <w:p w14:paraId="62D8A26A" w14:textId="77777777" w:rsidR="00416C1F" w:rsidRPr="008E7494" w:rsidRDefault="00416C1F" w:rsidP="00047560">
            <w:pPr>
              <w:spacing w:after="0"/>
            </w:pPr>
            <w:r w:rsidRPr="008E7494">
              <w:t>The Local Coordinators are:</w:t>
            </w:r>
          </w:p>
          <w:p w14:paraId="2BDB9B12" w14:textId="77777777" w:rsidR="00416C1F" w:rsidRPr="008E7494" w:rsidRDefault="00416C1F" w:rsidP="00047560">
            <w:pPr>
              <w:spacing w:after="0"/>
            </w:pPr>
          </w:p>
          <w:p w14:paraId="22D8BDDC" w14:textId="77777777" w:rsidR="00416C1F" w:rsidRPr="008E7494" w:rsidRDefault="00416C1F" w:rsidP="00047560">
            <w:pPr>
              <w:tabs>
                <w:tab w:val="left" w:pos="1942"/>
              </w:tabs>
              <w:spacing w:after="0"/>
            </w:pPr>
            <w:r w:rsidRPr="008E7494">
              <w:t>Aurukun:</w:t>
            </w:r>
            <w:r w:rsidRPr="008E7494">
              <w:tab/>
              <w:t>Mr Bryce Coxall</w:t>
            </w:r>
          </w:p>
          <w:p w14:paraId="6FF85CDD" w14:textId="77777777" w:rsidR="00416C1F" w:rsidRPr="008E7494" w:rsidRDefault="00416C1F" w:rsidP="00047560">
            <w:pPr>
              <w:tabs>
                <w:tab w:val="left" w:pos="1942"/>
              </w:tabs>
              <w:spacing w:after="0"/>
            </w:pPr>
            <w:r w:rsidRPr="008E7494">
              <w:t>Coen:</w:t>
            </w:r>
            <w:r w:rsidRPr="008E7494">
              <w:tab/>
              <w:t>Ms Sandi Rye</w:t>
            </w:r>
          </w:p>
          <w:p w14:paraId="260F701D" w14:textId="77777777" w:rsidR="00416C1F" w:rsidRPr="008E7494" w:rsidRDefault="00416C1F" w:rsidP="00047560">
            <w:pPr>
              <w:tabs>
                <w:tab w:val="left" w:pos="1942"/>
              </w:tabs>
              <w:spacing w:after="0"/>
            </w:pPr>
            <w:r w:rsidRPr="008E7494">
              <w:tab/>
              <w:t>(Cairns based)</w:t>
            </w:r>
          </w:p>
          <w:p w14:paraId="394CDCAE" w14:textId="77777777" w:rsidR="00416C1F" w:rsidRDefault="00416C1F" w:rsidP="00047560">
            <w:pPr>
              <w:tabs>
                <w:tab w:val="left" w:pos="1942"/>
              </w:tabs>
              <w:spacing w:after="0"/>
            </w:pPr>
            <w:r w:rsidRPr="008E7494">
              <w:t xml:space="preserve">Doomadgee: </w:t>
            </w:r>
            <w:r w:rsidRPr="008E7494">
              <w:tab/>
              <w:t>Mr Robbie Hazeldine Hope Vale:</w:t>
            </w:r>
            <w:r w:rsidRPr="008E7494">
              <w:tab/>
              <w:t xml:space="preserve">Mr </w:t>
            </w:r>
            <w:r>
              <w:t>Brenden Joinbee</w:t>
            </w:r>
          </w:p>
          <w:p w14:paraId="54BAD860" w14:textId="77777777" w:rsidR="00416C1F" w:rsidRPr="008E7494" w:rsidRDefault="00416C1F" w:rsidP="00047560">
            <w:pPr>
              <w:tabs>
                <w:tab w:val="left" w:pos="1942"/>
              </w:tabs>
              <w:spacing w:after="0"/>
            </w:pPr>
            <w:r w:rsidRPr="008E7494">
              <w:tab/>
              <w:t>(Cairns based)</w:t>
            </w:r>
          </w:p>
          <w:p w14:paraId="1F0BBA90" w14:textId="77777777" w:rsidR="00416C1F" w:rsidRPr="008E7494" w:rsidRDefault="00416C1F" w:rsidP="00047560">
            <w:pPr>
              <w:tabs>
                <w:tab w:val="left" w:pos="1942"/>
              </w:tabs>
              <w:spacing w:after="60"/>
            </w:pPr>
            <w:r w:rsidRPr="008E7494">
              <w:t>Mossman Gorge:</w:t>
            </w:r>
            <w:r w:rsidRPr="008E7494">
              <w:tab/>
              <w:t>Ms Sandi Rye</w:t>
            </w:r>
            <w:r w:rsidRPr="008E7494">
              <w:br/>
            </w:r>
            <w:r w:rsidRPr="008E7494">
              <w:tab/>
              <w:t>(Cairns based)</w:t>
            </w:r>
          </w:p>
          <w:p w14:paraId="2000D811" w14:textId="77777777" w:rsidR="00416C1F" w:rsidRPr="008E7494" w:rsidRDefault="00416C1F" w:rsidP="00047560">
            <w:pPr>
              <w:tabs>
                <w:tab w:val="left" w:pos="1942"/>
              </w:tabs>
              <w:spacing w:after="60"/>
            </w:pPr>
          </w:p>
          <w:p w14:paraId="5B6DCF07" w14:textId="77777777" w:rsidR="00416C1F" w:rsidRPr="00F2111F" w:rsidRDefault="00416C1F" w:rsidP="00F2111F">
            <w:pPr>
              <w:pStyle w:val="Heading3"/>
            </w:pPr>
            <w:r w:rsidRPr="00F2111F">
              <w:t>The Cairns central registry</w:t>
            </w:r>
          </w:p>
          <w:p w14:paraId="1EAC2AFE" w14:textId="77777777" w:rsidR="00416C1F" w:rsidRPr="008E7494" w:rsidRDefault="00416C1F" w:rsidP="00047560">
            <w:r w:rsidRPr="008E7494">
              <w:t xml:space="preserve">A central registry office has been established in Cairns to provide administrative and logistical support to the Commissioners and Local Coordinators in community by ensuring the efficient and effective operation of the Commission. The Cairns central registry is comprised of </w:t>
            </w:r>
            <w:r w:rsidRPr="002558D3">
              <w:t>13</w:t>
            </w:r>
            <w:r w:rsidRPr="008E7494">
              <w:t xml:space="preserve"> employees:</w:t>
            </w:r>
          </w:p>
          <w:p w14:paraId="4DFA17E2" w14:textId="77777777" w:rsidR="00416C1F" w:rsidRPr="008E7494" w:rsidRDefault="00416C1F" w:rsidP="00047560">
            <w:pPr>
              <w:pStyle w:val="ListBullet2"/>
              <w:ind w:left="641" w:hanging="357"/>
            </w:pPr>
            <w:r w:rsidRPr="008E7494">
              <w:t>Commissioner</w:t>
            </w:r>
          </w:p>
          <w:p w14:paraId="0E730921" w14:textId="77777777" w:rsidR="00416C1F" w:rsidRPr="008E7494" w:rsidRDefault="00416C1F" w:rsidP="00047560">
            <w:pPr>
              <w:pStyle w:val="ListBullet2"/>
              <w:ind w:left="641" w:hanging="357"/>
            </w:pPr>
            <w:r w:rsidRPr="008E7494">
              <w:t>Registrar</w:t>
            </w:r>
          </w:p>
          <w:p w14:paraId="6E31EA29" w14:textId="77777777" w:rsidR="00416C1F" w:rsidRPr="008E7494" w:rsidRDefault="00416C1F" w:rsidP="00047560">
            <w:pPr>
              <w:pStyle w:val="ListBullet2"/>
              <w:ind w:left="641" w:hanging="357"/>
            </w:pPr>
            <w:r>
              <w:t>Executive Officer (Finance)</w:t>
            </w:r>
          </w:p>
          <w:p w14:paraId="0BF1296C" w14:textId="77777777" w:rsidR="00416C1F" w:rsidRDefault="00416C1F" w:rsidP="00047560">
            <w:pPr>
              <w:pStyle w:val="ListBullet2"/>
              <w:ind w:left="641" w:hanging="357"/>
            </w:pPr>
            <w:r w:rsidRPr="008E7494">
              <w:t>Client Manager</w:t>
            </w:r>
          </w:p>
          <w:p w14:paraId="3DCED7E5" w14:textId="77777777" w:rsidR="00416C1F" w:rsidRPr="008E7494" w:rsidRDefault="00416C1F" w:rsidP="00047560">
            <w:pPr>
              <w:pStyle w:val="ListBullet2"/>
              <w:ind w:left="641" w:hanging="357"/>
            </w:pPr>
            <w:r w:rsidRPr="008E7494">
              <w:t>Senior Advisor (Statistics and Research)</w:t>
            </w:r>
          </w:p>
          <w:p w14:paraId="433D46DB" w14:textId="77777777" w:rsidR="00416C1F" w:rsidRPr="008E7494" w:rsidRDefault="00416C1F" w:rsidP="00047560">
            <w:pPr>
              <w:pStyle w:val="ListBullet2"/>
              <w:ind w:left="641" w:hanging="357"/>
            </w:pPr>
            <w:r w:rsidRPr="008E7494">
              <w:t>ICT Administrator</w:t>
            </w:r>
          </w:p>
          <w:p w14:paraId="20D41128" w14:textId="77777777" w:rsidR="00416C1F" w:rsidRPr="008E7494" w:rsidRDefault="00416C1F" w:rsidP="00047560">
            <w:pPr>
              <w:pStyle w:val="ListBullet2"/>
              <w:ind w:left="641" w:hanging="357"/>
            </w:pPr>
            <w:r>
              <w:t>Local Coordinators (Cairns based)</w:t>
            </w:r>
          </w:p>
          <w:p w14:paraId="02A2FDF5" w14:textId="77777777" w:rsidR="00416C1F" w:rsidRPr="008E7494" w:rsidRDefault="00416C1F" w:rsidP="00047560">
            <w:pPr>
              <w:pStyle w:val="ListBullet2"/>
              <w:ind w:left="641" w:hanging="357"/>
            </w:pPr>
            <w:r w:rsidRPr="008E7494">
              <w:t>Senior Case Management – Administration Officer</w:t>
            </w:r>
          </w:p>
          <w:p w14:paraId="41F54BFD" w14:textId="77777777" w:rsidR="00416C1F" w:rsidRPr="008E7494" w:rsidRDefault="00416C1F" w:rsidP="00047560">
            <w:pPr>
              <w:pStyle w:val="ListBullet2"/>
              <w:ind w:left="641" w:hanging="357"/>
            </w:pPr>
            <w:r w:rsidRPr="008E7494">
              <w:t>Finance Officer</w:t>
            </w:r>
          </w:p>
          <w:p w14:paraId="7A70F44A" w14:textId="77777777" w:rsidR="00416C1F" w:rsidRPr="008E7494" w:rsidRDefault="00416C1F" w:rsidP="00047560">
            <w:pPr>
              <w:pStyle w:val="ListBullet2"/>
              <w:ind w:left="641" w:hanging="357"/>
            </w:pPr>
            <w:r w:rsidRPr="008E7494">
              <w:t>Information Officers</w:t>
            </w:r>
          </w:p>
          <w:p w14:paraId="5A58A162" w14:textId="77777777" w:rsidR="00416C1F" w:rsidRPr="008E7494" w:rsidRDefault="00416C1F" w:rsidP="00047560">
            <w:pPr>
              <w:pStyle w:val="ListBullet2"/>
              <w:ind w:left="641" w:hanging="357"/>
            </w:pPr>
            <w:r w:rsidRPr="008E7494">
              <w:t>Administration Officers.</w:t>
            </w:r>
          </w:p>
        </w:tc>
      </w:tr>
    </w:tbl>
    <w:p w14:paraId="0AB0CEA7" w14:textId="77777777" w:rsidR="00416C1F" w:rsidRPr="0001769E" w:rsidRDefault="00416C1F" w:rsidP="00416C1F">
      <w:pPr>
        <w:rPr>
          <w:lang w:eastAsia="en-AU"/>
        </w:rPr>
      </w:pPr>
    </w:p>
    <w:p w14:paraId="3BF49D7B" w14:textId="77777777" w:rsidR="00416C1F" w:rsidRDefault="00416C1F" w:rsidP="009B129E">
      <w:pPr>
        <w:rPr>
          <w:rFonts w:cs="Arial"/>
          <w:szCs w:val="20"/>
        </w:rPr>
        <w:sectPr w:rsidR="00416C1F" w:rsidSect="00047560">
          <w:headerReference w:type="even" r:id="rId47"/>
          <w:headerReference w:type="default" r:id="rId48"/>
          <w:headerReference w:type="first" r:id="rId49"/>
          <w:footnotePr>
            <w:numRestart w:val="eachSect"/>
          </w:footnotePr>
          <w:pgSz w:w="11906" w:h="16838"/>
          <w:pgMar w:top="813" w:right="1701" w:bottom="567" w:left="1701" w:header="426" w:footer="567" w:gutter="0"/>
          <w:cols w:space="708"/>
          <w:docGrid w:linePitch="360"/>
        </w:sectPr>
      </w:pPr>
    </w:p>
    <w:p w14:paraId="45D85B10" w14:textId="77777777" w:rsidR="00EA0864" w:rsidRPr="008E7494" w:rsidRDefault="00EA0864" w:rsidP="00F2111F">
      <w:pPr>
        <w:pStyle w:val="Heading2"/>
      </w:pPr>
      <w:r>
        <w:lastRenderedPageBreak/>
        <w:t>A moment in time</w:t>
      </w:r>
    </w:p>
    <w:p w14:paraId="182A5087" w14:textId="77777777" w:rsidR="00EA0864" w:rsidRPr="00F72EE3" w:rsidRDefault="00EA0864" w:rsidP="00EA0864">
      <w:pPr>
        <w:rPr>
          <w:lang w:val="en-US"/>
        </w:rPr>
      </w:pPr>
      <w:r w:rsidRPr="00F72EE3">
        <w:rPr>
          <w:lang w:val="en-US"/>
        </w:rPr>
        <w:t>Often during quieter periods in conferencing, Local Commissioners will take it upon themselves to go for a drive around the community in the FRC vehicle, just to see if there may be a client or two for whom a little gentle</w:t>
      </w:r>
      <w:r>
        <w:rPr>
          <w:lang w:val="en-US"/>
        </w:rPr>
        <w:t xml:space="preserve"> </w:t>
      </w:r>
      <w:r w:rsidRPr="00F72EE3">
        <w:rPr>
          <w:lang w:val="en-US"/>
        </w:rPr>
        <w:t xml:space="preserve">persuasion is all it takes to encourage attendance at conference. </w:t>
      </w:r>
    </w:p>
    <w:p w14:paraId="2A600B1C" w14:textId="77777777" w:rsidR="00EA0864" w:rsidRPr="00F72EE3" w:rsidRDefault="00EA0864" w:rsidP="00EA0864">
      <w:pPr>
        <w:rPr>
          <w:lang w:val="en-US"/>
        </w:rPr>
      </w:pPr>
      <w:r w:rsidRPr="00F72EE3">
        <w:rPr>
          <w:lang w:val="en-US"/>
        </w:rPr>
        <w:t xml:space="preserve">In one </w:t>
      </w:r>
      <w:proofErr w:type="gramStart"/>
      <w:r w:rsidRPr="00F72EE3">
        <w:rPr>
          <w:lang w:val="en-US"/>
        </w:rPr>
        <w:t>particular instance</w:t>
      </w:r>
      <w:proofErr w:type="gramEnd"/>
      <w:r w:rsidRPr="00F72EE3">
        <w:rPr>
          <w:lang w:val="en-US"/>
        </w:rPr>
        <w:t xml:space="preserve">, two Local Commissioners doing their regular drive through the community sighted a community member who was scheduled to attend conference later that day. The woman was headed towards the creek, and the Commissioners pulled over to speak with her. Agitated, she told them </w:t>
      </w:r>
      <w:r w:rsidRPr="00AA5E4F">
        <w:rPr>
          <w:i/>
          <w:lang w:val="en-US"/>
        </w:rPr>
        <w:t>“</w:t>
      </w:r>
      <w:r w:rsidRPr="00F72EE3">
        <w:rPr>
          <w:i/>
          <w:lang w:val="en-US"/>
        </w:rPr>
        <w:t>I’ll be up later. I’m going to the river to calm down. I’ve had enough</w:t>
      </w:r>
      <w:r w:rsidRPr="00AE1B90">
        <w:rPr>
          <w:i/>
          <w:lang w:val="en-US"/>
        </w:rPr>
        <w:t>”</w:t>
      </w:r>
      <w:r w:rsidRPr="00F72EE3">
        <w:rPr>
          <w:lang w:val="en-US"/>
        </w:rPr>
        <w:t>. Noting the client’s distress, the Commissioners gently suggested she come up now, and join them for a cup of tea. As she climbed into the car the woman pulled a filleting knife from under her clothing and handed it to a Commissioner.</w:t>
      </w:r>
    </w:p>
    <w:p w14:paraId="4196F043" w14:textId="77777777" w:rsidR="00EA0864" w:rsidRPr="00F72EE3" w:rsidRDefault="00EA0864" w:rsidP="00EA0864">
      <w:pPr>
        <w:rPr>
          <w:lang w:val="en-US"/>
        </w:rPr>
      </w:pPr>
      <w:r w:rsidRPr="00F72EE3">
        <w:rPr>
          <w:lang w:val="en-US"/>
        </w:rPr>
        <w:t>On arrival back at the FRC office the Commissioners sat and drank tea with the client and listened while she unburdened her troubles. Half an hour later, with the client now calm, the Commissioners conducted a conference and referred the client on a case plan to see a community mental health worker. One of the Commissioners then drove the client directly to the service provider where she was handed into their care.</w:t>
      </w:r>
    </w:p>
    <w:p w14:paraId="66E1B038" w14:textId="5698BE43" w:rsidR="00EA0864" w:rsidRPr="00EA0864" w:rsidRDefault="00EA0864" w:rsidP="00EA0864">
      <w:pPr>
        <w:rPr>
          <w:lang w:val="en-US"/>
        </w:rPr>
      </w:pPr>
      <w:r w:rsidRPr="00F72EE3">
        <w:rPr>
          <w:lang w:val="en-US"/>
        </w:rPr>
        <w:t xml:space="preserve">This story highlights the fact that in many cases the success of the Commissioners lies in not only what has been done, but in what has been prevented. We cannot measure the number of children who have been prevented from being taken into care. It is impossible to know the domestic violence incidents that have not </w:t>
      </w:r>
      <w:proofErr w:type="gramStart"/>
      <w:r w:rsidRPr="00F72EE3">
        <w:rPr>
          <w:lang w:val="en-US"/>
        </w:rPr>
        <w:t>happened</w:t>
      </w:r>
      <w:proofErr w:type="gramEnd"/>
      <w:r w:rsidRPr="00F72EE3">
        <w:rPr>
          <w:lang w:val="en-US"/>
        </w:rPr>
        <w:t xml:space="preserve"> and we cannot count the suicides that have been averted by the work the Commissioners have done in their communities.</w:t>
      </w:r>
    </w:p>
    <w:p w14:paraId="508FA252" w14:textId="77777777" w:rsidR="00EA0864" w:rsidRPr="00C31D49" w:rsidRDefault="00EA0864" w:rsidP="00C31D49">
      <w:pPr>
        <w:rPr>
          <w:lang w:val="en-US"/>
        </w:rPr>
      </w:pPr>
    </w:p>
    <w:p w14:paraId="7A6E8763" w14:textId="77777777" w:rsidR="00EA0864" w:rsidRPr="00C31D49" w:rsidRDefault="00EA0864" w:rsidP="00C31D49">
      <w:pPr>
        <w:rPr>
          <w:lang w:val="en-US"/>
        </w:rPr>
        <w:sectPr w:rsidR="00EA0864" w:rsidRPr="00C31D49" w:rsidSect="00047560">
          <w:headerReference w:type="even" r:id="rId50"/>
          <w:headerReference w:type="default" r:id="rId51"/>
          <w:headerReference w:type="first" r:id="rId52"/>
          <w:footnotePr>
            <w:numRestart w:val="eachSect"/>
          </w:footnotePr>
          <w:endnotePr>
            <w:numFmt w:val="decimal"/>
          </w:endnotePr>
          <w:pgSz w:w="11906" w:h="16838"/>
          <w:pgMar w:top="2948" w:right="1701" w:bottom="567" w:left="1701" w:header="0" w:footer="567" w:gutter="0"/>
          <w:cols w:space="708"/>
          <w:docGrid w:linePitch="360"/>
        </w:sectPr>
      </w:pPr>
    </w:p>
    <w:p w14:paraId="29F9377A" w14:textId="77777777" w:rsidR="00397AC5" w:rsidRPr="008E7494" w:rsidRDefault="00397AC5" w:rsidP="00F817B6">
      <w:pPr>
        <w:pStyle w:val="Heading2"/>
      </w:pPr>
      <w:r w:rsidRPr="008E7494">
        <w:lastRenderedPageBreak/>
        <w:t>Aurukun Commissioners’ report</w:t>
      </w:r>
    </w:p>
    <w:p w14:paraId="58D20B53" w14:textId="77777777" w:rsidR="00397AC5" w:rsidRPr="00063016" w:rsidRDefault="00397AC5" w:rsidP="00397AC5">
      <w:r w:rsidRPr="00063016">
        <w:t xml:space="preserve">The last year has been full of highs and lows for us as </w:t>
      </w:r>
      <w:r>
        <w:t xml:space="preserve">Local </w:t>
      </w:r>
      <w:r w:rsidRPr="00063016">
        <w:t>Commissioners. It</w:t>
      </w:r>
      <w:r>
        <w:t xml:space="preserve"> ha</w:t>
      </w:r>
      <w:r w:rsidRPr="00063016">
        <w:t xml:space="preserve">s been hard to stay positive with the uncertainty </w:t>
      </w:r>
      <w:r>
        <w:t>surrounding</w:t>
      </w:r>
      <w:r w:rsidRPr="00063016">
        <w:t xml:space="preserve"> the continuation of the Commission</w:t>
      </w:r>
      <w:r>
        <w:t>, h</w:t>
      </w:r>
      <w:r w:rsidRPr="00063016">
        <w:t>owever, we are only in our positions to support our community</w:t>
      </w:r>
      <w:r>
        <w:t>,</w:t>
      </w:r>
      <w:r w:rsidRPr="00063016">
        <w:t xml:space="preserve"> and we </w:t>
      </w:r>
      <w:r>
        <w:t>wil</w:t>
      </w:r>
      <w:r w:rsidRPr="00063016">
        <w:t>l continue to put in 100</w:t>
      </w:r>
      <w:r>
        <w:t xml:space="preserve"> percent</w:t>
      </w:r>
      <w:r w:rsidRPr="00063016">
        <w:t xml:space="preserve"> to do </w:t>
      </w:r>
      <w:r>
        <w:t>so</w:t>
      </w:r>
      <w:r w:rsidRPr="00063016">
        <w:t>.</w:t>
      </w:r>
    </w:p>
    <w:p w14:paraId="0D095E59" w14:textId="154F82DF" w:rsidR="00397AC5" w:rsidRPr="00063016" w:rsidRDefault="00397AC5" w:rsidP="00397AC5">
      <w:r w:rsidRPr="00063016">
        <w:t xml:space="preserve">The Aurukun </w:t>
      </w:r>
      <w:r>
        <w:t>State S</w:t>
      </w:r>
      <w:r w:rsidRPr="00063016">
        <w:t>chool work</w:t>
      </w:r>
      <w:r>
        <w:t>ed</w:t>
      </w:r>
      <w:r w:rsidRPr="00063016">
        <w:t xml:space="preserve"> hard with the community right </w:t>
      </w:r>
      <w:r>
        <w:t xml:space="preserve">up </w:t>
      </w:r>
      <w:r w:rsidRPr="00063016">
        <w:t>until the end of 2018 and this saw a 5</w:t>
      </w:r>
      <w:r>
        <w:t>.6 percent</w:t>
      </w:r>
      <w:r w:rsidRPr="00063016">
        <w:t xml:space="preserve"> attendance increase </w:t>
      </w:r>
      <w:r>
        <w:t xml:space="preserve">in the primary year levels </w:t>
      </w:r>
      <w:r w:rsidRPr="00063016">
        <w:t xml:space="preserve">from 2017. </w:t>
      </w:r>
      <w:r>
        <w:t xml:space="preserve">Unfortunately, </w:t>
      </w:r>
      <w:r w:rsidRPr="00063016">
        <w:t xml:space="preserve">the overall attendance figure </w:t>
      </w:r>
      <w:r>
        <w:t xml:space="preserve">is </w:t>
      </w:r>
      <w:r w:rsidRPr="00063016">
        <w:t>still below 50</w:t>
      </w:r>
      <w:r>
        <w:t xml:space="preserve"> percent, so </w:t>
      </w:r>
      <w:r w:rsidRPr="00063016">
        <w:t xml:space="preserve">there </w:t>
      </w:r>
      <w:r>
        <w:t>remains</w:t>
      </w:r>
      <w:r w:rsidRPr="00063016">
        <w:t xml:space="preserve"> a lot of work to be done. We would like to thank the parents </w:t>
      </w:r>
      <w:r>
        <w:t>who</w:t>
      </w:r>
      <w:r w:rsidRPr="00063016">
        <w:t xml:space="preserve"> continue to have their children at school every</w:t>
      </w:r>
      <w:r>
        <w:t xml:space="preserve"> </w:t>
      </w:r>
      <w:r w:rsidRPr="00063016">
        <w:t>day regardless of what is happening in community</w:t>
      </w:r>
      <w:r>
        <w:t>,</w:t>
      </w:r>
      <w:r w:rsidRPr="00063016">
        <w:t xml:space="preserve"> and for the parents that continue to struggle</w:t>
      </w:r>
      <w:r>
        <w:t>,</w:t>
      </w:r>
      <w:r w:rsidRPr="00063016">
        <w:t xml:space="preserve"> we are here to help.</w:t>
      </w:r>
    </w:p>
    <w:p w14:paraId="3B754517" w14:textId="5BB08EF1" w:rsidR="00397AC5" w:rsidRDefault="00397AC5" w:rsidP="00397AC5">
      <w:r w:rsidRPr="00063016">
        <w:t>The end of 2018 saw almost 60</w:t>
      </w:r>
      <w:r>
        <w:t xml:space="preserve"> percent</w:t>
      </w:r>
      <w:r w:rsidRPr="00063016">
        <w:t xml:space="preserve"> of the school staff leave including Principal Mike Ennis. We would like to thank all the school staff for their time in Aurukun and we appreciate you sharing your </w:t>
      </w:r>
      <w:r>
        <w:t>lives</w:t>
      </w:r>
      <w:r w:rsidRPr="00063016">
        <w:t xml:space="preserve"> with us and teaching our children. With such a big change of staff at the school we were nervous about a slow start to 2019</w:t>
      </w:r>
      <w:r>
        <w:t>. Together with</w:t>
      </w:r>
      <w:r w:rsidRPr="00063016">
        <w:t xml:space="preserve"> our new principal</w:t>
      </w:r>
      <w:r>
        <w:t>,</w:t>
      </w:r>
      <w:r w:rsidRPr="00063016">
        <w:t xml:space="preserve"> Paula Maguire</w:t>
      </w:r>
      <w:r>
        <w:t>,</w:t>
      </w:r>
      <w:r w:rsidRPr="00063016">
        <w:t xml:space="preserve"> and </w:t>
      </w:r>
      <w:r>
        <w:t>new teachers</w:t>
      </w:r>
      <w:r w:rsidRPr="00063016">
        <w:t xml:space="preserve"> we were very pleased to see </w:t>
      </w:r>
      <w:r>
        <w:t xml:space="preserve">the attendance for </w:t>
      </w:r>
      <w:r w:rsidRPr="00063016">
        <w:t>week</w:t>
      </w:r>
      <w:r>
        <w:t>s</w:t>
      </w:r>
      <w:r w:rsidRPr="00063016">
        <w:t xml:space="preserve"> 1 and 2 </w:t>
      </w:r>
      <w:r>
        <w:t xml:space="preserve">at </w:t>
      </w:r>
      <w:r w:rsidR="00666A3C">
        <w:t>around</w:t>
      </w:r>
      <w:r w:rsidRPr="00063016">
        <w:t xml:space="preserve"> 60</w:t>
      </w:r>
      <w:r>
        <w:t xml:space="preserve"> percent</w:t>
      </w:r>
      <w:r w:rsidRPr="00063016">
        <w:t>.</w:t>
      </w:r>
    </w:p>
    <w:p w14:paraId="1CE84525" w14:textId="1F688E5E" w:rsidR="00397AC5" w:rsidRPr="00063016" w:rsidRDefault="00397AC5" w:rsidP="00397AC5">
      <w:r>
        <w:t xml:space="preserve">Early in 2019 the </w:t>
      </w:r>
      <w:r w:rsidRPr="00063016">
        <w:t xml:space="preserve">Aurukun </w:t>
      </w:r>
      <w:r>
        <w:t>c</w:t>
      </w:r>
      <w:r w:rsidRPr="00063016">
        <w:t xml:space="preserve">ommunity was shocked </w:t>
      </w:r>
      <w:r>
        <w:t xml:space="preserve">and in mourning </w:t>
      </w:r>
      <w:r w:rsidRPr="00063016">
        <w:t xml:space="preserve">with the passing of local </w:t>
      </w:r>
      <w:r>
        <w:t>E</w:t>
      </w:r>
      <w:r w:rsidRPr="00063016">
        <w:t xml:space="preserve">lder and recognised artist Mavis </w:t>
      </w:r>
      <w:proofErr w:type="spellStart"/>
      <w:r w:rsidRPr="00063016">
        <w:t>Ngallametta</w:t>
      </w:r>
      <w:proofErr w:type="spellEnd"/>
      <w:r>
        <w:t>. Her passing</w:t>
      </w:r>
      <w:r w:rsidRPr="00063016">
        <w:t xml:space="preserve"> sent a shock wave through the community which unfortunately reflected on the school attendance figures. This was an extremely sad time for our community and the school attendance figures reflected the impact</w:t>
      </w:r>
      <w:r>
        <w:t>,</w:t>
      </w:r>
      <w:r w:rsidRPr="00063016">
        <w:t xml:space="preserve"> </w:t>
      </w:r>
      <w:r>
        <w:t>declining by</w:t>
      </w:r>
      <w:r w:rsidRPr="00063016">
        <w:t xml:space="preserve"> </w:t>
      </w:r>
      <w:r w:rsidR="00666A3C">
        <w:t>around</w:t>
      </w:r>
      <w:r w:rsidRPr="00063016">
        <w:t xml:space="preserve"> 20</w:t>
      </w:r>
      <w:r>
        <w:t xml:space="preserve"> percent.</w:t>
      </w:r>
    </w:p>
    <w:p w14:paraId="15B1625A" w14:textId="3BA48196" w:rsidR="00397AC5" w:rsidRPr="00063016" w:rsidRDefault="00397AC5" w:rsidP="00397AC5">
      <w:r w:rsidRPr="00063016">
        <w:t xml:space="preserve">Severe weather events took </w:t>
      </w:r>
      <w:r>
        <w:t>their</w:t>
      </w:r>
      <w:r w:rsidRPr="00063016">
        <w:t xml:space="preserve"> toll on our community early in 2019. </w:t>
      </w:r>
      <w:r>
        <w:t>We</w:t>
      </w:r>
      <w:r w:rsidRPr="00063016">
        <w:t xml:space="preserve"> </w:t>
      </w:r>
      <w:r>
        <w:t xml:space="preserve">had the </w:t>
      </w:r>
      <w:r w:rsidRPr="00063016">
        <w:t xml:space="preserve">normal </w:t>
      </w:r>
      <w:r>
        <w:t>w</w:t>
      </w:r>
      <w:r w:rsidRPr="00063016">
        <w:t>et season flooding and torrential rain</w:t>
      </w:r>
      <w:r>
        <w:t>,</w:t>
      </w:r>
      <w:r w:rsidRPr="00063016">
        <w:t xml:space="preserve"> but this </w:t>
      </w:r>
      <w:r>
        <w:t xml:space="preserve">was then </w:t>
      </w:r>
      <w:r w:rsidRPr="00063016">
        <w:t xml:space="preserve">backed up with </w:t>
      </w:r>
      <w:r>
        <w:t>C</w:t>
      </w:r>
      <w:r w:rsidRPr="00063016">
        <w:t xml:space="preserve">yclone Trevor </w:t>
      </w:r>
      <w:r>
        <w:t xml:space="preserve">in March which again </w:t>
      </w:r>
      <w:r w:rsidRPr="00063016">
        <w:t>impacted our school attendance</w:t>
      </w:r>
      <w:r>
        <w:t xml:space="preserve"> figures</w:t>
      </w:r>
      <w:r w:rsidRPr="00063016">
        <w:t xml:space="preserve">. Following </w:t>
      </w:r>
      <w:r>
        <w:t>the cyclone</w:t>
      </w:r>
      <w:r w:rsidRPr="00063016">
        <w:t xml:space="preserve"> all community members </w:t>
      </w:r>
      <w:r w:rsidRPr="009A3C02">
        <w:t>received a cyclone payment</w:t>
      </w:r>
      <w:r w:rsidRPr="00063016">
        <w:t xml:space="preserve"> from the </w:t>
      </w:r>
      <w:r>
        <w:t>State G</w:t>
      </w:r>
      <w:r w:rsidRPr="00063016">
        <w:t xml:space="preserve">overnment of $1000 per person. While this was helpful after almost a week with no power, we believe the funding arrangements could have </w:t>
      </w:r>
      <w:r>
        <w:t>been</w:t>
      </w:r>
      <w:r w:rsidRPr="00063016">
        <w:t xml:space="preserve"> managed better. The instant flood of money into community reflects the issues we have when people receive their tax returns. More money </w:t>
      </w:r>
      <w:r>
        <w:t>means</w:t>
      </w:r>
      <w:r w:rsidRPr="00063016">
        <w:t xml:space="preserve"> more drugs and alcohol. More drugs and alcohol </w:t>
      </w:r>
      <w:proofErr w:type="gramStart"/>
      <w:r>
        <w:t>mean</w:t>
      </w:r>
      <w:r w:rsidR="00C10AFD">
        <w:t>s</w:t>
      </w:r>
      <w:proofErr w:type="gramEnd"/>
      <w:r w:rsidRPr="00063016">
        <w:t xml:space="preserve"> </w:t>
      </w:r>
      <w:r>
        <w:t xml:space="preserve">fewer </w:t>
      </w:r>
      <w:r w:rsidRPr="00063016">
        <w:t>children at school and more violence in the households.</w:t>
      </w:r>
    </w:p>
    <w:p w14:paraId="5116DC3A" w14:textId="6F5B14C0" w:rsidR="00397AC5" w:rsidRPr="00063016" w:rsidRDefault="00397AC5" w:rsidP="00397AC5">
      <w:r w:rsidRPr="00063016">
        <w:t xml:space="preserve">We had several influential visitors this year </w:t>
      </w:r>
      <w:r>
        <w:t>who</w:t>
      </w:r>
      <w:r w:rsidRPr="00063016">
        <w:t xml:space="preserve"> met with </w:t>
      </w:r>
      <w:r>
        <w:t>us,</w:t>
      </w:r>
      <w:r w:rsidRPr="00063016">
        <w:t xml:space="preserve"> including </w:t>
      </w:r>
      <w:r>
        <w:t xml:space="preserve">the then Special Envoy for </w:t>
      </w:r>
      <w:r w:rsidRPr="00063016">
        <w:t xml:space="preserve">Indigenous </w:t>
      </w:r>
      <w:r>
        <w:t>A</w:t>
      </w:r>
      <w:r w:rsidRPr="00063016">
        <w:t>ffairs</w:t>
      </w:r>
      <w:r>
        <w:t>,</w:t>
      </w:r>
      <w:r w:rsidRPr="00063016">
        <w:t xml:space="preserve"> </w:t>
      </w:r>
      <w:r w:rsidR="00982E31">
        <w:t xml:space="preserve">the </w:t>
      </w:r>
      <w:r>
        <w:t>Hon</w:t>
      </w:r>
      <w:r w:rsidR="00DC21CC">
        <w:t>ourable</w:t>
      </w:r>
      <w:r>
        <w:t xml:space="preserve"> </w:t>
      </w:r>
      <w:r w:rsidRPr="00063016">
        <w:t>Tony Abbot</w:t>
      </w:r>
      <w:r>
        <w:t>t, MP</w:t>
      </w:r>
      <w:r w:rsidRPr="00063016">
        <w:t xml:space="preserve">. We took this opportunity to express our upset </w:t>
      </w:r>
      <w:r>
        <w:t>at the possible</w:t>
      </w:r>
      <w:r w:rsidRPr="00063016">
        <w:t xml:space="preserve"> closing of the Commission and spoke about the negative </w:t>
      </w:r>
      <w:r>
        <w:t>e</w:t>
      </w:r>
      <w:r w:rsidRPr="00063016">
        <w:t>ffect</w:t>
      </w:r>
      <w:r>
        <w:t>s</w:t>
      </w:r>
      <w:r w:rsidRPr="00063016">
        <w:t xml:space="preserve"> that we predict will happen </w:t>
      </w:r>
      <w:r>
        <w:t xml:space="preserve">should the </w:t>
      </w:r>
      <w:r w:rsidRPr="00063016">
        <w:t>closure</w:t>
      </w:r>
      <w:r>
        <w:t xml:space="preserve"> eventuate</w:t>
      </w:r>
      <w:r w:rsidRPr="00063016">
        <w:t>. Mr Abbot</w:t>
      </w:r>
      <w:r w:rsidR="009450E9">
        <w:t>t</w:t>
      </w:r>
      <w:r w:rsidRPr="00063016">
        <w:t xml:space="preserve"> </w:t>
      </w:r>
      <w:r>
        <w:t xml:space="preserve">expressed his </w:t>
      </w:r>
      <w:r w:rsidRPr="00063016">
        <w:t xml:space="preserve">full support to back us in extending the life of the FRC which was great to </w:t>
      </w:r>
      <w:r>
        <w:t>hear</w:t>
      </w:r>
      <w:r w:rsidRPr="00063016">
        <w:t>.</w:t>
      </w:r>
    </w:p>
    <w:p w14:paraId="750B8C7C" w14:textId="64057EB6" w:rsidR="00397AC5" w:rsidRPr="00C91E0A" w:rsidRDefault="00397AC5" w:rsidP="00397AC5">
      <w:r w:rsidRPr="00511F0F">
        <w:t xml:space="preserve">With all the talk of the FRC being </w:t>
      </w:r>
      <w:r>
        <w:t>shut</w:t>
      </w:r>
      <w:r w:rsidRPr="00511F0F">
        <w:t xml:space="preserve"> down we formally requested</w:t>
      </w:r>
      <w:r>
        <w:t xml:space="preserve"> to meet face to face with</w:t>
      </w:r>
      <w:r w:rsidRPr="00511F0F">
        <w:t xml:space="preserve"> the new Director</w:t>
      </w:r>
      <w:r>
        <w:t>-</w:t>
      </w:r>
      <w:r w:rsidRPr="00511F0F">
        <w:t xml:space="preserve">General </w:t>
      </w:r>
      <w:r>
        <w:t xml:space="preserve">of DATSIP Dr </w:t>
      </w:r>
      <w:r w:rsidRPr="00511F0F">
        <w:t xml:space="preserve">Chris </w:t>
      </w:r>
      <w:proofErr w:type="spellStart"/>
      <w:r w:rsidRPr="00511F0F">
        <w:t>Sa</w:t>
      </w:r>
      <w:r>
        <w:t>r</w:t>
      </w:r>
      <w:r w:rsidRPr="00511F0F">
        <w:t>ra</w:t>
      </w:r>
      <w:proofErr w:type="spellEnd"/>
      <w:r w:rsidRPr="00511F0F">
        <w:t xml:space="preserve"> to </w:t>
      </w:r>
      <w:r>
        <w:t xml:space="preserve">discuss </w:t>
      </w:r>
      <w:r w:rsidRPr="00511F0F">
        <w:t xml:space="preserve">our future. We were pleased Dr </w:t>
      </w:r>
      <w:proofErr w:type="spellStart"/>
      <w:r w:rsidRPr="00511F0F">
        <w:t>Sar</w:t>
      </w:r>
      <w:r>
        <w:t>r</w:t>
      </w:r>
      <w:r w:rsidRPr="00511F0F">
        <w:t>a</w:t>
      </w:r>
      <w:proofErr w:type="spellEnd"/>
      <w:r w:rsidRPr="00511F0F">
        <w:t xml:space="preserve"> took the time to come to Aurukun and meet with us as a group. </w:t>
      </w:r>
      <w:r w:rsidRPr="00C2392E">
        <w:t xml:space="preserve">We are still confused, however, as to the </w:t>
      </w:r>
      <w:r>
        <w:t xml:space="preserve">Queensland </w:t>
      </w:r>
      <w:r w:rsidRPr="00C2392E">
        <w:t xml:space="preserve">Government’s new </w:t>
      </w:r>
      <w:r w:rsidR="0031180F">
        <w:t xml:space="preserve">Local </w:t>
      </w:r>
      <w:r w:rsidRPr="00C2392E">
        <w:t xml:space="preserve">Thriving </w:t>
      </w:r>
      <w:r>
        <w:t>C</w:t>
      </w:r>
      <w:r w:rsidRPr="00C2392E">
        <w:t xml:space="preserve">ommunities model with which he is proposing to replace the FRC. All that we ask as </w:t>
      </w:r>
      <w:r>
        <w:t xml:space="preserve">Local </w:t>
      </w:r>
      <w:r w:rsidRPr="00C2392E">
        <w:t>Commissioners and community members is to be involved in any new changes or programs that come into our community</w:t>
      </w:r>
      <w:r>
        <w:t>,</w:t>
      </w:r>
      <w:r w:rsidRPr="00C2392E">
        <w:t xml:space="preserve"> and to </w:t>
      </w:r>
      <w:r>
        <w:t xml:space="preserve">have our </w:t>
      </w:r>
      <w:r w:rsidRPr="00C2392E">
        <w:t>views and concerns</w:t>
      </w:r>
      <w:r>
        <w:t xml:space="preserve"> considered prior to any decisions being made</w:t>
      </w:r>
      <w:r w:rsidRPr="00C2392E">
        <w:t>.</w:t>
      </w:r>
    </w:p>
    <w:p w14:paraId="57197512" w14:textId="77777777" w:rsidR="001803B7" w:rsidRDefault="001803B7">
      <w:pPr>
        <w:spacing w:after="160" w:line="259" w:lineRule="auto"/>
      </w:pPr>
      <w:r>
        <w:br w:type="page"/>
      </w:r>
    </w:p>
    <w:p w14:paraId="06AD0F7B" w14:textId="77777777" w:rsidR="00397AC5" w:rsidRPr="00063016" w:rsidRDefault="00397AC5" w:rsidP="00397AC5">
      <w:r w:rsidRPr="00063016">
        <w:lastRenderedPageBreak/>
        <w:t xml:space="preserve">On a positive note </w:t>
      </w:r>
      <w:r>
        <w:t>o</w:t>
      </w:r>
      <w:r w:rsidRPr="00063016">
        <w:t xml:space="preserve">ur fellow </w:t>
      </w:r>
      <w:r>
        <w:t xml:space="preserve">Local </w:t>
      </w:r>
      <w:r w:rsidRPr="00063016">
        <w:t xml:space="preserve">Commissioner Ada Woolla has been appointed to the Queensland First Children and Families Board. The Board will oversee the implementation of </w:t>
      </w:r>
      <w:r w:rsidRPr="002A70B9">
        <w:rPr>
          <w:i/>
        </w:rPr>
        <w:t xml:space="preserve">Our Way – A generational strategy for Aboriginal and Torres Strait Islander children and families 2017 – 2037 </w:t>
      </w:r>
      <w:r w:rsidRPr="001868CB">
        <w:t>and</w:t>
      </w:r>
      <w:r w:rsidRPr="002A70B9">
        <w:rPr>
          <w:i/>
        </w:rPr>
        <w:t xml:space="preserve"> Changing Tracks – An action plan for Aboriginal and Torres Strait Islander children and families 2017 – 2019.</w:t>
      </w:r>
    </w:p>
    <w:p w14:paraId="3837904A" w14:textId="77777777" w:rsidR="00397AC5" w:rsidRPr="00063016" w:rsidRDefault="00397AC5" w:rsidP="00397AC5">
      <w:r w:rsidRPr="00063016">
        <w:t>We were very proud to see Aurukun children working closely with</w:t>
      </w:r>
      <w:r>
        <w:t xml:space="preserve"> the</w:t>
      </w:r>
      <w:r w:rsidRPr="00063016">
        <w:t xml:space="preserve"> Queensland </w:t>
      </w:r>
      <w:r>
        <w:t>M</w:t>
      </w:r>
      <w:r w:rsidRPr="00063016">
        <w:t xml:space="preserve">usic </w:t>
      </w:r>
      <w:r>
        <w:t>F</w:t>
      </w:r>
      <w:r w:rsidRPr="00063016">
        <w:t>estival</w:t>
      </w:r>
      <w:r>
        <w:t xml:space="preserve"> (QMF) </w:t>
      </w:r>
      <w:r w:rsidRPr="00063016">
        <w:t xml:space="preserve">for the </w:t>
      </w:r>
      <w:r>
        <w:t>seventh</w:t>
      </w:r>
      <w:r w:rsidRPr="00063016">
        <w:t xml:space="preserve"> year running. QMF has set such high expectations for the Aurukun children and </w:t>
      </w:r>
      <w:r>
        <w:t>it</w:t>
      </w:r>
      <w:r w:rsidRPr="00063016">
        <w:t xml:space="preserve"> makes us </w:t>
      </w:r>
      <w:r>
        <w:t>very happy</w:t>
      </w:r>
      <w:r w:rsidRPr="00063016">
        <w:t xml:space="preserve"> </w:t>
      </w:r>
      <w:r>
        <w:t>to see</w:t>
      </w:r>
      <w:r w:rsidRPr="00063016">
        <w:t xml:space="preserve"> our children </w:t>
      </w:r>
      <w:r>
        <w:t>exceed</w:t>
      </w:r>
      <w:r w:rsidRPr="00063016">
        <w:t xml:space="preserve"> these expectations and travel out of community to perform with QMF.</w:t>
      </w:r>
    </w:p>
    <w:p w14:paraId="46A73FF9" w14:textId="77777777" w:rsidR="00397AC5" w:rsidRPr="00063016" w:rsidRDefault="00397AC5" w:rsidP="00397AC5">
      <w:r w:rsidRPr="00063016">
        <w:t xml:space="preserve">Due to the uncertainty </w:t>
      </w:r>
      <w:r>
        <w:t xml:space="preserve">surrounding </w:t>
      </w:r>
      <w:r w:rsidRPr="00063016">
        <w:t>the continuation of our positions</w:t>
      </w:r>
      <w:r>
        <w:t>,</w:t>
      </w:r>
      <w:r w:rsidRPr="00063016">
        <w:t xml:space="preserve"> our service referrals have dramatically reduced. We did</w:t>
      </w:r>
      <w:r>
        <w:t xml:space="preserve"> </w:t>
      </w:r>
      <w:r w:rsidRPr="00063016">
        <w:t>n</w:t>
      </w:r>
      <w:r>
        <w:t>o</w:t>
      </w:r>
      <w:r w:rsidRPr="00063016">
        <w:t>t want to start our clients on case plans and false promises to see everything cease not long after. But</w:t>
      </w:r>
      <w:r>
        <w:t xml:space="preserve"> we will carry on as normal</w:t>
      </w:r>
      <w:r w:rsidRPr="00063016">
        <w:t xml:space="preserve"> with the continuation of our positions </w:t>
      </w:r>
      <w:r>
        <w:t>(</w:t>
      </w:r>
      <w:r w:rsidRPr="00063016">
        <w:t xml:space="preserve">although we don’t know </w:t>
      </w:r>
      <w:r>
        <w:t xml:space="preserve">for </w:t>
      </w:r>
      <w:r w:rsidRPr="00063016">
        <w:t>how long</w:t>
      </w:r>
      <w:r>
        <w:t>)</w:t>
      </w:r>
      <w:r w:rsidRPr="00063016">
        <w:t xml:space="preserve"> and </w:t>
      </w:r>
      <w:r>
        <w:t xml:space="preserve">we will </w:t>
      </w:r>
      <w:r w:rsidRPr="00063016">
        <w:t xml:space="preserve">aim to lift </w:t>
      </w:r>
      <w:proofErr w:type="gramStart"/>
      <w:r w:rsidRPr="00063016">
        <w:t>all of</w:t>
      </w:r>
      <w:proofErr w:type="gramEnd"/>
      <w:r w:rsidRPr="00063016">
        <w:t xml:space="preserve"> our referrals, income management decisions and support to our clients to hopefully see some big improvements in Aurukun in the coming months.</w:t>
      </w:r>
    </w:p>
    <w:p w14:paraId="194E0C2D" w14:textId="77777777" w:rsidR="00397AC5" w:rsidRPr="00063016" w:rsidRDefault="00397AC5" w:rsidP="00397AC5">
      <w:r>
        <w:t xml:space="preserve">Development in the </w:t>
      </w:r>
      <w:r w:rsidRPr="00063016">
        <w:t xml:space="preserve">Aurukun </w:t>
      </w:r>
      <w:r>
        <w:t>c</w:t>
      </w:r>
      <w:r w:rsidRPr="00063016">
        <w:t xml:space="preserve">ommunity is moving forward with the continuation of new community housing, new </w:t>
      </w:r>
      <w:r>
        <w:t>G</w:t>
      </w:r>
      <w:r w:rsidRPr="00063016">
        <w:t>overnment housing, new accommodation for elders at the age</w:t>
      </w:r>
      <w:r>
        <w:t>d</w:t>
      </w:r>
      <w:r w:rsidRPr="00063016">
        <w:t xml:space="preserve"> care facility</w:t>
      </w:r>
      <w:r>
        <w:t>,</w:t>
      </w:r>
      <w:r w:rsidRPr="00063016">
        <w:t xml:space="preserve"> a new splash park for the children and much more. </w:t>
      </w:r>
      <w:r>
        <w:t>These</w:t>
      </w:r>
      <w:r w:rsidRPr="00063016">
        <w:t xml:space="preserve"> new </w:t>
      </w:r>
      <w:r>
        <w:t>developments</w:t>
      </w:r>
      <w:r w:rsidRPr="00063016">
        <w:t xml:space="preserve"> ha</w:t>
      </w:r>
      <w:r>
        <w:t>ve</w:t>
      </w:r>
      <w:r w:rsidRPr="00063016">
        <w:t xml:space="preserve"> many benefits to our community</w:t>
      </w:r>
      <w:r>
        <w:t>,</w:t>
      </w:r>
      <w:r w:rsidRPr="00063016">
        <w:t xml:space="preserve"> from creating jobs to better housing and </w:t>
      </w:r>
      <w:r>
        <w:t>b</w:t>
      </w:r>
      <w:r w:rsidRPr="00063016">
        <w:t>etter care for our elders. It</w:t>
      </w:r>
      <w:r>
        <w:t>’</w:t>
      </w:r>
      <w:r w:rsidRPr="00063016">
        <w:t xml:space="preserve">s exciting to see the continuation of these projects. We were also lucky enough to have a fully refurbished Justice </w:t>
      </w:r>
      <w:r>
        <w:t>G</w:t>
      </w:r>
      <w:r w:rsidRPr="00063016">
        <w:t xml:space="preserve">roup building </w:t>
      </w:r>
      <w:r>
        <w:t xml:space="preserve">which is </w:t>
      </w:r>
      <w:r w:rsidRPr="00063016">
        <w:t>where we conduct our conferencing.</w:t>
      </w:r>
    </w:p>
    <w:p w14:paraId="6235D038" w14:textId="77777777" w:rsidR="00397AC5" w:rsidRPr="00063016" w:rsidRDefault="00397AC5" w:rsidP="00397AC5">
      <w:r w:rsidRPr="002A00B7">
        <w:t>As the year moves on</w:t>
      </w:r>
      <w:r>
        <w:t>,</w:t>
      </w:r>
      <w:r w:rsidRPr="002A00B7">
        <w:t xml:space="preserve"> it is the sound of the children playing in the school grounds that inspires us to continue to work hard to lead and support our community to the best of our ability.</w:t>
      </w:r>
    </w:p>
    <w:p w14:paraId="4581E530" w14:textId="77777777" w:rsidR="00397AC5" w:rsidRPr="008E7494" w:rsidRDefault="00397AC5" w:rsidP="00397AC5"/>
    <w:p w14:paraId="23422B0C" w14:textId="24CF9FDC" w:rsidR="00397AC5" w:rsidRDefault="00397AC5" w:rsidP="00397AC5">
      <w:pPr>
        <w:rPr>
          <w:b/>
          <w:lang w:val="en-US"/>
        </w:rPr>
      </w:pPr>
      <w:r w:rsidRPr="008E7494">
        <w:rPr>
          <w:b/>
          <w:lang w:val="en-US"/>
        </w:rPr>
        <w:t xml:space="preserve">Aurukun Commissioners Edgar Kerindun, Doris Poonkamelya, Ada Woolla, Dorothy Pootchemunka, Vera </w:t>
      </w:r>
      <w:proofErr w:type="spellStart"/>
      <w:r w:rsidRPr="008E7494">
        <w:rPr>
          <w:b/>
          <w:lang w:val="en-US"/>
        </w:rPr>
        <w:t>Koomeeta</w:t>
      </w:r>
      <w:proofErr w:type="spellEnd"/>
      <w:r w:rsidRPr="008E7494">
        <w:rPr>
          <w:b/>
          <w:lang w:val="en-US"/>
        </w:rPr>
        <w:t xml:space="preserve"> and Keri </w:t>
      </w:r>
      <w:proofErr w:type="spellStart"/>
      <w:r w:rsidRPr="008E7494">
        <w:rPr>
          <w:b/>
          <w:lang w:val="en-US"/>
        </w:rPr>
        <w:t>Tamwoy</w:t>
      </w:r>
      <w:proofErr w:type="spellEnd"/>
      <w:r w:rsidRPr="008E7494">
        <w:rPr>
          <w:b/>
          <w:lang w:val="en-US"/>
        </w:rPr>
        <w:t>.</w:t>
      </w:r>
    </w:p>
    <w:p w14:paraId="4C3475F7" w14:textId="77777777" w:rsidR="00EF37DF" w:rsidRDefault="00EF37DF" w:rsidP="00397AC5">
      <w:pPr>
        <w:rPr>
          <w:b/>
          <w:lang w:val="en-US"/>
        </w:rPr>
      </w:pPr>
    </w:p>
    <w:p w14:paraId="2A4499DE" w14:textId="77777777" w:rsidR="00EF37DF" w:rsidRDefault="00EF37DF" w:rsidP="00397AC5">
      <w:pPr>
        <w:rPr>
          <w:b/>
          <w:lang w:val="en-US"/>
        </w:rPr>
        <w:sectPr w:rsidR="00EF37DF" w:rsidSect="00711EF1">
          <w:headerReference w:type="even" r:id="rId53"/>
          <w:headerReference w:type="default" r:id="rId54"/>
          <w:headerReference w:type="first" r:id="rId55"/>
          <w:footnotePr>
            <w:numRestart w:val="eachSect"/>
          </w:footnotePr>
          <w:pgSz w:w="11906" w:h="16838"/>
          <w:pgMar w:top="2948" w:right="1701" w:bottom="567" w:left="1701" w:header="0" w:footer="567" w:gutter="0"/>
          <w:cols w:space="708"/>
          <w:docGrid w:linePitch="360"/>
        </w:sectPr>
      </w:pPr>
    </w:p>
    <w:p w14:paraId="340C28C5" w14:textId="77777777" w:rsidR="00E953F9" w:rsidRPr="00473127" w:rsidRDefault="00E953F9" w:rsidP="00F817B6">
      <w:pPr>
        <w:pStyle w:val="Heading2"/>
      </w:pPr>
      <w:r>
        <w:lastRenderedPageBreak/>
        <w:t>Coen Local Commissioners’ report</w:t>
      </w:r>
    </w:p>
    <w:p w14:paraId="5184D25A" w14:textId="14F3FF5D" w:rsidR="00E953F9" w:rsidRPr="00056BC2" w:rsidRDefault="00E953F9" w:rsidP="00E953F9">
      <w:pPr>
        <w:pStyle w:val="Subhead"/>
        <w:spacing w:after="120"/>
        <w:rPr>
          <w:rFonts w:cs="Times New Roman"/>
          <w:b w:val="0"/>
          <w:bCs w:val="0"/>
          <w:color w:val="auto"/>
          <w:sz w:val="20"/>
          <w:szCs w:val="24"/>
        </w:rPr>
      </w:pPr>
      <w:r w:rsidRPr="00056BC2">
        <w:rPr>
          <w:rFonts w:cs="Times New Roman"/>
          <w:b w:val="0"/>
          <w:bCs w:val="0"/>
          <w:color w:val="auto"/>
          <w:sz w:val="20"/>
          <w:szCs w:val="24"/>
        </w:rPr>
        <w:t xml:space="preserve">Our focus this year has been to build on the progress achieved over the </w:t>
      </w:r>
      <w:r>
        <w:rPr>
          <w:rFonts w:cs="Times New Roman"/>
          <w:b w:val="0"/>
          <w:bCs w:val="0"/>
          <w:color w:val="auto"/>
          <w:sz w:val="20"/>
          <w:szCs w:val="24"/>
        </w:rPr>
        <w:t>last</w:t>
      </w:r>
      <w:r w:rsidRPr="00056BC2">
        <w:rPr>
          <w:rFonts w:cs="Times New Roman"/>
          <w:b w:val="0"/>
          <w:bCs w:val="0"/>
          <w:color w:val="auto"/>
          <w:sz w:val="20"/>
          <w:szCs w:val="24"/>
        </w:rPr>
        <w:t xml:space="preserve"> </w:t>
      </w:r>
      <w:r>
        <w:rPr>
          <w:rFonts w:cs="Times New Roman"/>
          <w:b w:val="0"/>
          <w:bCs w:val="0"/>
          <w:color w:val="auto"/>
          <w:sz w:val="20"/>
          <w:szCs w:val="24"/>
        </w:rPr>
        <w:t>11</w:t>
      </w:r>
      <w:r w:rsidRPr="00056BC2">
        <w:rPr>
          <w:rFonts w:cs="Times New Roman"/>
          <w:b w:val="0"/>
          <w:bCs w:val="0"/>
          <w:color w:val="auto"/>
          <w:sz w:val="20"/>
          <w:szCs w:val="24"/>
        </w:rPr>
        <w:t xml:space="preserve"> years</w:t>
      </w:r>
      <w:r>
        <w:rPr>
          <w:rFonts w:cs="Times New Roman"/>
          <w:b w:val="0"/>
          <w:bCs w:val="0"/>
          <w:color w:val="auto"/>
          <w:sz w:val="20"/>
          <w:szCs w:val="24"/>
        </w:rPr>
        <w:t>,</w:t>
      </w:r>
      <w:r w:rsidRPr="00056BC2">
        <w:rPr>
          <w:rFonts w:cs="Times New Roman"/>
          <w:b w:val="0"/>
          <w:bCs w:val="0"/>
          <w:color w:val="auto"/>
          <w:sz w:val="20"/>
          <w:szCs w:val="24"/>
        </w:rPr>
        <w:t xml:space="preserve"> </w:t>
      </w:r>
      <w:r>
        <w:rPr>
          <w:rFonts w:cs="Times New Roman"/>
          <w:b w:val="0"/>
          <w:bCs w:val="0"/>
          <w:color w:val="auto"/>
          <w:sz w:val="20"/>
          <w:szCs w:val="24"/>
        </w:rPr>
        <w:t xml:space="preserve">with the </w:t>
      </w:r>
      <w:r w:rsidRPr="00056BC2">
        <w:rPr>
          <w:rFonts w:cs="Times New Roman"/>
          <w:b w:val="0"/>
          <w:bCs w:val="0"/>
          <w:color w:val="auto"/>
          <w:sz w:val="20"/>
          <w:szCs w:val="24"/>
        </w:rPr>
        <w:t>hope that we have done enough</w:t>
      </w:r>
      <w:r>
        <w:rPr>
          <w:rFonts w:cs="Times New Roman"/>
          <w:b w:val="0"/>
          <w:bCs w:val="0"/>
          <w:color w:val="auto"/>
          <w:sz w:val="20"/>
          <w:szCs w:val="24"/>
        </w:rPr>
        <w:t xml:space="preserve"> for our community</w:t>
      </w:r>
      <w:r w:rsidRPr="00056BC2">
        <w:rPr>
          <w:rFonts w:cs="Times New Roman"/>
          <w:b w:val="0"/>
          <w:bCs w:val="0"/>
          <w:color w:val="auto"/>
          <w:sz w:val="20"/>
          <w:szCs w:val="24"/>
        </w:rPr>
        <w:t xml:space="preserve"> to continue </w:t>
      </w:r>
      <w:r>
        <w:rPr>
          <w:rFonts w:cs="Times New Roman"/>
          <w:b w:val="0"/>
          <w:bCs w:val="0"/>
          <w:color w:val="auto"/>
          <w:sz w:val="20"/>
          <w:szCs w:val="24"/>
        </w:rPr>
        <w:t xml:space="preserve">as Local Commissioners </w:t>
      </w:r>
      <w:r w:rsidRPr="00056BC2">
        <w:rPr>
          <w:rFonts w:cs="Times New Roman"/>
          <w:b w:val="0"/>
          <w:bCs w:val="0"/>
          <w:color w:val="auto"/>
          <w:sz w:val="20"/>
          <w:szCs w:val="24"/>
        </w:rPr>
        <w:t>through the next 10 years. Children are our future and that inspires us to</w:t>
      </w:r>
      <w:r>
        <w:rPr>
          <w:rFonts w:cs="Times New Roman"/>
          <w:b w:val="0"/>
          <w:bCs w:val="0"/>
          <w:color w:val="auto"/>
          <w:sz w:val="20"/>
          <w:szCs w:val="24"/>
        </w:rPr>
        <w:t>:</w:t>
      </w:r>
      <w:r w:rsidRPr="00056BC2">
        <w:rPr>
          <w:rFonts w:cs="Times New Roman"/>
          <w:b w:val="0"/>
          <w:bCs w:val="0"/>
          <w:color w:val="auto"/>
          <w:sz w:val="20"/>
          <w:szCs w:val="24"/>
        </w:rPr>
        <w:t xml:space="preserve"> engage with our people</w:t>
      </w:r>
      <w:r>
        <w:rPr>
          <w:rFonts w:cs="Times New Roman"/>
          <w:b w:val="0"/>
          <w:bCs w:val="0"/>
          <w:color w:val="auto"/>
          <w:sz w:val="20"/>
          <w:szCs w:val="24"/>
        </w:rPr>
        <w:t>;</w:t>
      </w:r>
      <w:r w:rsidRPr="00056BC2">
        <w:rPr>
          <w:rFonts w:cs="Times New Roman"/>
          <w:b w:val="0"/>
          <w:bCs w:val="0"/>
          <w:color w:val="auto"/>
          <w:sz w:val="20"/>
          <w:szCs w:val="24"/>
        </w:rPr>
        <w:t xml:space="preserve"> encourage </w:t>
      </w:r>
      <w:r>
        <w:rPr>
          <w:rFonts w:cs="Times New Roman"/>
          <w:b w:val="0"/>
          <w:bCs w:val="0"/>
          <w:color w:val="auto"/>
          <w:sz w:val="20"/>
          <w:szCs w:val="24"/>
        </w:rPr>
        <w:t xml:space="preserve">families to practice consistency when </w:t>
      </w:r>
      <w:r w:rsidRPr="00056BC2">
        <w:rPr>
          <w:rFonts w:cs="Times New Roman"/>
          <w:b w:val="0"/>
          <w:bCs w:val="0"/>
          <w:color w:val="auto"/>
          <w:sz w:val="20"/>
          <w:szCs w:val="24"/>
        </w:rPr>
        <w:t>sending their children to school</w:t>
      </w:r>
      <w:r>
        <w:rPr>
          <w:rFonts w:cs="Times New Roman"/>
          <w:b w:val="0"/>
          <w:bCs w:val="0"/>
          <w:color w:val="auto"/>
          <w:sz w:val="20"/>
          <w:szCs w:val="24"/>
        </w:rPr>
        <w:t xml:space="preserve"> to</w:t>
      </w:r>
      <w:r w:rsidRPr="00056BC2">
        <w:rPr>
          <w:rFonts w:cs="Times New Roman"/>
          <w:b w:val="0"/>
          <w:bCs w:val="0"/>
          <w:color w:val="auto"/>
          <w:sz w:val="20"/>
          <w:szCs w:val="24"/>
        </w:rPr>
        <w:t xml:space="preserve"> </w:t>
      </w:r>
      <w:r>
        <w:rPr>
          <w:rFonts w:cs="Times New Roman"/>
          <w:b w:val="0"/>
          <w:bCs w:val="0"/>
          <w:color w:val="auto"/>
          <w:sz w:val="20"/>
          <w:szCs w:val="24"/>
        </w:rPr>
        <w:t>give them the best opportunity to be</w:t>
      </w:r>
      <w:r w:rsidRPr="00056BC2">
        <w:rPr>
          <w:rFonts w:cs="Times New Roman"/>
          <w:b w:val="0"/>
          <w:bCs w:val="0"/>
          <w:color w:val="auto"/>
          <w:sz w:val="20"/>
          <w:szCs w:val="24"/>
        </w:rPr>
        <w:t xml:space="preserve"> prepared for the future</w:t>
      </w:r>
      <w:r>
        <w:rPr>
          <w:rFonts w:cs="Times New Roman"/>
          <w:b w:val="0"/>
          <w:bCs w:val="0"/>
          <w:color w:val="auto"/>
          <w:sz w:val="20"/>
          <w:szCs w:val="24"/>
        </w:rPr>
        <w:t>;</w:t>
      </w:r>
      <w:r w:rsidRPr="00056BC2">
        <w:rPr>
          <w:rFonts w:cs="Times New Roman"/>
          <w:b w:val="0"/>
          <w:bCs w:val="0"/>
          <w:color w:val="auto"/>
          <w:sz w:val="20"/>
          <w:szCs w:val="24"/>
        </w:rPr>
        <w:t xml:space="preserve"> </w:t>
      </w:r>
      <w:r>
        <w:rPr>
          <w:rFonts w:cs="Times New Roman"/>
          <w:b w:val="0"/>
          <w:bCs w:val="0"/>
          <w:color w:val="auto"/>
          <w:sz w:val="20"/>
          <w:szCs w:val="24"/>
        </w:rPr>
        <w:t xml:space="preserve">and to </w:t>
      </w:r>
      <w:r w:rsidRPr="00056BC2">
        <w:rPr>
          <w:rFonts w:cs="Times New Roman"/>
          <w:b w:val="0"/>
          <w:bCs w:val="0"/>
          <w:color w:val="auto"/>
          <w:sz w:val="20"/>
          <w:szCs w:val="24"/>
        </w:rPr>
        <w:t>support our people on their journey of change</w:t>
      </w:r>
      <w:r>
        <w:rPr>
          <w:rFonts w:cs="Times New Roman"/>
          <w:b w:val="0"/>
          <w:bCs w:val="0"/>
          <w:color w:val="auto"/>
          <w:sz w:val="20"/>
          <w:szCs w:val="24"/>
        </w:rPr>
        <w:t xml:space="preserve"> toward</w:t>
      </w:r>
      <w:r w:rsidRPr="00056BC2">
        <w:rPr>
          <w:rFonts w:cs="Times New Roman"/>
          <w:b w:val="0"/>
          <w:bCs w:val="0"/>
          <w:color w:val="auto"/>
          <w:sz w:val="20"/>
          <w:szCs w:val="24"/>
        </w:rPr>
        <w:t xml:space="preserve"> taking responsibility for themselves and their families. While we continue to be a voice for our people and fight for opportunities our people deserve, we feel this year our voices have fallen upon deaf ears and brought some uncertainty about our vision for the future. We are talking about the transition of the Family Responsibilities Commission and </w:t>
      </w:r>
      <w:r w:rsidR="00D405EC">
        <w:rPr>
          <w:rFonts w:cs="Times New Roman"/>
          <w:b w:val="0"/>
          <w:bCs w:val="0"/>
          <w:color w:val="auto"/>
          <w:sz w:val="20"/>
          <w:szCs w:val="24"/>
        </w:rPr>
        <w:t>w</w:t>
      </w:r>
      <w:r w:rsidRPr="00056BC2">
        <w:rPr>
          <w:rFonts w:cs="Times New Roman"/>
          <w:b w:val="0"/>
          <w:bCs w:val="0"/>
          <w:color w:val="auto"/>
          <w:sz w:val="20"/>
          <w:szCs w:val="24"/>
        </w:rPr>
        <w:t xml:space="preserve">elfare </w:t>
      </w:r>
      <w:r w:rsidR="00D405EC">
        <w:rPr>
          <w:rFonts w:cs="Times New Roman"/>
          <w:b w:val="0"/>
          <w:bCs w:val="0"/>
          <w:color w:val="auto"/>
          <w:sz w:val="20"/>
          <w:szCs w:val="24"/>
        </w:rPr>
        <w:t>r</w:t>
      </w:r>
      <w:r w:rsidRPr="00056BC2">
        <w:rPr>
          <w:rFonts w:cs="Times New Roman"/>
          <w:b w:val="0"/>
          <w:bCs w:val="0"/>
          <w:color w:val="auto"/>
          <w:sz w:val="20"/>
          <w:szCs w:val="24"/>
        </w:rPr>
        <w:t xml:space="preserve">eform communities </w:t>
      </w:r>
      <w:r>
        <w:rPr>
          <w:rFonts w:cs="Times New Roman"/>
          <w:b w:val="0"/>
          <w:bCs w:val="0"/>
          <w:color w:val="auto"/>
          <w:sz w:val="20"/>
          <w:szCs w:val="24"/>
        </w:rPr>
        <w:t xml:space="preserve">of Aurukun, </w:t>
      </w:r>
      <w:r w:rsidRPr="00056BC2">
        <w:rPr>
          <w:rFonts w:cs="Times New Roman"/>
          <w:b w:val="0"/>
          <w:bCs w:val="0"/>
          <w:color w:val="auto"/>
          <w:sz w:val="20"/>
          <w:szCs w:val="24"/>
        </w:rPr>
        <w:t xml:space="preserve">Coen, </w:t>
      </w:r>
      <w:r>
        <w:rPr>
          <w:rFonts w:cs="Times New Roman"/>
          <w:b w:val="0"/>
          <w:bCs w:val="0"/>
          <w:color w:val="auto"/>
          <w:sz w:val="20"/>
          <w:szCs w:val="24"/>
        </w:rPr>
        <w:t xml:space="preserve">Doomadgee, </w:t>
      </w:r>
      <w:r w:rsidRPr="00056BC2">
        <w:rPr>
          <w:rFonts w:cs="Times New Roman"/>
          <w:b w:val="0"/>
          <w:bCs w:val="0"/>
          <w:color w:val="auto"/>
          <w:sz w:val="20"/>
          <w:szCs w:val="24"/>
        </w:rPr>
        <w:t>Hope Vale</w:t>
      </w:r>
      <w:r>
        <w:rPr>
          <w:rFonts w:cs="Times New Roman"/>
          <w:b w:val="0"/>
          <w:bCs w:val="0"/>
          <w:color w:val="auto"/>
          <w:sz w:val="20"/>
          <w:szCs w:val="24"/>
        </w:rPr>
        <w:t xml:space="preserve"> and</w:t>
      </w:r>
      <w:r w:rsidRPr="00056BC2">
        <w:rPr>
          <w:rFonts w:cs="Times New Roman"/>
          <w:b w:val="0"/>
          <w:bCs w:val="0"/>
          <w:color w:val="auto"/>
          <w:sz w:val="20"/>
          <w:szCs w:val="24"/>
        </w:rPr>
        <w:t xml:space="preserve"> Mossman Gorge to a new </w:t>
      </w:r>
      <w:r>
        <w:rPr>
          <w:rFonts w:cs="Times New Roman"/>
          <w:b w:val="0"/>
          <w:bCs w:val="0"/>
          <w:color w:val="auto"/>
          <w:sz w:val="20"/>
          <w:szCs w:val="24"/>
        </w:rPr>
        <w:t xml:space="preserve">and </w:t>
      </w:r>
      <w:proofErr w:type="gramStart"/>
      <w:r>
        <w:rPr>
          <w:rFonts w:cs="Times New Roman"/>
          <w:b w:val="0"/>
          <w:bCs w:val="0"/>
          <w:color w:val="auto"/>
          <w:sz w:val="20"/>
          <w:szCs w:val="24"/>
        </w:rPr>
        <w:t>as yet</w:t>
      </w:r>
      <w:proofErr w:type="gramEnd"/>
      <w:r>
        <w:rPr>
          <w:rFonts w:cs="Times New Roman"/>
          <w:b w:val="0"/>
          <w:bCs w:val="0"/>
          <w:color w:val="auto"/>
          <w:sz w:val="20"/>
          <w:szCs w:val="24"/>
        </w:rPr>
        <w:t xml:space="preserve"> ill-defined </w:t>
      </w:r>
      <w:r w:rsidRPr="00056BC2">
        <w:rPr>
          <w:rFonts w:cs="Times New Roman"/>
          <w:b w:val="0"/>
          <w:bCs w:val="0"/>
          <w:color w:val="auto"/>
          <w:sz w:val="20"/>
          <w:szCs w:val="24"/>
        </w:rPr>
        <w:t>model called</w:t>
      </w:r>
      <w:r w:rsidR="0031180F">
        <w:rPr>
          <w:rFonts w:cs="Times New Roman"/>
          <w:b w:val="0"/>
          <w:bCs w:val="0"/>
          <w:color w:val="auto"/>
          <w:sz w:val="20"/>
          <w:szCs w:val="24"/>
        </w:rPr>
        <w:t xml:space="preserve"> Local</w:t>
      </w:r>
      <w:r w:rsidRPr="00056BC2">
        <w:rPr>
          <w:rFonts w:cs="Times New Roman"/>
          <w:b w:val="0"/>
          <w:bCs w:val="0"/>
          <w:color w:val="auto"/>
          <w:sz w:val="20"/>
          <w:szCs w:val="24"/>
        </w:rPr>
        <w:t xml:space="preserve"> Thriving Communities. This uncertainty has interfered with our focus</w:t>
      </w:r>
      <w:r>
        <w:rPr>
          <w:rFonts w:cs="Times New Roman"/>
          <w:b w:val="0"/>
          <w:bCs w:val="0"/>
          <w:color w:val="auto"/>
          <w:sz w:val="20"/>
          <w:szCs w:val="24"/>
        </w:rPr>
        <w:t>,</w:t>
      </w:r>
      <w:r w:rsidRPr="00056BC2">
        <w:rPr>
          <w:rFonts w:cs="Times New Roman"/>
          <w:b w:val="0"/>
          <w:bCs w:val="0"/>
          <w:color w:val="auto"/>
          <w:sz w:val="20"/>
          <w:szCs w:val="24"/>
        </w:rPr>
        <w:t xml:space="preserve"> but not stopped </w:t>
      </w:r>
      <w:r>
        <w:rPr>
          <w:rFonts w:cs="Times New Roman"/>
          <w:b w:val="0"/>
          <w:bCs w:val="0"/>
          <w:color w:val="auto"/>
          <w:sz w:val="20"/>
          <w:szCs w:val="24"/>
        </w:rPr>
        <w:t xml:space="preserve">us from following upon </w:t>
      </w:r>
      <w:r w:rsidRPr="00056BC2">
        <w:rPr>
          <w:rFonts w:cs="Times New Roman"/>
          <w:b w:val="0"/>
          <w:bCs w:val="0"/>
          <w:color w:val="auto"/>
          <w:sz w:val="20"/>
          <w:szCs w:val="24"/>
        </w:rPr>
        <w:t xml:space="preserve">the path we </w:t>
      </w:r>
      <w:r w:rsidR="00DA6D4D">
        <w:rPr>
          <w:rFonts w:cs="Times New Roman"/>
          <w:b w:val="0"/>
          <w:bCs w:val="0"/>
          <w:color w:val="auto"/>
          <w:sz w:val="20"/>
          <w:szCs w:val="24"/>
        </w:rPr>
        <w:t>envisage</w:t>
      </w:r>
      <w:r w:rsidRPr="00056BC2">
        <w:rPr>
          <w:rFonts w:cs="Times New Roman"/>
          <w:b w:val="0"/>
          <w:bCs w:val="0"/>
          <w:color w:val="auto"/>
          <w:sz w:val="20"/>
          <w:szCs w:val="24"/>
        </w:rPr>
        <w:t>.</w:t>
      </w:r>
    </w:p>
    <w:p w14:paraId="6F8696CB" w14:textId="6B69AC6C" w:rsidR="00E953F9" w:rsidRDefault="00E953F9" w:rsidP="00E953F9">
      <w:pPr>
        <w:pStyle w:val="Subhead"/>
        <w:spacing w:after="120"/>
        <w:rPr>
          <w:rFonts w:cs="Times New Roman"/>
          <w:b w:val="0"/>
          <w:bCs w:val="0"/>
          <w:color w:val="auto"/>
          <w:sz w:val="20"/>
          <w:szCs w:val="24"/>
        </w:rPr>
      </w:pPr>
      <w:r>
        <w:rPr>
          <w:rFonts w:cs="Times New Roman"/>
          <w:b w:val="0"/>
          <w:bCs w:val="0"/>
          <w:color w:val="auto"/>
          <w:sz w:val="20"/>
          <w:szCs w:val="24"/>
        </w:rPr>
        <w:t xml:space="preserve">The Coen </w:t>
      </w:r>
      <w:r w:rsidR="00D405EC">
        <w:rPr>
          <w:rFonts w:cs="Times New Roman"/>
          <w:b w:val="0"/>
          <w:bCs w:val="0"/>
          <w:color w:val="auto"/>
          <w:sz w:val="20"/>
          <w:szCs w:val="24"/>
        </w:rPr>
        <w:t>c</w:t>
      </w:r>
      <w:r>
        <w:rPr>
          <w:rFonts w:cs="Times New Roman"/>
          <w:b w:val="0"/>
          <w:bCs w:val="0"/>
          <w:color w:val="auto"/>
          <w:sz w:val="20"/>
          <w:szCs w:val="24"/>
        </w:rPr>
        <w:t xml:space="preserve">ampus of the Cape York Aboriginal Academy and Cape York Partnership played lead roles in preparing students for boarding school with 12 year six students graduating in 2018. </w:t>
      </w:r>
      <w:r w:rsidRPr="00DA5FF3">
        <w:rPr>
          <w:rFonts w:cs="Times New Roman"/>
          <w:b w:val="0"/>
          <w:bCs w:val="0"/>
          <w:color w:val="auto"/>
          <w:sz w:val="20"/>
          <w:szCs w:val="24"/>
        </w:rPr>
        <w:t>Coen school houses have been completed and teachers have settled into their new homes. A new Principal</w:t>
      </w:r>
      <w:r>
        <w:rPr>
          <w:rFonts w:cs="Times New Roman"/>
          <w:b w:val="0"/>
          <w:bCs w:val="0"/>
          <w:color w:val="auto"/>
          <w:sz w:val="20"/>
          <w:szCs w:val="24"/>
        </w:rPr>
        <w:t>,</w:t>
      </w:r>
      <w:r w:rsidRPr="00DA5FF3">
        <w:rPr>
          <w:rFonts w:cs="Times New Roman"/>
          <w:b w:val="0"/>
          <w:bCs w:val="0"/>
          <w:color w:val="auto"/>
          <w:sz w:val="20"/>
          <w:szCs w:val="24"/>
        </w:rPr>
        <w:t xml:space="preserve"> </w:t>
      </w:r>
      <w:r>
        <w:rPr>
          <w:rFonts w:cs="Times New Roman"/>
          <w:b w:val="0"/>
          <w:bCs w:val="0"/>
          <w:color w:val="auto"/>
          <w:sz w:val="20"/>
          <w:szCs w:val="24"/>
        </w:rPr>
        <w:t xml:space="preserve">Naomi Gibb, </w:t>
      </w:r>
      <w:r w:rsidRPr="00DA5FF3">
        <w:rPr>
          <w:rFonts w:cs="Times New Roman"/>
          <w:b w:val="0"/>
          <w:bCs w:val="0"/>
          <w:color w:val="auto"/>
          <w:sz w:val="20"/>
          <w:szCs w:val="24"/>
        </w:rPr>
        <w:t xml:space="preserve">joined the school in </w:t>
      </w:r>
      <w:r>
        <w:rPr>
          <w:rFonts w:cs="Times New Roman"/>
          <w:b w:val="0"/>
          <w:bCs w:val="0"/>
          <w:color w:val="auto"/>
          <w:sz w:val="20"/>
          <w:szCs w:val="24"/>
        </w:rPr>
        <w:t>T</w:t>
      </w:r>
      <w:r w:rsidRPr="00DA5FF3">
        <w:rPr>
          <w:rFonts w:cs="Times New Roman"/>
          <w:b w:val="0"/>
          <w:bCs w:val="0"/>
          <w:color w:val="auto"/>
          <w:sz w:val="20"/>
          <w:szCs w:val="24"/>
        </w:rPr>
        <w:t xml:space="preserve">erm </w:t>
      </w:r>
      <w:r>
        <w:rPr>
          <w:rFonts w:cs="Times New Roman"/>
          <w:b w:val="0"/>
          <w:bCs w:val="0"/>
          <w:color w:val="auto"/>
          <w:sz w:val="20"/>
          <w:szCs w:val="24"/>
        </w:rPr>
        <w:t>1</w:t>
      </w:r>
      <w:r w:rsidRPr="00DA5FF3">
        <w:rPr>
          <w:rFonts w:cs="Times New Roman"/>
          <w:b w:val="0"/>
          <w:bCs w:val="0"/>
          <w:color w:val="auto"/>
          <w:sz w:val="20"/>
          <w:szCs w:val="24"/>
        </w:rPr>
        <w:t xml:space="preserve"> 2019</w:t>
      </w:r>
      <w:r>
        <w:rPr>
          <w:rFonts w:cs="Times New Roman"/>
          <w:b w:val="0"/>
          <w:bCs w:val="0"/>
          <w:color w:val="auto"/>
          <w:sz w:val="20"/>
          <w:szCs w:val="24"/>
        </w:rPr>
        <w:t>.</w:t>
      </w:r>
      <w:r w:rsidRPr="00DA5FF3">
        <w:rPr>
          <w:rFonts w:cs="Times New Roman"/>
          <w:b w:val="0"/>
          <w:bCs w:val="0"/>
          <w:color w:val="auto"/>
          <w:sz w:val="20"/>
          <w:szCs w:val="24"/>
        </w:rPr>
        <w:t xml:space="preserve"> Naomi comes to Coen with </w:t>
      </w:r>
      <w:r>
        <w:rPr>
          <w:rFonts w:cs="Times New Roman"/>
          <w:b w:val="0"/>
          <w:bCs w:val="0"/>
          <w:color w:val="auto"/>
          <w:sz w:val="20"/>
          <w:szCs w:val="24"/>
        </w:rPr>
        <w:t>10</w:t>
      </w:r>
      <w:r w:rsidRPr="00DA5FF3">
        <w:rPr>
          <w:rFonts w:cs="Times New Roman"/>
          <w:b w:val="0"/>
          <w:bCs w:val="0"/>
          <w:color w:val="auto"/>
          <w:sz w:val="20"/>
          <w:szCs w:val="24"/>
        </w:rPr>
        <w:t xml:space="preserve"> years</w:t>
      </w:r>
      <w:r w:rsidR="00906F35">
        <w:rPr>
          <w:rFonts w:cs="Times New Roman"/>
          <w:b w:val="0"/>
          <w:bCs w:val="0"/>
          <w:color w:val="auto"/>
          <w:sz w:val="20"/>
          <w:szCs w:val="24"/>
        </w:rPr>
        <w:t xml:space="preserve"> of</w:t>
      </w:r>
      <w:r w:rsidRPr="00DA5FF3">
        <w:rPr>
          <w:rFonts w:cs="Times New Roman"/>
          <w:b w:val="0"/>
          <w:bCs w:val="0"/>
          <w:color w:val="auto"/>
          <w:sz w:val="20"/>
          <w:szCs w:val="24"/>
        </w:rPr>
        <w:t xml:space="preserve"> experience working in remote Indigenous communities. Naomi has started the </w:t>
      </w:r>
      <w:r>
        <w:rPr>
          <w:rFonts w:cs="Times New Roman"/>
          <w:b w:val="0"/>
          <w:bCs w:val="0"/>
          <w:color w:val="auto"/>
          <w:sz w:val="20"/>
          <w:szCs w:val="24"/>
        </w:rPr>
        <w:t xml:space="preserve">new </w:t>
      </w:r>
      <w:r w:rsidRPr="00DA5FF3">
        <w:rPr>
          <w:rFonts w:cs="Times New Roman"/>
          <w:b w:val="0"/>
          <w:bCs w:val="0"/>
          <w:color w:val="auto"/>
          <w:sz w:val="20"/>
          <w:szCs w:val="24"/>
        </w:rPr>
        <w:t>term working with teachers to set new standards t</w:t>
      </w:r>
      <w:r>
        <w:rPr>
          <w:rFonts w:cs="Times New Roman"/>
          <w:b w:val="0"/>
          <w:bCs w:val="0"/>
          <w:color w:val="auto"/>
          <w:sz w:val="20"/>
          <w:szCs w:val="24"/>
        </w:rPr>
        <w:t>o</w:t>
      </w:r>
      <w:r w:rsidRPr="00DA5FF3">
        <w:rPr>
          <w:rFonts w:cs="Times New Roman"/>
          <w:b w:val="0"/>
          <w:bCs w:val="0"/>
          <w:color w:val="auto"/>
          <w:sz w:val="20"/>
          <w:szCs w:val="24"/>
        </w:rPr>
        <w:t xml:space="preserve"> address </w:t>
      </w:r>
      <w:r>
        <w:rPr>
          <w:rFonts w:cs="Times New Roman"/>
          <w:b w:val="0"/>
          <w:bCs w:val="0"/>
          <w:color w:val="auto"/>
          <w:sz w:val="20"/>
          <w:szCs w:val="24"/>
        </w:rPr>
        <w:t xml:space="preserve">ongoing </w:t>
      </w:r>
      <w:proofErr w:type="spellStart"/>
      <w:r w:rsidRPr="00DA5FF3">
        <w:rPr>
          <w:rFonts w:cs="Times New Roman"/>
          <w:b w:val="0"/>
          <w:bCs w:val="0"/>
          <w:color w:val="auto"/>
          <w:sz w:val="20"/>
          <w:szCs w:val="24"/>
        </w:rPr>
        <w:t>behavio</w:t>
      </w:r>
      <w:r>
        <w:rPr>
          <w:rFonts w:cs="Times New Roman"/>
          <w:b w:val="0"/>
          <w:bCs w:val="0"/>
          <w:color w:val="auto"/>
          <w:sz w:val="20"/>
          <w:szCs w:val="24"/>
        </w:rPr>
        <w:t>u</w:t>
      </w:r>
      <w:r w:rsidRPr="00DA5FF3">
        <w:rPr>
          <w:rFonts w:cs="Times New Roman"/>
          <w:b w:val="0"/>
          <w:bCs w:val="0"/>
          <w:color w:val="auto"/>
          <w:sz w:val="20"/>
          <w:szCs w:val="24"/>
        </w:rPr>
        <w:t>ral</w:t>
      </w:r>
      <w:proofErr w:type="spellEnd"/>
      <w:r w:rsidRPr="00DA5FF3">
        <w:rPr>
          <w:rFonts w:cs="Times New Roman"/>
          <w:b w:val="0"/>
          <w:bCs w:val="0"/>
          <w:color w:val="auto"/>
          <w:sz w:val="20"/>
          <w:szCs w:val="24"/>
        </w:rPr>
        <w:t xml:space="preserve"> </w:t>
      </w:r>
      <w:r>
        <w:rPr>
          <w:rFonts w:cs="Times New Roman"/>
          <w:b w:val="0"/>
          <w:bCs w:val="0"/>
          <w:color w:val="auto"/>
          <w:sz w:val="20"/>
          <w:szCs w:val="24"/>
        </w:rPr>
        <w:t>issues</w:t>
      </w:r>
      <w:r w:rsidRPr="00DA5FF3">
        <w:rPr>
          <w:rFonts w:cs="Times New Roman"/>
          <w:b w:val="0"/>
          <w:bCs w:val="0"/>
          <w:color w:val="auto"/>
          <w:sz w:val="20"/>
          <w:szCs w:val="24"/>
        </w:rPr>
        <w:t xml:space="preserve">. </w:t>
      </w:r>
      <w:r>
        <w:rPr>
          <w:rFonts w:cs="Times New Roman"/>
          <w:b w:val="0"/>
          <w:bCs w:val="0"/>
          <w:color w:val="auto"/>
          <w:sz w:val="20"/>
          <w:szCs w:val="24"/>
        </w:rPr>
        <w:t xml:space="preserve">We have </w:t>
      </w:r>
      <w:r w:rsidRPr="00DA5FF3">
        <w:rPr>
          <w:rFonts w:cs="Times New Roman"/>
          <w:b w:val="0"/>
          <w:bCs w:val="0"/>
          <w:color w:val="auto"/>
          <w:sz w:val="20"/>
          <w:szCs w:val="24"/>
        </w:rPr>
        <w:t>engage</w:t>
      </w:r>
      <w:r>
        <w:rPr>
          <w:rFonts w:cs="Times New Roman"/>
          <w:b w:val="0"/>
          <w:bCs w:val="0"/>
          <w:color w:val="auto"/>
          <w:sz w:val="20"/>
          <w:szCs w:val="24"/>
        </w:rPr>
        <w:t>d</w:t>
      </w:r>
      <w:r w:rsidRPr="00DA5FF3">
        <w:rPr>
          <w:rFonts w:cs="Times New Roman"/>
          <w:b w:val="0"/>
          <w:bCs w:val="0"/>
          <w:color w:val="auto"/>
          <w:sz w:val="20"/>
          <w:szCs w:val="24"/>
        </w:rPr>
        <w:t xml:space="preserve"> with </w:t>
      </w:r>
      <w:r>
        <w:rPr>
          <w:rFonts w:cs="Times New Roman"/>
          <w:b w:val="0"/>
          <w:bCs w:val="0"/>
          <w:color w:val="auto"/>
          <w:sz w:val="20"/>
          <w:szCs w:val="24"/>
        </w:rPr>
        <w:t xml:space="preserve">the </w:t>
      </w:r>
      <w:r w:rsidRPr="00DA5FF3">
        <w:rPr>
          <w:rFonts w:cs="Times New Roman"/>
          <w:b w:val="0"/>
          <w:bCs w:val="0"/>
          <w:color w:val="auto"/>
          <w:sz w:val="20"/>
          <w:szCs w:val="24"/>
        </w:rPr>
        <w:t xml:space="preserve">school principal and families to ensure a high attendance target is met to coincide with high expectations of the community. To achieve this standard, we think it is necessary to have a strong plan in place for students and school staff in collaboration with </w:t>
      </w:r>
      <w:r>
        <w:rPr>
          <w:rFonts w:cs="Times New Roman"/>
          <w:b w:val="0"/>
          <w:bCs w:val="0"/>
          <w:color w:val="auto"/>
          <w:sz w:val="20"/>
          <w:szCs w:val="24"/>
        </w:rPr>
        <w:t>the</w:t>
      </w:r>
      <w:r w:rsidRPr="00DA5FF3">
        <w:rPr>
          <w:rFonts w:cs="Times New Roman"/>
          <w:b w:val="0"/>
          <w:bCs w:val="0"/>
          <w:color w:val="auto"/>
          <w:sz w:val="20"/>
          <w:szCs w:val="24"/>
        </w:rPr>
        <w:t xml:space="preserve"> community. Overall school attendance percentage for </w:t>
      </w:r>
      <w:r>
        <w:rPr>
          <w:rFonts w:cs="Times New Roman"/>
          <w:b w:val="0"/>
          <w:bCs w:val="0"/>
          <w:color w:val="auto"/>
          <w:sz w:val="20"/>
          <w:szCs w:val="24"/>
        </w:rPr>
        <w:t>T</w:t>
      </w:r>
      <w:r w:rsidRPr="00DA5FF3">
        <w:rPr>
          <w:rFonts w:cs="Times New Roman"/>
          <w:b w:val="0"/>
          <w:bCs w:val="0"/>
          <w:color w:val="auto"/>
          <w:sz w:val="20"/>
          <w:szCs w:val="24"/>
        </w:rPr>
        <w:t xml:space="preserve">erm </w:t>
      </w:r>
      <w:r>
        <w:rPr>
          <w:rFonts w:cs="Times New Roman"/>
          <w:b w:val="0"/>
          <w:bCs w:val="0"/>
          <w:color w:val="auto"/>
          <w:sz w:val="20"/>
          <w:szCs w:val="24"/>
        </w:rPr>
        <w:t>4</w:t>
      </w:r>
      <w:r w:rsidRPr="00DA5FF3">
        <w:rPr>
          <w:rFonts w:cs="Times New Roman"/>
          <w:b w:val="0"/>
          <w:bCs w:val="0"/>
          <w:color w:val="auto"/>
          <w:sz w:val="20"/>
          <w:szCs w:val="24"/>
        </w:rPr>
        <w:t>, 2018 was 86.7 percent</w:t>
      </w:r>
      <w:r>
        <w:rPr>
          <w:rFonts w:cs="Times New Roman"/>
          <w:b w:val="0"/>
          <w:bCs w:val="0"/>
          <w:color w:val="auto"/>
          <w:sz w:val="20"/>
          <w:szCs w:val="24"/>
        </w:rPr>
        <w:t>. T</w:t>
      </w:r>
      <w:r w:rsidRPr="00DA5FF3">
        <w:rPr>
          <w:rFonts w:cs="Times New Roman"/>
          <w:b w:val="0"/>
          <w:bCs w:val="0"/>
          <w:color w:val="auto"/>
          <w:sz w:val="20"/>
          <w:szCs w:val="24"/>
        </w:rPr>
        <w:t>hat</w:t>
      </w:r>
      <w:r>
        <w:rPr>
          <w:rFonts w:cs="Times New Roman"/>
          <w:b w:val="0"/>
          <w:bCs w:val="0"/>
          <w:color w:val="auto"/>
          <w:sz w:val="20"/>
          <w:szCs w:val="24"/>
        </w:rPr>
        <w:t xml:space="preserve"> i</w:t>
      </w:r>
      <w:r w:rsidRPr="00DA5FF3">
        <w:rPr>
          <w:rFonts w:cs="Times New Roman"/>
          <w:b w:val="0"/>
          <w:bCs w:val="0"/>
          <w:color w:val="auto"/>
          <w:sz w:val="20"/>
          <w:szCs w:val="24"/>
        </w:rPr>
        <w:t xml:space="preserve">s an increase of 4.4 percent </w:t>
      </w:r>
      <w:r>
        <w:rPr>
          <w:rFonts w:cs="Times New Roman"/>
          <w:b w:val="0"/>
          <w:bCs w:val="0"/>
          <w:color w:val="auto"/>
          <w:sz w:val="20"/>
          <w:szCs w:val="24"/>
        </w:rPr>
        <w:t xml:space="preserve">on the </w:t>
      </w:r>
      <w:r w:rsidRPr="00DA5FF3">
        <w:rPr>
          <w:rFonts w:cs="Times New Roman"/>
          <w:b w:val="0"/>
          <w:bCs w:val="0"/>
          <w:color w:val="auto"/>
          <w:sz w:val="20"/>
          <w:szCs w:val="24"/>
        </w:rPr>
        <w:t xml:space="preserve">same </w:t>
      </w:r>
      <w:r>
        <w:rPr>
          <w:rFonts w:cs="Times New Roman"/>
          <w:b w:val="0"/>
          <w:bCs w:val="0"/>
          <w:color w:val="auto"/>
          <w:sz w:val="20"/>
          <w:szCs w:val="24"/>
        </w:rPr>
        <w:t xml:space="preserve">period in </w:t>
      </w:r>
      <w:r w:rsidRPr="00DA5FF3">
        <w:rPr>
          <w:rFonts w:cs="Times New Roman"/>
          <w:b w:val="0"/>
          <w:bCs w:val="0"/>
          <w:color w:val="auto"/>
          <w:sz w:val="20"/>
          <w:szCs w:val="24"/>
        </w:rPr>
        <w:t>2017.</w:t>
      </w:r>
    </w:p>
    <w:p w14:paraId="1953CA42" w14:textId="77777777" w:rsidR="00E953F9" w:rsidRDefault="00E953F9" w:rsidP="00E953F9">
      <w:pPr>
        <w:pStyle w:val="Subhead"/>
        <w:spacing w:after="120"/>
        <w:rPr>
          <w:rFonts w:cs="Times New Roman"/>
          <w:b w:val="0"/>
          <w:bCs w:val="0"/>
          <w:color w:val="auto"/>
          <w:sz w:val="20"/>
          <w:szCs w:val="24"/>
        </w:rPr>
      </w:pPr>
      <w:r w:rsidRPr="00DA5FF3">
        <w:rPr>
          <w:rFonts w:cs="Times New Roman"/>
          <w:b w:val="0"/>
          <w:bCs w:val="0"/>
          <w:color w:val="auto"/>
          <w:sz w:val="20"/>
          <w:szCs w:val="24"/>
        </w:rPr>
        <w:t xml:space="preserve">Term 1, 2019 started off strong with </w:t>
      </w:r>
      <w:r>
        <w:rPr>
          <w:rFonts w:cs="Times New Roman"/>
          <w:b w:val="0"/>
          <w:bCs w:val="0"/>
          <w:color w:val="auto"/>
          <w:sz w:val="20"/>
          <w:szCs w:val="24"/>
        </w:rPr>
        <w:t xml:space="preserve">an </w:t>
      </w:r>
      <w:r w:rsidRPr="00DA5FF3">
        <w:rPr>
          <w:rFonts w:cs="Times New Roman"/>
          <w:b w:val="0"/>
          <w:bCs w:val="0"/>
          <w:color w:val="auto"/>
          <w:sz w:val="20"/>
          <w:szCs w:val="24"/>
        </w:rPr>
        <w:t xml:space="preserve">overall attendance percentage of </w:t>
      </w:r>
      <w:r w:rsidRPr="00987155">
        <w:rPr>
          <w:rFonts w:cs="Times New Roman"/>
          <w:b w:val="0"/>
          <w:bCs w:val="0"/>
          <w:color w:val="auto"/>
          <w:sz w:val="20"/>
          <w:szCs w:val="24"/>
        </w:rPr>
        <w:t>90.4</w:t>
      </w:r>
      <w:r w:rsidRPr="00DA5FF3">
        <w:rPr>
          <w:rFonts w:cs="Times New Roman"/>
          <w:b w:val="0"/>
          <w:bCs w:val="0"/>
          <w:color w:val="auto"/>
          <w:sz w:val="20"/>
          <w:szCs w:val="24"/>
        </w:rPr>
        <w:t xml:space="preserve"> percent</w:t>
      </w:r>
      <w:r>
        <w:rPr>
          <w:rFonts w:cs="Times New Roman"/>
          <w:b w:val="0"/>
          <w:bCs w:val="0"/>
          <w:color w:val="auto"/>
          <w:sz w:val="20"/>
          <w:szCs w:val="24"/>
        </w:rPr>
        <w:t>. A</w:t>
      </w:r>
      <w:r w:rsidRPr="00DA5FF3">
        <w:rPr>
          <w:rFonts w:cs="Times New Roman"/>
          <w:b w:val="0"/>
          <w:bCs w:val="0"/>
          <w:color w:val="auto"/>
          <w:sz w:val="20"/>
          <w:szCs w:val="24"/>
        </w:rPr>
        <w:t xml:space="preserve">lthough </w:t>
      </w:r>
      <w:r>
        <w:rPr>
          <w:rFonts w:cs="Times New Roman"/>
          <w:b w:val="0"/>
          <w:bCs w:val="0"/>
          <w:color w:val="auto"/>
          <w:sz w:val="20"/>
          <w:szCs w:val="24"/>
        </w:rPr>
        <w:t xml:space="preserve">this represents </w:t>
      </w:r>
      <w:r w:rsidRPr="00DA5FF3">
        <w:rPr>
          <w:rFonts w:cs="Times New Roman"/>
          <w:b w:val="0"/>
          <w:bCs w:val="0"/>
          <w:color w:val="auto"/>
          <w:sz w:val="20"/>
          <w:szCs w:val="24"/>
        </w:rPr>
        <w:t xml:space="preserve">a small decrease from last year </w:t>
      </w:r>
      <w:r>
        <w:rPr>
          <w:rFonts w:cs="Times New Roman"/>
          <w:b w:val="0"/>
          <w:bCs w:val="0"/>
          <w:color w:val="auto"/>
          <w:sz w:val="20"/>
          <w:szCs w:val="24"/>
        </w:rPr>
        <w:t xml:space="preserve">it is </w:t>
      </w:r>
      <w:r w:rsidRPr="00DA5FF3">
        <w:rPr>
          <w:rFonts w:cs="Times New Roman"/>
          <w:b w:val="0"/>
          <w:bCs w:val="0"/>
          <w:color w:val="auto"/>
          <w:sz w:val="20"/>
          <w:szCs w:val="24"/>
        </w:rPr>
        <w:t>most likely due to the difficult weather conditions</w:t>
      </w:r>
      <w:r>
        <w:rPr>
          <w:rFonts w:cs="Times New Roman"/>
          <w:b w:val="0"/>
          <w:bCs w:val="0"/>
          <w:color w:val="auto"/>
          <w:sz w:val="20"/>
          <w:szCs w:val="24"/>
        </w:rPr>
        <w:t xml:space="preserve"> we had experienced</w:t>
      </w:r>
      <w:r w:rsidRPr="00DA5FF3">
        <w:rPr>
          <w:rFonts w:cs="Times New Roman"/>
          <w:b w:val="0"/>
          <w:bCs w:val="0"/>
          <w:color w:val="auto"/>
          <w:sz w:val="20"/>
          <w:szCs w:val="24"/>
        </w:rPr>
        <w:t xml:space="preserve">. A tropical low and an active monsoon trough caused flooding </w:t>
      </w:r>
      <w:r>
        <w:rPr>
          <w:rFonts w:cs="Times New Roman"/>
          <w:b w:val="0"/>
          <w:bCs w:val="0"/>
          <w:color w:val="auto"/>
          <w:sz w:val="20"/>
          <w:szCs w:val="24"/>
        </w:rPr>
        <w:t>in</w:t>
      </w:r>
      <w:r w:rsidRPr="00DA5FF3">
        <w:rPr>
          <w:rFonts w:cs="Times New Roman"/>
          <w:b w:val="0"/>
          <w:bCs w:val="0"/>
          <w:color w:val="auto"/>
          <w:sz w:val="20"/>
          <w:szCs w:val="24"/>
        </w:rPr>
        <w:t xml:space="preserve"> Townsville in late Jan</w:t>
      </w:r>
      <w:r>
        <w:rPr>
          <w:rFonts w:cs="Times New Roman"/>
          <w:b w:val="0"/>
          <w:bCs w:val="0"/>
          <w:color w:val="auto"/>
          <w:sz w:val="20"/>
          <w:szCs w:val="24"/>
        </w:rPr>
        <w:t>uary</w:t>
      </w:r>
      <w:r w:rsidRPr="00DA5FF3">
        <w:rPr>
          <w:rFonts w:cs="Times New Roman"/>
          <w:b w:val="0"/>
          <w:bCs w:val="0"/>
          <w:color w:val="auto"/>
          <w:sz w:val="20"/>
          <w:szCs w:val="24"/>
        </w:rPr>
        <w:t xml:space="preserve"> and early Feb</w:t>
      </w:r>
      <w:r>
        <w:rPr>
          <w:rFonts w:cs="Times New Roman"/>
          <w:b w:val="0"/>
          <w:bCs w:val="0"/>
          <w:color w:val="auto"/>
          <w:sz w:val="20"/>
          <w:szCs w:val="24"/>
        </w:rPr>
        <w:t>ruary</w:t>
      </w:r>
      <w:r w:rsidRPr="00DA5FF3">
        <w:rPr>
          <w:rFonts w:cs="Times New Roman"/>
          <w:b w:val="0"/>
          <w:bCs w:val="0"/>
          <w:color w:val="auto"/>
          <w:sz w:val="20"/>
          <w:szCs w:val="24"/>
        </w:rPr>
        <w:t xml:space="preserve"> </w:t>
      </w:r>
      <w:r>
        <w:rPr>
          <w:rFonts w:cs="Times New Roman"/>
          <w:b w:val="0"/>
          <w:bCs w:val="0"/>
          <w:color w:val="auto"/>
          <w:sz w:val="20"/>
          <w:szCs w:val="24"/>
        </w:rPr>
        <w:t xml:space="preserve">and </w:t>
      </w:r>
      <w:r w:rsidRPr="00DA5FF3">
        <w:rPr>
          <w:rFonts w:cs="Times New Roman"/>
          <w:b w:val="0"/>
          <w:bCs w:val="0"/>
          <w:color w:val="auto"/>
          <w:sz w:val="20"/>
          <w:szCs w:val="24"/>
        </w:rPr>
        <w:t>affected some families trying to make their way home at end of the Christmas holiday period. Unfortunately</w:t>
      </w:r>
      <w:r>
        <w:rPr>
          <w:rFonts w:cs="Times New Roman"/>
          <w:b w:val="0"/>
          <w:bCs w:val="0"/>
          <w:color w:val="auto"/>
          <w:sz w:val="20"/>
          <w:szCs w:val="24"/>
        </w:rPr>
        <w:t>,</w:t>
      </w:r>
      <w:r w:rsidRPr="00DA5FF3">
        <w:rPr>
          <w:rFonts w:cs="Times New Roman"/>
          <w:b w:val="0"/>
          <w:bCs w:val="0"/>
          <w:color w:val="auto"/>
          <w:sz w:val="20"/>
          <w:szCs w:val="24"/>
        </w:rPr>
        <w:t xml:space="preserve"> this led to some students missing the first weeks of school term. Toward the end of </w:t>
      </w:r>
      <w:r>
        <w:rPr>
          <w:rFonts w:cs="Times New Roman"/>
          <w:b w:val="0"/>
          <w:bCs w:val="0"/>
          <w:color w:val="auto"/>
          <w:sz w:val="20"/>
          <w:szCs w:val="24"/>
        </w:rPr>
        <w:t>T</w:t>
      </w:r>
      <w:r w:rsidRPr="00DA5FF3">
        <w:rPr>
          <w:rFonts w:cs="Times New Roman"/>
          <w:b w:val="0"/>
          <w:bCs w:val="0"/>
          <w:color w:val="auto"/>
          <w:sz w:val="20"/>
          <w:szCs w:val="24"/>
        </w:rPr>
        <w:t xml:space="preserve">erm </w:t>
      </w:r>
      <w:r>
        <w:rPr>
          <w:rFonts w:cs="Times New Roman"/>
          <w:b w:val="0"/>
          <w:bCs w:val="0"/>
          <w:color w:val="auto"/>
          <w:sz w:val="20"/>
          <w:szCs w:val="24"/>
        </w:rPr>
        <w:t>1</w:t>
      </w:r>
      <w:r w:rsidRPr="00DA5FF3">
        <w:rPr>
          <w:rFonts w:cs="Times New Roman"/>
          <w:b w:val="0"/>
          <w:bCs w:val="0"/>
          <w:color w:val="auto"/>
          <w:sz w:val="20"/>
          <w:szCs w:val="24"/>
        </w:rPr>
        <w:t xml:space="preserve"> </w:t>
      </w:r>
      <w:r>
        <w:rPr>
          <w:rFonts w:cs="Times New Roman"/>
          <w:b w:val="0"/>
          <w:bCs w:val="0"/>
          <w:color w:val="auto"/>
          <w:sz w:val="20"/>
          <w:szCs w:val="24"/>
        </w:rPr>
        <w:t>s</w:t>
      </w:r>
      <w:r w:rsidRPr="00DA5FF3">
        <w:rPr>
          <w:rFonts w:cs="Times New Roman"/>
          <w:b w:val="0"/>
          <w:bCs w:val="0"/>
          <w:color w:val="auto"/>
          <w:sz w:val="20"/>
          <w:szCs w:val="24"/>
        </w:rPr>
        <w:t xml:space="preserve">evere Tropical Cyclone Trevor caused major disruption to </w:t>
      </w:r>
      <w:r>
        <w:rPr>
          <w:rFonts w:cs="Times New Roman"/>
          <w:b w:val="0"/>
          <w:bCs w:val="0"/>
          <w:color w:val="auto"/>
          <w:sz w:val="20"/>
          <w:szCs w:val="24"/>
        </w:rPr>
        <w:t>the</w:t>
      </w:r>
      <w:r w:rsidRPr="00DA5FF3">
        <w:rPr>
          <w:rFonts w:cs="Times New Roman"/>
          <w:b w:val="0"/>
          <w:bCs w:val="0"/>
          <w:color w:val="auto"/>
          <w:sz w:val="20"/>
          <w:szCs w:val="24"/>
        </w:rPr>
        <w:t xml:space="preserve"> residents</w:t>
      </w:r>
      <w:r>
        <w:rPr>
          <w:rFonts w:cs="Times New Roman"/>
          <w:b w:val="0"/>
          <w:bCs w:val="0"/>
          <w:color w:val="auto"/>
          <w:sz w:val="20"/>
          <w:szCs w:val="24"/>
        </w:rPr>
        <w:t xml:space="preserve"> of Coen. M</w:t>
      </w:r>
      <w:r w:rsidRPr="00DA5FF3">
        <w:rPr>
          <w:rFonts w:cs="Times New Roman"/>
          <w:b w:val="0"/>
          <w:bCs w:val="0"/>
          <w:color w:val="auto"/>
          <w:sz w:val="20"/>
          <w:szCs w:val="24"/>
        </w:rPr>
        <w:t>ost services</w:t>
      </w:r>
      <w:r>
        <w:rPr>
          <w:rFonts w:cs="Times New Roman"/>
          <w:b w:val="0"/>
          <w:bCs w:val="0"/>
          <w:color w:val="auto"/>
          <w:sz w:val="20"/>
          <w:szCs w:val="24"/>
        </w:rPr>
        <w:t>, including the school,</w:t>
      </w:r>
      <w:r w:rsidRPr="00DA5FF3">
        <w:rPr>
          <w:rFonts w:cs="Times New Roman"/>
          <w:b w:val="0"/>
          <w:bCs w:val="0"/>
          <w:color w:val="auto"/>
          <w:sz w:val="20"/>
          <w:szCs w:val="24"/>
        </w:rPr>
        <w:t xml:space="preserve"> were closed during </w:t>
      </w:r>
      <w:r>
        <w:rPr>
          <w:rFonts w:cs="Times New Roman"/>
          <w:b w:val="0"/>
          <w:bCs w:val="0"/>
          <w:color w:val="auto"/>
          <w:sz w:val="20"/>
          <w:szCs w:val="24"/>
        </w:rPr>
        <w:t>this period.</w:t>
      </w:r>
    </w:p>
    <w:p w14:paraId="3E82F7A8" w14:textId="77777777" w:rsidR="00E953F9" w:rsidRPr="00096D43" w:rsidRDefault="00E953F9" w:rsidP="00E953F9">
      <w:pPr>
        <w:pStyle w:val="Subhead"/>
        <w:spacing w:after="120"/>
        <w:rPr>
          <w:rFonts w:cs="Times New Roman"/>
          <w:b w:val="0"/>
          <w:bCs w:val="0"/>
          <w:color w:val="auto"/>
          <w:sz w:val="20"/>
          <w:szCs w:val="24"/>
        </w:rPr>
      </w:pPr>
      <w:r w:rsidRPr="00DA5FF3">
        <w:rPr>
          <w:rFonts w:cs="Times New Roman"/>
          <w:b w:val="0"/>
          <w:bCs w:val="0"/>
          <w:color w:val="auto"/>
          <w:sz w:val="20"/>
          <w:szCs w:val="24"/>
        </w:rPr>
        <w:t xml:space="preserve">The </w:t>
      </w:r>
      <w:r>
        <w:rPr>
          <w:rFonts w:cs="Times New Roman"/>
          <w:b w:val="0"/>
          <w:bCs w:val="0"/>
          <w:color w:val="auto"/>
          <w:sz w:val="20"/>
          <w:szCs w:val="24"/>
        </w:rPr>
        <w:t xml:space="preserve">domino </w:t>
      </w:r>
      <w:r w:rsidRPr="00DA5FF3">
        <w:rPr>
          <w:rFonts w:cs="Times New Roman"/>
          <w:b w:val="0"/>
          <w:bCs w:val="0"/>
          <w:color w:val="auto"/>
          <w:sz w:val="20"/>
          <w:szCs w:val="24"/>
        </w:rPr>
        <w:t xml:space="preserve">effect of the cyclone </w:t>
      </w:r>
      <w:r>
        <w:rPr>
          <w:rFonts w:cs="Times New Roman"/>
          <w:b w:val="0"/>
          <w:bCs w:val="0"/>
          <w:color w:val="auto"/>
          <w:sz w:val="20"/>
          <w:szCs w:val="24"/>
        </w:rPr>
        <w:t>continued</w:t>
      </w:r>
      <w:r w:rsidRPr="00DA5FF3">
        <w:rPr>
          <w:rFonts w:cs="Times New Roman"/>
          <w:b w:val="0"/>
          <w:bCs w:val="0"/>
          <w:color w:val="auto"/>
          <w:sz w:val="20"/>
          <w:szCs w:val="24"/>
        </w:rPr>
        <w:t xml:space="preserve"> throughout the remainder of </w:t>
      </w:r>
      <w:r>
        <w:rPr>
          <w:rFonts w:cs="Times New Roman"/>
          <w:b w:val="0"/>
          <w:bCs w:val="0"/>
          <w:color w:val="auto"/>
          <w:sz w:val="20"/>
          <w:szCs w:val="24"/>
        </w:rPr>
        <w:t>T</w:t>
      </w:r>
      <w:r w:rsidRPr="00DA5FF3">
        <w:rPr>
          <w:rFonts w:cs="Times New Roman"/>
          <w:b w:val="0"/>
          <w:bCs w:val="0"/>
          <w:color w:val="auto"/>
          <w:sz w:val="20"/>
          <w:szCs w:val="24"/>
        </w:rPr>
        <w:t xml:space="preserve">erm </w:t>
      </w:r>
      <w:r>
        <w:rPr>
          <w:rFonts w:cs="Times New Roman"/>
          <w:b w:val="0"/>
          <w:bCs w:val="0"/>
          <w:color w:val="auto"/>
          <w:sz w:val="20"/>
          <w:szCs w:val="24"/>
        </w:rPr>
        <w:t>1</w:t>
      </w:r>
      <w:r w:rsidRPr="00DA5FF3">
        <w:rPr>
          <w:rFonts w:cs="Times New Roman"/>
          <w:b w:val="0"/>
          <w:bCs w:val="0"/>
          <w:color w:val="auto"/>
          <w:sz w:val="20"/>
          <w:szCs w:val="24"/>
        </w:rPr>
        <w:t xml:space="preserve">. </w:t>
      </w:r>
      <w:r w:rsidRPr="00096D43">
        <w:rPr>
          <w:rFonts w:cs="Times New Roman"/>
          <w:b w:val="0"/>
          <w:bCs w:val="0"/>
          <w:color w:val="auto"/>
          <w:sz w:val="20"/>
          <w:szCs w:val="24"/>
        </w:rPr>
        <w:t xml:space="preserve">The ongoing weather events left the community struggling to keep up with food supplies and other amenities. </w:t>
      </w:r>
      <w:r>
        <w:rPr>
          <w:rFonts w:cs="Times New Roman"/>
          <w:b w:val="0"/>
          <w:bCs w:val="0"/>
          <w:color w:val="auto"/>
          <w:sz w:val="20"/>
          <w:szCs w:val="24"/>
        </w:rPr>
        <w:t>S</w:t>
      </w:r>
      <w:r w:rsidRPr="00096D43">
        <w:rPr>
          <w:rFonts w:cs="Times New Roman"/>
          <w:b w:val="0"/>
          <w:bCs w:val="0"/>
          <w:color w:val="auto"/>
          <w:sz w:val="20"/>
          <w:szCs w:val="24"/>
        </w:rPr>
        <w:t xml:space="preserve">hop shelves were </w:t>
      </w:r>
      <w:r>
        <w:rPr>
          <w:rFonts w:cs="Times New Roman"/>
          <w:b w:val="0"/>
          <w:bCs w:val="0"/>
          <w:color w:val="auto"/>
          <w:sz w:val="20"/>
          <w:szCs w:val="24"/>
        </w:rPr>
        <w:t>left bare</w:t>
      </w:r>
      <w:r w:rsidRPr="00096D43">
        <w:rPr>
          <w:rFonts w:cs="Times New Roman"/>
          <w:b w:val="0"/>
          <w:bCs w:val="0"/>
          <w:color w:val="auto"/>
          <w:sz w:val="20"/>
          <w:szCs w:val="24"/>
        </w:rPr>
        <w:t xml:space="preserve"> and the power cut for over 24 hours. The lack of food in community affected parents who were left struggling to provide packed lunches for their children. Coen had some relief provided by the first food drops in eight years</w:t>
      </w:r>
      <w:r>
        <w:rPr>
          <w:rFonts w:cs="Times New Roman"/>
          <w:b w:val="0"/>
          <w:bCs w:val="0"/>
          <w:color w:val="auto"/>
          <w:sz w:val="20"/>
          <w:szCs w:val="24"/>
        </w:rPr>
        <w:t xml:space="preserve"> consisting only of </w:t>
      </w:r>
      <w:r w:rsidRPr="00096D43">
        <w:rPr>
          <w:rFonts w:cs="Times New Roman"/>
          <w:b w:val="0"/>
          <w:bCs w:val="0"/>
          <w:color w:val="auto"/>
          <w:sz w:val="20"/>
          <w:szCs w:val="24"/>
        </w:rPr>
        <w:t>basic provisions.</w:t>
      </w:r>
    </w:p>
    <w:p w14:paraId="4163ABEB" w14:textId="77777777" w:rsidR="00E953F9" w:rsidRDefault="00E953F9" w:rsidP="00E953F9">
      <w:pPr>
        <w:pStyle w:val="Subhead"/>
        <w:spacing w:after="120"/>
        <w:rPr>
          <w:rFonts w:cs="Times New Roman"/>
          <w:b w:val="0"/>
          <w:bCs w:val="0"/>
          <w:color w:val="auto"/>
          <w:sz w:val="20"/>
          <w:szCs w:val="24"/>
        </w:rPr>
      </w:pPr>
      <w:r>
        <w:rPr>
          <w:rFonts w:cs="Times New Roman"/>
          <w:b w:val="0"/>
          <w:bCs w:val="0"/>
          <w:color w:val="auto"/>
          <w:sz w:val="20"/>
          <w:szCs w:val="24"/>
        </w:rPr>
        <w:t>Following on from these weather events, residents began to receive disaster assistance funding. The apparent ease with which residents claimed this funding opened the door to some residents claiming dishonestly and spending the money on alcohol and parties, which continued when the next person’s funds were received.</w:t>
      </w:r>
    </w:p>
    <w:p w14:paraId="27C71F94" w14:textId="77777777" w:rsidR="00E953F9" w:rsidRPr="00DA5FF3" w:rsidRDefault="00E953F9" w:rsidP="00E953F9">
      <w:pPr>
        <w:pStyle w:val="Subhead"/>
        <w:spacing w:after="120"/>
        <w:rPr>
          <w:rFonts w:cs="Times New Roman"/>
          <w:b w:val="0"/>
          <w:bCs w:val="0"/>
          <w:color w:val="auto"/>
          <w:sz w:val="20"/>
          <w:szCs w:val="24"/>
        </w:rPr>
      </w:pPr>
      <w:r>
        <w:rPr>
          <w:rFonts w:cs="Times New Roman"/>
          <w:b w:val="0"/>
          <w:bCs w:val="0"/>
          <w:color w:val="auto"/>
          <w:sz w:val="20"/>
          <w:szCs w:val="24"/>
        </w:rPr>
        <w:t>Unusual weather conditions have continued this year outside of the standard wet season with Cyclone Ann threatening the community on a scheduled May conference date.</w:t>
      </w:r>
      <w:r w:rsidRPr="00DA5FF3">
        <w:rPr>
          <w:rFonts w:cs="Times New Roman"/>
          <w:b w:val="0"/>
          <w:bCs w:val="0"/>
          <w:color w:val="auto"/>
          <w:sz w:val="20"/>
          <w:szCs w:val="24"/>
        </w:rPr>
        <w:t xml:space="preserve"> </w:t>
      </w:r>
      <w:r>
        <w:rPr>
          <w:rFonts w:cs="Times New Roman"/>
          <w:b w:val="0"/>
          <w:bCs w:val="0"/>
          <w:color w:val="auto"/>
          <w:sz w:val="20"/>
          <w:szCs w:val="24"/>
        </w:rPr>
        <w:t>This affected conference attendance due to safety concerns and the resultant clean-up across the community. W</w:t>
      </w:r>
      <w:r w:rsidRPr="00DA5FF3">
        <w:rPr>
          <w:rFonts w:cs="Times New Roman"/>
          <w:b w:val="0"/>
          <w:bCs w:val="0"/>
          <w:color w:val="auto"/>
          <w:sz w:val="20"/>
          <w:szCs w:val="24"/>
        </w:rPr>
        <w:t xml:space="preserve">e </w:t>
      </w:r>
      <w:r>
        <w:rPr>
          <w:rFonts w:cs="Times New Roman"/>
          <w:b w:val="0"/>
          <w:bCs w:val="0"/>
          <w:color w:val="auto"/>
          <w:sz w:val="20"/>
          <w:szCs w:val="24"/>
        </w:rPr>
        <w:t xml:space="preserve">now hope the wet season is over and </w:t>
      </w:r>
      <w:r w:rsidRPr="00DA5FF3">
        <w:rPr>
          <w:rFonts w:cs="Times New Roman"/>
          <w:b w:val="0"/>
          <w:bCs w:val="0"/>
          <w:color w:val="auto"/>
          <w:sz w:val="20"/>
          <w:szCs w:val="24"/>
        </w:rPr>
        <w:t>expect our families to be back on track and focusing on education.</w:t>
      </w:r>
    </w:p>
    <w:p w14:paraId="1D133600" w14:textId="77777777" w:rsidR="00E953F9" w:rsidRDefault="00E953F9" w:rsidP="00E953F9">
      <w:pPr>
        <w:pStyle w:val="Subhead"/>
        <w:spacing w:after="120"/>
        <w:rPr>
          <w:rFonts w:cs="Times New Roman"/>
          <w:b w:val="0"/>
          <w:bCs w:val="0"/>
          <w:color w:val="auto"/>
          <w:sz w:val="20"/>
          <w:szCs w:val="24"/>
        </w:rPr>
      </w:pPr>
      <w:r w:rsidRPr="00056BC2">
        <w:rPr>
          <w:rFonts w:cs="Times New Roman"/>
          <w:b w:val="0"/>
          <w:bCs w:val="0"/>
          <w:color w:val="auto"/>
          <w:sz w:val="20"/>
          <w:szCs w:val="24"/>
        </w:rPr>
        <w:t>The Women’s Support Centre (Kiincha Ukulngumka) is going from strength to strength</w:t>
      </w:r>
      <w:r>
        <w:rPr>
          <w:rFonts w:cs="Times New Roman"/>
          <w:b w:val="0"/>
          <w:bCs w:val="0"/>
          <w:color w:val="auto"/>
          <w:sz w:val="20"/>
          <w:szCs w:val="24"/>
        </w:rPr>
        <w:t>. T</w:t>
      </w:r>
      <w:r w:rsidRPr="00056BC2">
        <w:rPr>
          <w:rFonts w:cs="Times New Roman"/>
          <w:b w:val="0"/>
          <w:bCs w:val="0"/>
          <w:color w:val="auto"/>
          <w:sz w:val="20"/>
          <w:szCs w:val="24"/>
        </w:rPr>
        <w:t>he 24</w:t>
      </w:r>
      <w:r>
        <w:rPr>
          <w:rFonts w:cs="Times New Roman"/>
          <w:b w:val="0"/>
          <w:bCs w:val="0"/>
          <w:color w:val="auto"/>
          <w:sz w:val="20"/>
          <w:szCs w:val="24"/>
        </w:rPr>
        <w:t>-</w:t>
      </w:r>
      <w:r w:rsidRPr="00056BC2">
        <w:rPr>
          <w:rFonts w:cs="Times New Roman"/>
          <w:b w:val="0"/>
          <w:bCs w:val="0"/>
          <w:color w:val="auto"/>
          <w:sz w:val="20"/>
          <w:szCs w:val="24"/>
        </w:rPr>
        <w:t xml:space="preserve">hour </w:t>
      </w:r>
      <w:r>
        <w:rPr>
          <w:rFonts w:cs="Times New Roman"/>
          <w:b w:val="0"/>
          <w:bCs w:val="0"/>
          <w:color w:val="auto"/>
          <w:sz w:val="20"/>
          <w:szCs w:val="24"/>
        </w:rPr>
        <w:t>s</w:t>
      </w:r>
      <w:r w:rsidRPr="00056BC2">
        <w:rPr>
          <w:rFonts w:cs="Times New Roman"/>
          <w:b w:val="0"/>
          <w:bCs w:val="0"/>
          <w:color w:val="auto"/>
          <w:sz w:val="20"/>
          <w:szCs w:val="24"/>
        </w:rPr>
        <w:t xml:space="preserve">upport </w:t>
      </w:r>
      <w:proofErr w:type="spellStart"/>
      <w:r>
        <w:rPr>
          <w:rFonts w:cs="Times New Roman"/>
          <w:b w:val="0"/>
          <w:bCs w:val="0"/>
          <w:color w:val="auto"/>
          <w:sz w:val="20"/>
          <w:szCs w:val="24"/>
        </w:rPr>
        <w:t>c</w:t>
      </w:r>
      <w:r w:rsidRPr="00056BC2">
        <w:rPr>
          <w:rFonts w:cs="Times New Roman"/>
          <w:b w:val="0"/>
          <w:bCs w:val="0"/>
          <w:color w:val="auto"/>
          <w:sz w:val="20"/>
          <w:szCs w:val="24"/>
        </w:rPr>
        <w:t>entre</w:t>
      </w:r>
      <w:proofErr w:type="spellEnd"/>
      <w:r w:rsidRPr="00056BC2">
        <w:rPr>
          <w:rFonts w:cs="Times New Roman"/>
          <w:b w:val="0"/>
          <w:bCs w:val="0"/>
          <w:color w:val="auto"/>
          <w:sz w:val="20"/>
          <w:szCs w:val="24"/>
        </w:rPr>
        <w:t xml:space="preserve"> is not only used in emergency situations for women and children escaping violent situations</w:t>
      </w:r>
      <w:r>
        <w:rPr>
          <w:rFonts w:cs="Times New Roman"/>
          <w:b w:val="0"/>
          <w:bCs w:val="0"/>
          <w:color w:val="auto"/>
          <w:sz w:val="20"/>
          <w:szCs w:val="24"/>
        </w:rPr>
        <w:t>,</w:t>
      </w:r>
      <w:r w:rsidRPr="00056BC2">
        <w:rPr>
          <w:rFonts w:cs="Times New Roman"/>
          <w:b w:val="0"/>
          <w:bCs w:val="0"/>
          <w:color w:val="auto"/>
          <w:sz w:val="20"/>
          <w:szCs w:val="24"/>
        </w:rPr>
        <w:t xml:space="preserve"> but is also a place to heal, </w:t>
      </w:r>
      <w:r>
        <w:rPr>
          <w:rFonts w:cs="Times New Roman"/>
          <w:b w:val="0"/>
          <w:bCs w:val="0"/>
          <w:color w:val="auto"/>
          <w:sz w:val="20"/>
          <w:szCs w:val="24"/>
        </w:rPr>
        <w:t xml:space="preserve">and </w:t>
      </w:r>
      <w:r w:rsidRPr="00056BC2">
        <w:rPr>
          <w:rFonts w:cs="Times New Roman"/>
          <w:b w:val="0"/>
          <w:bCs w:val="0"/>
          <w:color w:val="auto"/>
          <w:sz w:val="20"/>
          <w:szCs w:val="24"/>
        </w:rPr>
        <w:t xml:space="preserve">build confidence and resilience with regular women’s yarning circles. The </w:t>
      </w:r>
      <w:proofErr w:type="spellStart"/>
      <w:r>
        <w:rPr>
          <w:rFonts w:cs="Times New Roman"/>
          <w:b w:val="0"/>
          <w:bCs w:val="0"/>
          <w:color w:val="auto"/>
          <w:sz w:val="20"/>
          <w:szCs w:val="24"/>
        </w:rPr>
        <w:t>c</w:t>
      </w:r>
      <w:r w:rsidRPr="00056BC2">
        <w:rPr>
          <w:rFonts w:cs="Times New Roman"/>
          <w:b w:val="0"/>
          <w:bCs w:val="0"/>
          <w:color w:val="auto"/>
          <w:sz w:val="20"/>
          <w:szCs w:val="24"/>
        </w:rPr>
        <w:t>entre</w:t>
      </w:r>
      <w:proofErr w:type="spellEnd"/>
      <w:r w:rsidRPr="00056BC2">
        <w:rPr>
          <w:rFonts w:cs="Times New Roman"/>
          <w:b w:val="0"/>
          <w:bCs w:val="0"/>
          <w:color w:val="auto"/>
          <w:sz w:val="20"/>
          <w:szCs w:val="24"/>
        </w:rPr>
        <w:t xml:space="preserve"> has been so successful</w:t>
      </w:r>
      <w:r>
        <w:rPr>
          <w:rFonts w:cs="Times New Roman"/>
          <w:b w:val="0"/>
          <w:bCs w:val="0"/>
          <w:color w:val="auto"/>
          <w:sz w:val="20"/>
          <w:szCs w:val="24"/>
        </w:rPr>
        <w:t>,</w:t>
      </w:r>
      <w:r w:rsidRPr="00056BC2">
        <w:rPr>
          <w:rFonts w:cs="Times New Roman"/>
          <w:b w:val="0"/>
          <w:bCs w:val="0"/>
          <w:color w:val="auto"/>
          <w:sz w:val="20"/>
          <w:szCs w:val="24"/>
        </w:rPr>
        <w:t xml:space="preserve"> our local men are lobbying for funding to have their own special place for healing </w:t>
      </w:r>
      <w:r w:rsidRPr="00056BC2">
        <w:rPr>
          <w:rFonts w:cs="Times New Roman"/>
          <w:b w:val="0"/>
          <w:bCs w:val="0"/>
          <w:color w:val="auto"/>
          <w:sz w:val="20"/>
          <w:szCs w:val="24"/>
        </w:rPr>
        <w:lastRenderedPageBreak/>
        <w:t>and men’s business.</w:t>
      </w:r>
    </w:p>
    <w:p w14:paraId="050B718D" w14:textId="77777777" w:rsidR="00E953F9" w:rsidRDefault="00E953F9" w:rsidP="00E953F9">
      <w:pPr>
        <w:pStyle w:val="Subhead"/>
        <w:spacing w:after="120"/>
        <w:rPr>
          <w:rFonts w:cs="Times New Roman"/>
          <w:b w:val="0"/>
          <w:bCs w:val="0"/>
          <w:color w:val="auto"/>
          <w:sz w:val="20"/>
          <w:szCs w:val="24"/>
        </w:rPr>
      </w:pPr>
      <w:r w:rsidRPr="00056BC2">
        <w:rPr>
          <w:rFonts w:cs="Times New Roman"/>
          <w:b w:val="0"/>
          <w:bCs w:val="0"/>
          <w:color w:val="auto"/>
          <w:sz w:val="20"/>
          <w:szCs w:val="24"/>
        </w:rPr>
        <w:t xml:space="preserve">Another new initiative that Coen residents are lobbying for is a </w:t>
      </w:r>
      <w:r>
        <w:rPr>
          <w:rFonts w:cs="Times New Roman"/>
          <w:b w:val="0"/>
          <w:bCs w:val="0"/>
          <w:color w:val="auto"/>
          <w:sz w:val="20"/>
          <w:szCs w:val="24"/>
        </w:rPr>
        <w:t>p</w:t>
      </w:r>
      <w:r w:rsidRPr="00056BC2">
        <w:rPr>
          <w:rFonts w:cs="Times New Roman"/>
          <w:b w:val="0"/>
          <w:bCs w:val="0"/>
          <w:color w:val="auto"/>
          <w:sz w:val="20"/>
          <w:szCs w:val="24"/>
        </w:rPr>
        <w:t xml:space="preserve">alliative </w:t>
      </w:r>
      <w:r>
        <w:rPr>
          <w:rFonts w:cs="Times New Roman"/>
          <w:b w:val="0"/>
          <w:bCs w:val="0"/>
          <w:color w:val="auto"/>
          <w:sz w:val="20"/>
          <w:szCs w:val="24"/>
        </w:rPr>
        <w:t>c</w:t>
      </w:r>
      <w:r w:rsidRPr="00056BC2">
        <w:rPr>
          <w:rFonts w:cs="Times New Roman"/>
          <w:b w:val="0"/>
          <w:bCs w:val="0"/>
          <w:color w:val="auto"/>
          <w:sz w:val="20"/>
          <w:szCs w:val="24"/>
        </w:rPr>
        <w:t xml:space="preserve">are </w:t>
      </w:r>
      <w:proofErr w:type="spellStart"/>
      <w:r>
        <w:rPr>
          <w:rFonts w:cs="Times New Roman"/>
          <w:b w:val="0"/>
          <w:bCs w:val="0"/>
          <w:color w:val="auto"/>
          <w:sz w:val="20"/>
          <w:szCs w:val="24"/>
        </w:rPr>
        <w:t>c</w:t>
      </w:r>
      <w:r w:rsidRPr="00056BC2">
        <w:rPr>
          <w:rFonts w:cs="Times New Roman"/>
          <w:b w:val="0"/>
          <w:bCs w:val="0"/>
          <w:color w:val="auto"/>
          <w:sz w:val="20"/>
          <w:szCs w:val="24"/>
        </w:rPr>
        <w:t>entre</w:t>
      </w:r>
      <w:proofErr w:type="spellEnd"/>
      <w:r w:rsidRPr="00056BC2">
        <w:rPr>
          <w:rFonts w:cs="Times New Roman"/>
          <w:b w:val="0"/>
          <w:bCs w:val="0"/>
          <w:color w:val="auto"/>
          <w:sz w:val="20"/>
          <w:szCs w:val="24"/>
        </w:rPr>
        <w:t xml:space="preserve"> that will be a place of resting on country for not only Coen residents but for all people of Cape York</w:t>
      </w:r>
      <w:r>
        <w:rPr>
          <w:rFonts w:cs="Times New Roman"/>
          <w:b w:val="0"/>
          <w:bCs w:val="0"/>
          <w:color w:val="auto"/>
          <w:sz w:val="20"/>
          <w:szCs w:val="24"/>
        </w:rPr>
        <w:t>;</w:t>
      </w:r>
      <w:r w:rsidRPr="00056BC2">
        <w:rPr>
          <w:rFonts w:cs="Times New Roman"/>
          <w:b w:val="0"/>
          <w:bCs w:val="0"/>
          <w:color w:val="auto"/>
          <w:sz w:val="20"/>
          <w:szCs w:val="24"/>
        </w:rPr>
        <w:t xml:space="preserve"> </w:t>
      </w:r>
      <w:r>
        <w:rPr>
          <w:rFonts w:cs="Times New Roman"/>
          <w:b w:val="0"/>
          <w:bCs w:val="0"/>
          <w:color w:val="auto"/>
          <w:sz w:val="20"/>
          <w:szCs w:val="24"/>
        </w:rPr>
        <w:t>a</w:t>
      </w:r>
      <w:r w:rsidRPr="00056BC2">
        <w:rPr>
          <w:rFonts w:cs="Times New Roman"/>
          <w:b w:val="0"/>
          <w:bCs w:val="0"/>
          <w:color w:val="auto"/>
          <w:sz w:val="20"/>
          <w:szCs w:val="24"/>
        </w:rPr>
        <w:t xml:space="preserve"> place where families can come together</w:t>
      </w:r>
      <w:r>
        <w:rPr>
          <w:rFonts w:cs="Times New Roman"/>
          <w:b w:val="0"/>
          <w:bCs w:val="0"/>
          <w:color w:val="auto"/>
          <w:sz w:val="20"/>
          <w:szCs w:val="24"/>
        </w:rPr>
        <w:t>,</w:t>
      </w:r>
      <w:r w:rsidRPr="00056BC2">
        <w:rPr>
          <w:rFonts w:cs="Times New Roman"/>
          <w:b w:val="0"/>
          <w:bCs w:val="0"/>
          <w:color w:val="auto"/>
          <w:sz w:val="20"/>
          <w:szCs w:val="24"/>
        </w:rPr>
        <w:t xml:space="preserve"> relieving the need for expensive travel </w:t>
      </w:r>
      <w:r>
        <w:rPr>
          <w:rFonts w:cs="Times New Roman"/>
          <w:b w:val="0"/>
          <w:bCs w:val="0"/>
          <w:color w:val="auto"/>
          <w:sz w:val="20"/>
          <w:szCs w:val="24"/>
        </w:rPr>
        <w:t>and</w:t>
      </w:r>
      <w:r w:rsidRPr="00056BC2">
        <w:rPr>
          <w:rFonts w:cs="Times New Roman"/>
          <w:b w:val="0"/>
          <w:bCs w:val="0"/>
          <w:color w:val="auto"/>
          <w:sz w:val="20"/>
          <w:szCs w:val="24"/>
        </w:rPr>
        <w:t xml:space="preserve"> </w:t>
      </w:r>
      <w:r>
        <w:rPr>
          <w:rFonts w:cs="Times New Roman"/>
          <w:b w:val="0"/>
          <w:bCs w:val="0"/>
          <w:color w:val="auto"/>
          <w:sz w:val="20"/>
          <w:szCs w:val="24"/>
        </w:rPr>
        <w:t>re</w:t>
      </w:r>
      <w:r w:rsidRPr="00056BC2">
        <w:rPr>
          <w:rFonts w:cs="Times New Roman"/>
          <w:b w:val="0"/>
          <w:bCs w:val="0"/>
          <w:color w:val="auto"/>
          <w:sz w:val="20"/>
          <w:szCs w:val="24"/>
        </w:rPr>
        <w:t xml:space="preserve">location costs once family members have passed. </w:t>
      </w:r>
      <w:r>
        <w:rPr>
          <w:rFonts w:cs="Times New Roman"/>
          <w:b w:val="0"/>
          <w:bCs w:val="0"/>
          <w:color w:val="auto"/>
          <w:sz w:val="20"/>
          <w:szCs w:val="24"/>
        </w:rPr>
        <w:t>We</w:t>
      </w:r>
      <w:r w:rsidRPr="00056BC2">
        <w:rPr>
          <w:rFonts w:cs="Times New Roman"/>
          <w:b w:val="0"/>
          <w:bCs w:val="0"/>
          <w:color w:val="auto"/>
          <w:sz w:val="20"/>
          <w:szCs w:val="24"/>
        </w:rPr>
        <w:t xml:space="preserve"> are very supportive of this </w:t>
      </w:r>
      <w:proofErr w:type="spellStart"/>
      <w:r>
        <w:rPr>
          <w:rFonts w:cs="Times New Roman"/>
          <w:b w:val="0"/>
          <w:bCs w:val="0"/>
          <w:color w:val="auto"/>
          <w:sz w:val="20"/>
          <w:szCs w:val="24"/>
        </w:rPr>
        <w:t>c</w:t>
      </w:r>
      <w:r w:rsidRPr="00056BC2">
        <w:rPr>
          <w:rFonts w:cs="Times New Roman"/>
          <w:b w:val="0"/>
          <w:bCs w:val="0"/>
          <w:color w:val="auto"/>
          <w:sz w:val="20"/>
          <w:szCs w:val="24"/>
        </w:rPr>
        <w:t>entre</w:t>
      </w:r>
      <w:proofErr w:type="spellEnd"/>
      <w:r w:rsidRPr="00056BC2">
        <w:rPr>
          <w:rFonts w:cs="Times New Roman"/>
          <w:b w:val="0"/>
          <w:bCs w:val="0"/>
          <w:color w:val="auto"/>
          <w:sz w:val="20"/>
          <w:szCs w:val="24"/>
        </w:rPr>
        <w:t xml:space="preserve"> going forward. Cook Shire Council have donated the old James Love </w:t>
      </w:r>
      <w:r>
        <w:rPr>
          <w:rFonts w:cs="Times New Roman"/>
          <w:b w:val="0"/>
          <w:bCs w:val="0"/>
          <w:color w:val="auto"/>
          <w:sz w:val="20"/>
          <w:szCs w:val="24"/>
        </w:rPr>
        <w:t>B</w:t>
      </w:r>
      <w:r w:rsidRPr="00056BC2">
        <w:rPr>
          <w:rFonts w:cs="Times New Roman"/>
          <w:b w:val="0"/>
          <w:bCs w:val="0"/>
          <w:color w:val="auto"/>
          <w:sz w:val="20"/>
          <w:szCs w:val="24"/>
        </w:rPr>
        <w:t>uilding to the cause which is currently being renovated in readiness for an approval.</w:t>
      </w:r>
    </w:p>
    <w:p w14:paraId="230FCFA5" w14:textId="4293D224" w:rsidR="00E953F9" w:rsidRPr="00056BC2" w:rsidRDefault="00E953F9" w:rsidP="00E953F9">
      <w:pPr>
        <w:pStyle w:val="Subhead"/>
        <w:spacing w:after="120"/>
        <w:rPr>
          <w:rFonts w:cs="Times New Roman"/>
          <w:b w:val="0"/>
          <w:bCs w:val="0"/>
          <w:color w:val="auto"/>
          <w:sz w:val="20"/>
          <w:szCs w:val="24"/>
        </w:rPr>
      </w:pPr>
      <w:r w:rsidRPr="00056BC2">
        <w:rPr>
          <w:rFonts w:cs="Times New Roman"/>
          <w:b w:val="0"/>
          <w:bCs w:val="0"/>
          <w:color w:val="auto"/>
          <w:sz w:val="20"/>
          <w:szCs w:val="24"/>
        </w:rPr>
        <w:t xml:space="preserve">The official opening of </w:t>
      </w:r>
      <w:r>
        <w:rPr>
          <w:rFonts w:cs="Times New Roman"/>
          <w:b w:val="0"/>
          <w:bCs w:val="0"/>
          <w:color w:val="auto"/>
          <w:sz w:val="20"/>
          <w:szCs w:val="24"/>
        </w:rPr>
        <w:t xml:space="preserve">the </w:t>
      </w:r>
      <w:r w:rsidRPr="00056BC2">
        <w:rPr>
          <w:rFonts w:cs="Times New Roman"/>
          <w:b w:val="0"/>
          <w:bCs w:val="0"/>
          <w:color w:val="auto"/>
          <w:sz w:val="20"/>
          <w:szCs w:val="24"/>
        </w:rPr>
        <w:t>Coen Sports Oval was held on 23 October 2018</w:t>
      </w:r>
      <w:r>
        <w:rPr>
          <w:rFonts w:cs="Times New Roman"/>
          <w:b w:val="0"/>
          <w:bCs w:val="0"/>
          <w:color w:val="auto"/>
          <w:sz w:val="20"/>
          <w:szCs w:val="24"/>
        </w:rPr>
        <w:t xml:space="preserve"> with the </w:t>
      </w:r>
      <w:proofErr w:type="spellStart"/>
      <w:r w:rsidR="00DC21CC">
        <w:rPr>
          <w:rFonts w:cs="Times New Roman"/>
          <w:b w:val="0"/>
          <w:bCs w:val="0"/>
          <w:color w:val="auto"/>
          <w:sz w:val="20"/>
          <w:szCs w:val="24"/>
        </w:rPr>
        <w:t>Honourable</w:t>
      </w:r>
      <w:proofErr w:type="spellEnd"/>
      <w:r>
        <w:rPr>
          <w:rFonts w:cs="Times New Roman"/>
          <w:b w:val="0"/>
          <w:bCs w:val="0"/>
          <w:color w:val="auto"/>
          <w:sz w:val="20"/>
          <w:szCs w:val="24"/>
        </w:rPr>
        <w:t xml:space="preserve"> </w:t>
      </w:r>
      <w:r w:rsidRPr="00056BC2">
        <w:rPr>
          <w:rFonts w:cs="Times New Roman"/>
          <w:b w:val="0"/>
          <w:bCs w:val="0"/>
          <w:color w:val="auto"/>
          <w:sz w:val="20"/>
          <w:szCs w:val="24"/>
        </w:rPr>
        <w:t>Cameron Dick</w:t>
      </w:r>
      <w:r>
        <w:rPr>
          <w:rFonts w:cs="Times New Roman"/>
          <w:b w:val="0"/>
          <w:bCs w:val="0"/>
          <w:color w:val="auto"/>
          <w:sz w:val="20"/>
          <w:szCs w:val="24"/>
        </w:rPr>
        <w:t xml:space="preserve"> MP</w:t>
      </w:r>
      <w:r w:rsidRPr="00056BC2">
        <w:rPr>
          <w:rFonts w:cs="Times New Roman"/>
          <w:b w:val="0"/>
          <w:bCs w:val="0"/>
          <w:color w:val="auto"/>
          <w:sz w:val="20"/>
          <w:szCs w:val="24"/>
        </w:rPr>
        <w:t xml:space="preserve">, </w:t>
      </w:r>
      <w:r>
        <w:rPr>
          <w:rFonts w:cs="Times New Roman"/>
          <w:b w:val="0"/>
          <w:bCs w:val="0"/>
          <w:color w:val="auto"/>
          <w:sz w:val="20"/>
          <w:szCs w:val="24"/>
        </w:rPr>
        <w:t xml:space="preserve">Minister for State Development, Manufacturing, Infrastructure and Planning, Coen </w:t>
      </w:r>
      <w:r w:rsidRPr="00056BC2">
        <w:rPr>
          <w:rFonts w:cs="Times New Roman"/>
          <w:b w:val="0"/>
          <w:bCs w:val="0"/>
          <w:color w:val="auto"/>
          <w:sz w:val="20"/>
          <w:szCs w:val="24"/>
        </w:rPr>
        <w:t>Government Champion Commissioner Kat</w:t>
      </w:r>
      <w:r>
        <w:rPr>
          <w:rFonts w:cs="Times New Roman"/>
          <w:b w:val="0"/>
          <w:bCs w:val="0"/>
          <w:color w:val="auto"/>
          <w:sz w:val="20"/>
          <w:szCs w:val="24"/>
        </w:rPr>
        <w:t>a</w:t>
      </w:r>
      <w:r w:rsidRPr="00056BC2">
        <w:rPr>
          <w:rFonts w:cs="Times New Roman"/>
          <w:b w:val="0"/>
          <w:bCs w:val="0"/>
          <w:color w:val="auto"/>
          <w:sz w:val="20"/>
          <w:szCs w:val="24"/>
        </w:rPr>
        <w:t>rina Carroll</w:t>
      </w:r>
      <w:r>
        <w:rPr>
          <w:rFonts w:cs="Times New Roman"/>
          <w:b w:val="0"/>
          <w:bCs w:val="0"/>
          <w:color w:val="auto"/>
          <w:sz w:val="20"/>
          <w:szCs w:val="24"/>
        </w:rPr>
        <w:t>, and</w:t>
      </w:r>
      <w:r w:rsidRPr="00056BC2">
        <w:rPr>
          <w:rFonts w:cs="Times New Roman"/>
          <w:b w:val="0"/>
          <w:bCs w:val="0"/>
          <w:color w:val="auto"/>
          <w:sz w:val="20"/>
          <w:szCs w:val="24"/>
        </w:rPr>
        <w:t xml:space="preserve"> football legends Steve </w:t>
      </w:r>
      <w:proofErr w:type="spellStart"/>
      <w:r w:rsidRPr="00056BC2">
        <w:rPr>
          <w:rFonts w:cs="Times New Roman"/>
          <w:b w:val="0"/>
          <w:bCs w:val="0"/>
          <w:color w:val="auto"/>
          <w:sz w:val="20"/>
          <w:szCs w:val="24"/>
        </w:rPr>
        <w:t>Renouf</w:t>
      </w:r>
      <w:proofErr w:type="spellEnd"/>
      <w:r w:rsidRPr="00056BC2">
        <w:rPr>
          <w:rFonts w:cs="Times New Roman"/>
          <w:b w:val="0"/>
          <w:bCs w:val="0"/>
          <w:color w:val="auto"/>
          <w:sz w:val="20"/>
          <w:szCs w:val="24"/>
        </w:rPr>
        <w:t xml:space="preserve"> and Scott Prince</w:t>
      </w:r>
      <w:r>
        <w:rPr>
          <w:rFonts w:cs="Times New Roman"/>
          <w:b w:val="0"/>
          <w:bCs w:val="0"/>
          <w:color w:val="auto"/>
          <w:sz w:val="20"/>
          <w:szCs w:val="24"/>
        </w:rPr>
        <w:t xml:space="preserve"> attending</w:t>
      </w:r>
      <w:r w:rsidRPr="00056BC2">
        <w:rPr>
          <w:rFonts w:cs="Times New Roman"/>
          <w:b w:val="0"/>
          <w:bCs w:val="0"/>
          <w:color w:val="auto"/>
          <w:sz w:val="20"/>
          <w:szCs w:val="24"/>
        </w:rPr>
        <w:t>. To date, the football field, toilet block and shaded children’s playground have all been completed</w:t>
      </w:r>
      <w:r>
        <w:rPr>
          <w:rFonts w:cs="Times New Roman"/>
          <w:b w:val="0"/>
          <w:bCs w:val="0"/>
          <w:color w:val="auto"/>
          <w:sz w:val="20"/>
          <w:szCs w:val="24"/>
        </w:rPr>
        <w:t>,</w:t>
      </w:r>
      <w:r w:rsidRPr="00056BC2">
        <w:rPr>
          <w:rFonts w:cs="Times New Roman"/>
          <w:b w:val="0"/>
          <w:bCs w:val="0"/>
          <w:color w:val="auto"/>
          <w:sz w:val="20"/>
          <w:szCs w:val="24"/>
        </w:rPr>
        <w:t xml:space="preserve"> with further components yet to be included</w:t>
      </w:r>
      <w:r>
        <w:rPr>
          <w:rFonts w:cs="Times New Roman"/>
          <w:b w:val="0"/>
          <w:bCs w:val="0"/>
          <w:color w:val="auto"/>
          <w:sz w:val="20"/>
          <w:szCs w:val="24"/>
        </w:rPr>
        <w:t>.</w:t>
      </w:r>
    </w:p>
    <w:p w14:paraId="309DA0DE" w14:textId="77777777" w:rsidR="00E953F9" w:rsidRDefault="00E953F9" w:rsidP="00E953F9">
      <w:pPr>
        <w:pStyle w:val="Subhead"/>
        <w:spacing w:after="120"/>
        <w:rPr>
          <w:rFonts w:cs="Times New Roman"/>
          <w:b w:val="0"/>
          <w:bCs w:val="0"/>
          <w:color w:val="auto"/>
          <w:sz w:val="20"/>
          <w:szCs w:val="24"/>
        </w:rPr>
      </w:pPr>
      <w:r w:rsidRPr="00056BC2">
        <w:rPr>
          <w:rFonts w:cs="Times New Roman"/>
          <w:b w:val="0"/>
          <w:bCs w:val="0"/>
          <w:color w:val="auto"/>
          <w:sz w:val="20"/>
          <w:szCs w:val="24"/>
        </w:rPr>
        <w:t>This year</w:t>
      </w:r>
      <w:r>
        <w:rPr>
          <w:rFonts w:cs="Times New Roman"/>
          <w:b w:val="0"/>
          <w:bCs w:val="0"/>
          <w:color w:val="auto"/>
          <w:sz w:val="20"/>
          <w:szCs w:val="24"/>
        </w:rPr>
        <w:t xml:space="preserve">, as with previous years, </w:t>
      </w:r>
      <w:r w:rsidRPr="00056BC2">
        <w:rPr>
          <w:rFonts w:cs="Times New Roman"/>
          <w:b w:val="0"/>
          <w:bCs w:val="0"/>
          <w:color w:val="auto"/>
          <w:sz w:val="20"/>
          <w:szCs w:val="24"/>
        </w:rPr>
        <w:t xml:space="preserve">working in collaboration with local stakeholders and visitors from varying government and non-government agencies </w:t>
      </w:r>
      <w:r>
        <w:rPr>
          <w:rFonts w:cs="Times New Roman"/>
          <w:b w:val="0"/>
          <w:bCs w:val="0"/>
          <w:color w:val="auto"/>
          <w:sz w:val="20"/>
          <w:szCs w:val="24"/>
        </w:rPr>
        <w:t xml:space="preserve">has proven </w:t>
      </w:r>
      <w:r w:rsidRPr="00056BC2">
        <w:rPr>
          <w:rFonts w:cs="Times New Roman"/>
          <w:b w:val="0"/>
          <w:bCs w:val="0"/>
          <w:color w:val="auto"/>
          <w:sz w:val="20"/>
          <w:szCs w:val="24"/>
        </w:rPr>
        <w:t xml:space="preserve">of great value to us. </w:t>
      </w:r>
      <w:r>
        <w:rPr>
          <w:rFonts w:cs="Times New Roman"/>
          <w:b w:val="0"/>
          <w:bCs w:val="0"/>
          <w:color w:val="auto"/>
          <w:sz w:val="20"/>
          <w:szCs w:val="24"/>
        </w:rPr>
        <w:t xml:space="preserve">The Coen Interagency bi-monthly meetings are of </w:t>
      </w:r>
      <w:proofErr w:type="gramStart"/>
      <w:r>
        <w:rPr>
          <w:rFonts w:cs="Times New Roman"/>
          <w:b w:val="0"/>
          <w:bCs w:val="0"/>
          <w:color w:val="auto"/>
          <w:sz w:val="20"/>
          <w:szCs w:val="24"/>
        </w:rPr>
        <w:t>particular value</w:t>
      </w:r>
      <w:proofErr w:type="gramEnd"/>
      <w:r>
        <w:rPr>
          <w:rFonts w:cs="Times New Roman"/>
          <w:b w:val="0"/>
          <w:bCs w:val="0"/>
          <w:color w:val="auto"/>
          <w:sz w:val="20"/>
          <w:szCs w:val="24"/>
        </w:rPr>
        <w:t xml:space="preserve">, providing a networking opportunity with stakeholders. </w:t>
      </w:r>
      <w:r w:rsidRPr="00056BC2">
        <w:rPr>
          <w:rFonts w:cs="Times New Roman"/>
          <w:b w:val="0"/>
          <w:bCs w:val="0"/>
          <w:color w:val="auto"/>
          <w:sz w:val="20"/>
          <w:szCs w:val="24"/>
        </w:rPr>
        <w:t>These partnerships continue to be high on our agenda and a significant part of addressing matters that arise during a conference sitting</w:t>
      </w:r>
      <w:r>
        <w:rPr>
          <w:rFonts w:cs="Times New Roman"/>
          <w:b w:val="0"/>
          <w:bCs w:val="0"/>
          <w:color w:val="auto"/>
          <w:sz w:val="20"/>
          <w:szCs w:val="24"/>
        </w:rPr>
        <w:t>,</w:t>
      </w:r>
      <w:r w:rsidRPr="00056BC2">
        <w:rPr>
          <w:rFonts w:cs="Times New Roman"/>
          <w:b w:val="0"/>
          <w:bCs w:val="0"/>
          <w:color w:val="auto"/>
          <w:sz w:val="20"/>
          <w:szCs w:val="24"/>
        </w:rPr>
        <w:t xml:space="preserve"> or </w:t>
      </w:r>
      <w:r>
        <w:rPr>
          <w:rFonts w:cs="Times New Roman"/>
          <w:b w:val="0"/>
          <w:bCs w:val="0"/>
          <w:color w:val="auto"/>
          <w:sz w:val="20"/>
          <w:szCs w:val="24"/>
        </w:rPr>
        <w:t>within</w:t>
      </w:r>
      <w:r w:rsidRPr="00056BC2">
        <w:rPr>
          <w:rFonts w:cs="Times New Roman"/>
          <w:b w:val="0"/>
          <w:bCs w:val="0"/>
          <w:color w:val="auto"/>
          <w:sz w:val="20"/>
          <w:szCs w:val="24"/>
        </w:rPr>
        <w:t xml:space="preserve"> our </w:t>
      </w:r>
      <w:r>
        <w:rPr>
          <w:rFonts w:cs="Times New Roman"/>
          <w:b w:val="0"/>
          <w:bCs w:val="0"/>
          <w:color w:val="auto"/>
          <w:sz w:val="20"/>
          <w:szCs w:val="24"/>
        </w:rPr>
        <w:t xml:space="preserve">daily </w:t>
      </w:r>
      <w:r w:rsidRPr="00056BC2">
        <w:rPr>
          <w:rFonts w:cs="Times New Roman"/>
          <w:b w:val="0"/>
          <w:bCs w:val="0"/>
          <w:color w:val="auto"/>
          <w:sz w:val="20"/>
          <w:szCs w:val="24"/>
        </w:rPr>
        <w:t xml:space="preserve">roles as </w:t>
      </w:r>
      <w:r>
        <w:rPr>
          <w:rFonts w:cs="Times New Roman"/>
          <w:b w:val="0"/>
          <w:bCs w:val="0"/>
          <w:color w:val="auto"/>
          <w:sz w:val="20"/>
          <w:szCs w:val="24"/>
        </w:rPr>
        <w:t>Local Commissioners</w:t>
      </w:r>
      <w:r w:rsidRPr="00056BC2">
        <w:rPr>
          <w:rFonts w:cs="Times New Roman"/>
          <w:b w:val="0"/>
          <w:bCs w:val="0"/>
          <w:color w:val="auto"/>
          <w:sz w:val="20"/>
          <w:szCs w:val="24"/>
        </w:rPr>
        <w:t xml:space="preserve"> </w:t>
      </w:r>
      <w:r>
        <w:rPr>
          <w:rFonts w:cs="Times New Roman"/>
          <w:b w:val="0"/>
          <w:bCs w:val="0"/>
          <w:color w:val="auto"/>
          <w:sz w:val="20"/>
          <w:szCs w:val="24"/>
        </w:rPr>
        <w:t>and</w:t>
      </w:r>
      <w:r w:rsidRPr="00056BC2">
        <w:rPr>
          <w:rFonts w:cs="Times New Roman"/>
          <w:b w:val="0"/>
          <w:bCs w:val="0"/>
          <w:color w:val="auto"/>
          <w:sz w:val="20"/>
          <w:szCs w:val="24"/>
        </w:rPr>
        <w:t xml:space="preserve"> members of </w:t>
      </w:r>
      <w:r>
        <w:rPr>
          <w:rFonts w:cs="Times New Roman"/>
          <w:b w:val="0"/>
          <w:bCs w:val="0"/>
          <w:color w:val="auto"/>
          <w:sz w:val="20"/>
          <w:szCs w:val="24"/>
        </w:rPr>
        <w:t>our</w:t>
      </w:r>
      <w:r w:rsidRPr="00056BC2">
        <w:rPr>
          <w:rFonts w:cs="Times New Roman"/>
          <w:b w:val="0"/>
          <w:bCs w:val="0"/>
          <w:color w:val="auto"/>
          <w:sz w:val="20"/>
          <w:szCs w:val="24"/>
        </w:rPr>
        <w:t xml:space="preserve"> community.</w:t>
      </w:r>
    </w:p>
    <w:p w14:paraId="2A3139C5" w14:textId="77777777" w:rsidR="00E953F9" w:rsidRDefault="00E953F9" w:rsidP="00E953F9">
      <w:pPr>
        <w:pStyle w:val="Subhead"/>
        <w:spacing w:after="120"/>
        <w:rPr>
          <w:rFonts w:cs="Times New Roman"/>
          <w:b w:val="0"/>
          <w:bCs w:val="0"/>
          <w:color w:val="auto"/>
          <w:sz w:val="20"/>
          <w:szCs w:val="24"/>
        </w:rPr>
      </w:pPr>
      <w:r>
        <w:rPr>
          <w:rFonts w:cs="Times New Roman"/>
          <w:b w:val="0"/>
          <w:bCs w:val="0"/>
          <w:color w:val="auto"/>
          <w:sz w:val="20"/>
          <w:szCs w:val="24"/>
        </w:rPr>
        <w:t xml:space="preserve">The </w:t>
      </w:r>
      <w:r w:rsidRPr="00056BC2">
        <w:rPr>
          <w:rFonts w:cs="Times New Roman"/>
          <w:b w:val="0"/>
          <w:bCs w:val="0"/>
          <w:color w:val="auto"/>
          <w:sz w:val="20"/>
          <w:szCs w:val="24"/>
        </w:rPr>
        <w:t>Queensland Police Service consistently support</w:t>
      </w:r>
      <w:r>
        <w:rPr>
          <w:rFonts w:cs="Times New Roman"/>
          <w:b w:val="0"/>
          <w:bCs w:val="0"/>
          <w:color w:val="auto"/>
          <w:sz w:val="20"/>
          <w:szCs w:val="24"/>
        </w:rPr>
        <w:t xml:space="preserve"> our Commission</w:t>
      </w:r>
      <w:r w:rsidRPr="00056BC2">
        <w:rPr>
          <w:rFonts w:cs="Times New Roman"/>
          <w:b w:val="0"/>
          <w:bCs w:val="0"/>
          <w:color w:val="auto"/>
          <w:sz w:val="20"/>
          <w:szCs w:val="24"/>
        </w:rPr>
        <w:t xml:space="preserve"> by delivering conference notices to FRC clients who have been scheduled to attend. </w:t>
      </w:r>
      <w:r>
        <w:rPr>
          <w:rFonts w:cs="Times New Roman"/>
          <w:b w:val="0"/>
          <w:bCs w:val="0"/>
          <w:color w:val="auto"/>
          <w:sz w:val="20"/>
          <w:szCs w:val="24"/>
        </w:rPr>
        <w:t>We would like to thank them for assisting us in this manner and for backing our work in community.</w:t>
      </w:r>
    </w:p>
    <w:p w14:paraId="3D81FB3B" w14:textId="77777777" w:rsidR="00E953F9" w:rsidRDefault="00E953F9" w:rsidP="00E953F9">
      <w:pPr>
        <w:rPr>
          <w:lang w:val="en-US"/>
        </w:rPr>
      </w:pPr>
      <w:r>
        <w:rPr>
          <w:lang w:val="en-US"/>
        </w:rPr>
        <w:t>Our report last year</w:t>
      </w:r>
      <w:r w:rsidRPr="00F56CB8">
        <w:rPr>
          <w:lang w:val="en-US"/>
        </w:rPr>
        <w:t xml:space="preserve"> spoke about the lack of resources </w:t>
      </w:r>
      <w:r w:rsidRPr="00056BC2">
        <w:rPr>
          <w:lang w:val="en-US"/>
        </w:rPr>
        <w:t xml:space="preserve">for </w:t>
      </w:r>
      <w:proofErr w:type="spellStart"/>
      <w:r w:rsidRPr="00056BC2">
        <w:rPr>
          <w:lang w:val="en-US"/>
        </w:rPr>
        <w:t>speciali</w:t>
      </w:r>
      <w:r>
        <w:rPr>
          <w:lang w:val="en-US"/>
        </w:rPr>
        <w:t>s</w:t>
      </w:r>
      <w:r w:rsidRPr="00056BC2">
        <w:rPr>
          <w:lang w:val="en-US"/>
        </w:rPr>
        <w:t>ed</w:t>
      </w:r>
      <w:proofErr w:type="spellEnd"/>
      <w:r w:rsidRPr="00056BC2">
        <w:rPr>
          <w:lang w:val="en-US"/>
        </w:rPr>
        <w:t xml:space="preserve"> areas of need such as local drug and alcohol service</w:t>
      </w:r>
      <w:r>
        <w:rPr>
          <w:lang w:val="en-US"/>
        </w:rPr>
        <w:t>s. T</w:t>
      </w:r>
      <w:r w:rsidRPr="00056BC2">
        <w:rPr>
          <w:lang w:val="en-US"/>
        </w:rPr>
        <w:t xml:space="preserve">his continues to be an area of concern although there has been </w:t>
      </w:r>
      <w:r>
        <w:rPr>
          <w:lang w:val="en-US"/>
        </w:rPr>
        <w:t>funding provided through the Justice Group for community members affected by domestic violence. Again, this is a short-term approach for those people who need more intensive rehabilitation and are reluctant to move away from community to receive assistance. We continue to receive reports concerning the lack of housing and resultant overcrowding and have seen the problems that arise from this such as domestic violence, alcohol abuse and children arriving at school tired and unable to concentrate from lack of sleep. We encourage the government to do more in this area.</w:t>
      </w:r>
    </w:p>
    <w:p w14:paraId="3E8FD6E8" w14:textId="4D9B760D" w:rsidR="00E953F9" w:rsidRDefault="00E953F9" w:rsidP="00E953F9">
      <w:pPr>
        <w:jc w:val="both"/>
        <w:rPr>
          <w:iCs/>
        </w:rPr>
      </w:pPr>
      <w:r>
        <w:t>We are very honoured to share some wonderful news of one of our own Local Commissioners, Maureen Liddy. On Sa</w:t>
      </w:r>
      <w:r w:rsidRPr="001E0A33">
        <w:rPr>
          <w:iCs/>
        </w:rPr>
        <w:t xml:space="preserve">turday, 26 January, Cook Shire Council awarded Maureen Liddy Citizen of the </w:t>
      </w:r>
      <w:r>
        <w:rPr>
          <w:iCs/>
        </w:rPr>
        <w:t>Y</w:t>
      </w:r>
      <w:r w:rsidRPr="001E0A33">
        <w:rPr>
          <w:iCs/>
        </w:rPr>
        <w:t>ear</w:t>
      </w:r>
      <w:r>
        <w:rPr>
          <w:iCs/>
        </w:rPr>
        <w:t xml:space="preserve"> during</w:t>
      </w:r>
      <w:r w:rsidRPr="001E0A33">
        <w:rPr>
          <w:iCs/>
        </w:rPr>
        <w:t xml:space="preserve"> the annual Australia Day celebrations </w:t>
      </w:r>
      <w:r>
        <w:rPr>
          <w:iCs/>
        </w:rPr>
        <w:t>held</w:t>
      </w:r>
      <w:r w:rsidRPr="001E0A33">
        <w:rPr>
          <w:iCs/>
        </w:rPr>
        <w:t xml:space="preserve"> at the Cooktown Botanical Gardens. Her nomination described her as a </w:t>
      </w:r>
      <w:r w:rsidRPr="00954EBF">
        <w:rPr>
          <w:i/>
          <w:iCs/>
        </w:rPr>
        <w:t>“tireless worker, change facilitator and advocate for Aboriginal and Torres Strait Islander people in Coen and across Cape York”</w:t>
      </w:r>
      <w:r w:rsidRPr="001E0A33">
        <w:rPr>
          <w:iCs/>
        </w:rPr>
        <w:t>. In October 2018 she was also awarded the people’s choice Spirit of the Walk award for her determination to walk the entire 42 kilometres of the event.</w:t>
      </w:r>
    </w:p>
    <w:p w14:paraId="2F345F45" w14:textId="77777777" w:rsidR="00E953F9" w:rsidRPr="00C54B2E" w:rsidRDefault="00E953F9" w:rsidP="00E953F9">
      <w:pPr>
        <w:jc w:val="both"/>
        <w:rPr>
          <w:iCs/>
        </w:rPr>
      </w:pPr>
      <w:r>
        <w:rPr>
          <w:iCs/>
        </w:rPr>
        <w:t>This year has not only been one of change, but also one of goodbyes. W</w:t>
      </w:r>
      <w:proofErr w:type="spellStart"/>
      <w:r>
        <w:rPr>
          <w:lang w:val="en-US"/>
        </w:rPr>
        <w:t>e</w:t>
      </w:r>
      <w:proofErr w:type="spellEnd"/>
      <w:r>
        <w:rPr>
          <w:lang w:val="en-US"/>
        </w:rPr>
        <w:t xml:space="preserve"> would like to thank Local Commissioner Peter </w:t>
      </w:r>
      <w:proofErr w:type="spellStart"/>
      <w:r>
        <w:rPr>
          <w:lang w:val="en-US"/>
        </w:rPr>
        <w:t>Peter</w:t>
      </w:r>
      <w:proofErr w:type="spellEnd"/>
      <w:r>
        <w:rPr>
          <w:lang w:val="en-US"/>
        </w:rPr>
        <w:t xml:space="preserve"> for his dedication and commitment to his role from the beginning of the FRC in 2008. In December 2018 Local Commissioner Peter decided to hang up his hat and retire, enjoying the remainder of his days fishing and improving his health. We have missed his thoughtful and passionate contribution and wish him all the best during his retirement.</w:t>
      </w:r>
    </w:p>
    <w:p w14:paraId="07379D81" w14:textId="77777777" w:rsidR="00E953F9" w:rsidRDefault="00E953F9" w:rsidP="00E953F9">
      <w:pPr>
        <w:rPr>
          <w:lang w:val="en-US"/>
        </w:rPr>
      </w:pPr>
      <w:r>
        <w:rPr>
          <w:lang w:val="en-US"/>
        </w:rPr>
        <w:t>As Local Commissioners we envision a sustainable future for all Indigenous people; to be free of poverty and racism; to be given the same opportunities of all people living in this country. We can see there have been some major improvements in this regard, but more needs to be done in relation to economic advancement and building new homes to tackle overcrowding. We will continue to advocate for our people into the future, to make their lives, and the lives of their families happy and meaningful.</w:t>
      </w:r>
    </w:p>
    <w:p w14:paraId="7BA2239E" w14:textId="77777777" w:rsidR="00E953F9" w:rsidRDefault="00E953F9" w:rsidP="00E953F9">
      <w:pPr>
        <w:rPr>
          <w:lang w:val="en-US"/>
        </w:rPr>
      </w:pPr>
    </w:p>
    <w:p w14:paraId="1B13A72F" w14:textId="77777777" w:rsidR="00244953" w:rsidRDefault="00E953F9" w:rsidP="00E953F9">
      <w:pPr>
        <w:rPr>
          <w:b/>
          <w:lang w:val="en-US"/>
        </w:rPr>
        <w:sectPr w:rsidR="00244953" w:rsidSect="00066DE4">
          <w:footnotePr>
            <w:numRestart w:val="eachSect"/>
          </w:footnotePr>
          <w:pgSz w:w="11906" w:h="16838"/>
          <w:pgMar w:top="2948" w:right="1134" w:bottom="567" w:left="1134" w:header="0" w:footer="567" w:gutter="0"/>
          <w:cols w:space="708"/>
          <w:docGrid w:linePitch="360"/>
        </w:sectPr>
      </w:pPr>
      <w:r>
        <w:rPr>
          <w:b/>
          <w:lang w:val="en-US"/>
        </w:rPr>
        <w:t xml:space="preserve">Coen Commissioners May Kepple, Garry Port, </w:t>
      </w:r>
      <w:r w:rsidRPr="003D012E">
        <w:rPr>
          <w:b/>
          <w:lang w:val="en-US"/>
        </w:rPr>
        <w:t>Elaine Liddy</w:t>
      </w:r>
      <w:r>
        <w:rPr>
          <w:b/>
          <w:lang w:val="en-US"/>
        </w:rPr>
        <w:t>, Alison Liddy and Maureen Liddy.</w:t>
      </w:r>
    </w:p>
    <w:p w14:paraId="4CE752A7" w14:textId="77777777" w:rsidR="0053085C" w:rsidRPr="008E7494" w:rsidRDefault="0053085C" w:rsidP="00F817B6">
      <w:pPr>
        <w:pStyle w:val="Heading2"/>
      </w:pPr>
      <w:r w:rsidRPr="008E7494">
        <w:lastRenderedPageBreak/>
        <w:t>Hope Vale Commissioners’ report</w:t>
      </w:r>
    </w:p>
    <w:p w14:paraId="615ABB84" w14:textId="77777777" w:rsidR="0053085C" w:rsidRDefault="0053085C" w:rsidP="0053085C">
      <w:r>
        <w:t xml:space="preserve">We have been working hard over the last 12 months to try and increase our school attendance here in Hope Vale. Our then </w:t>
      </w:r>
      <w:r w:rsidRPr="000D619E">
        <w:t xml:space="preserve">FRC </w:t>
      </w:r>
      <w:r>
        <w:t>Local C</w:t>
      </w:r>
      <w:r w:rsidRPr="000D619E">
        <w:t>oordinator</w:t>
      </w:r>
      <w:r>
        <w:t>, Matt Thompson,</w:t>
      </w:r>
      <w:r w:rsidRPr="000D619E">
        <w:t xml:space="preserve"> </w:t>
      </w:r>
      <w:r>
        <w:t>also joined with us in these endeavours, assisting with initiatives including Walk to School on Friday mornings and school barbeques. We would like to thank Matt for his contribution. Matt’s partner obtained the principal’s position in Coen, and they both moved there at the end of 2018. Since then we have had Brenden Joinbee assist us as Local Coordinator. Brenden has fitted in very well with us and we have gone from strength to strength. The published school attendance statistics for Term 1 2019 have shown an attendance rate of 84.1 percent, the highest attendance for the CYAAA Hope Vale campus since Term 1 2015. We have been working with the school which provides us with a list of the lowest attenders, and we schedule the parent/carers of these children for conference if they fall within our jurisdiction.</w:t>
      </w:r>
    </w:p>
    <w:p w14:paraId="70D8918A" w14:textId="2B2832C7" w:rsidR="0053085C" w:rsidRDefault="0053085C" w:rsidP="0053085C">
      <w:r>
        <w:t>The school had a new principal, Mr Glen</w:t>
      </w:r>
      <w:r w:rsidR="00B73381">
        <w:t>n</w:t>
      </w:r>
      <w:r>
        <w:t xml:space="preserve"> White, commence this year. He has initiated a community school improvement partnership with service providers to develop strategies for assisting to improve attendance. Principal White has reported that </w:t>
      </w:r>
      <w:r w:rsidRPr="005602A5">
        <w:t>95</w:t>
      </w:r>
      <w:r>
        <w:t xml:space="preserve"> percent</w:t>
      </w:r>
      <w:r w:rsidRPr="005602A5">
        <w:t xml:space="preserve"> attendance </w:t>
      </w:r>
      <w:r>
        <w:t xml:space="preserve">was achieved </w:t>
      </w:r>
      <w:r w:rsidRPr="005602A5">
        <w:t xml:space="preserve">on </w:t>
      </w:r>
      <w:r>
        <w:t>one</w:t>
      </w:r>
      <w:r w:rsidRPr="005602A5">
        <w:t xml:space="preserve"> Friday</w:t>
      </w:r>
      <w:r>
        <w:t>. It is believed that this is the highest percentage in the school’s history. To maintain this increase in attendance t</w:t>
      </w:r>
      <w:r w:rsidRPr="005602A5">
        <w:t xml:space="preserve">he school is </w:t>
      </w:r>
      <w:r>
        <w:t>considering</w:t>
      </w:r>
      <w:r w:rsidRPr="005602A5">
        <w:t xml:space="preserve"> trialling a shorter school day on Fridays</w:t>
      </w:r>
      <w:r>
        <w:t xml:space="preserve"> which it is hoped will also improve the student/teacher ratio. </w:t>
      </w:r>
    </w:p>
    <w:p w14:paraId="3F544C20" w14:textId="77777777" w:rsidR="0053085C" w:rsidRDefault="0053085C" w:rsidP="0053085C">
      <w:r>
        <w:t xml:space="preserve">The community is to be commended for the school attendance result as there has been a lot of bad weather this year with an extremely heavy wet season. </w:t>
      </w:r>
      <w:r w:rsidRPr="005602A5">
        <w:t xml:space="preserve">Both Cooktown </w:t>
      </w:r>
      <w:r>
        <w:t>and</w:t>
      </w:r>
      <w:r w:rsidRPr="005602A5">
        <w:t xml:space="preserve"> Hope</w:t>
      </w:r>
      <w:r>
        <w:t xml:space="preserve"> V</w:t>
      </w:r>
      <w:r w:rsidRPr="005602A5">
        <w:t xml:space="preserve">ale were </w:t>
      </w:r>
      <w:r>
        <w:t xml:space="preserve">isolated </w:t>
      </w:r>
      <w:r w:rsidRPr="005602A5">
        <w:t xml:space="preserve">due to </w:t>
      </w:r>
      <w:r>
        <w:t xml:space="preserve">this </w:t>
      </w:r>
      <w:r w:rsidRPr="005602A5">
        <w:t xml:space="preserve">severe weather, with the bridge over Isabella </w:t>
      </w:r>
      <w:r>
        <w:t>Creek</w:t>
      </w:r>
      <w:r w:rsidRPr="005602A5">
        <w:t xml:space="preserve"> damaged</w:t>
      </w:r>
      <w:r>
        <w:t xml:space="preserve">. One of our conference sittings was cancelled due to the flooding. </w:t>
      </w:r>
      <w:proofErr w:type="gramStart"/>
      <w:r>
        <w:t>A</w:t>
      </w:r>
      <w:r w:rsidRPr="005602A5">
        <w:t xml:space="preserve">s a result </w:t>
      </w:r>
      <w:r>
        <w:t>of</w:t>
      </w:r>
      <w:proofErr w:type="gramEnd"/>
      <w:r>
        <w:t xml:space="preserve"> the severe weather, disaster payments w</w:t>
      </w:r>
      <w:r w:rsidRPr="005602A5">
        <w:t xml:space="preserve">ere received by </w:t>
      </w:r>
      <w:r>
        <w:t>c</w:t>
      </w:r>
      <w:r w:rsidRPr="005602A5">
        <w:t>ommunity members, ma</w:t>
      </w:r>
      <w:r>
        <w:t xml:space="preserve">ny of whom then unfortunately travelled </w:t>
      </w:r>
      <w:r w:rsidRPr="005602A5">
        <w:t>into Cooktown to drink and gamble</w:t>
      </w:r>
      <w:r>
        <w:t>.</w:t>
      </w:r>
    </w:p>
    <w:p w14:paraId="1FF93E2B" w14:textId="77777777" w:rsidR="0053085C" w:rsidRDefault="0053085C" w:rsidP="0053085C">
      <w:r>
        <w:t>We</w:t>
      </w:r>
      <w:r w:rsidRPr="005602A5">
        <w:t xml:space="preserve"> believe there are </w:t>
      </w:r>
      <w:r>
        <w:t xml:space="preserve">presently </w:t>
      </w:r>
      <w:r w:rsidRPr="005602A5">
        <w:t xml:space="preserve">more </w:t>
      </w:r>
      <w:r>
        <w:t>children</w:t>
      </w:r>
      <w:r w:rsidRPr="005602A5">
        <w:t xml:space="preserve"> attending boarding school outside the community</w:t>
      </w:r>
      <w:r>
        <w:t xml:space="preserve"> than there has been in the past. We have noticed that more of our Hope Vale students also appear to be staying at boarding school.</w:t>
      </w:r>
    </w:p>
    <w:p w14:paraId="37D2C998" w14:textId="77777777" w:rsidR="0053085C" w:rsidRDefault="0053085C" w:rsidP="0053085C">
      <w:r>
        <w:t xml:space="preserve">Concerns were raised by the community regarding </w:t>
      </w:r>
      <w:r w:rsidRPr="005602A5">
        <w:t>a gambling game</w:t>
      </w:r>
      <w:r>
        <w:t xml:space="preserve"> called ‘Ping’</w:t>
      </w:r>
      <w:r w:rsidRPr="005602A5">
        <w:t xml:space="preserve"> being played by the </w:t>
      </w:r>
      <w:r>
        <w:t>Hope Vale s</w:t>
      </w:r>
      <w:r w:rsidRPr="005602A5">
        <w:t>tudents</w:t>
      </w:r>
      <w:r>
        <w:t>.</w:t>
      </w:r>
      <w:r w:rsidRPr="005602A5">
        <w:t xml:space="preserve"> </w:t>
      </w:r>
      <w:r>
        <w:t>T</w:t>
      </w:r>
      <w:r w:rsidRPr="005602A5">
        <w:t>he school and community</w:t>
      </w:r>
      <w:r>
        <w:t xml:space="preserve"> together</w:t>
      </w:r>
      <w:r w:rsidRPr="005602A5">
        <w:t xml:space="preserve"> </w:t>
      </w:r>
      <w:r>
        <w:t xml:space="preserve">have addressed the problem and </w:t>
      </w:r>
      <w:proofErr w:type="gramStart"/>
      <w:r>
        <w:t>it would appear that it</w:t>
      </w:r>
      <w:proofErr w:type="gramEnd"/>
      <w:r>
        <w:t xml:space="preserve"> has now been resolved. We are happy to see the whole community responding to local issues and collaborating to resolve them. We see this as evidence of the community’s Indigenous leadership and responsibility coming to the fore.</w:t>
      </w:r>
    </w:p>
    <w:p w14:paraId="2C8C9B1F" w14:textId="712AA7CC" w:rsidR="0053085C" w:rsidRDefault="0053085C" w:rsidP="0053085C">
      <w:r w:rsidRPr="002D4B9F">
        <w:t xml:space="preserve">The CYP </w:t>
      </w:r>
      <w:r w:rsidR="002E0E25">
        <w:t>Strong Families P</w:t>
      </w:r>
      <w:r w:rsidRPr="002D4B9F">
        <w:t xml:space="preserve">arenting </w:t>
      </w:r>
      <w:r w:rsidR="002E0E25">
        <w:t>P</w:t>
      </w:r>
      <w:r w:rsidRPr="002D4B9F">
        <w:t xml:space="preserve">rogram has transitioned to Gungarde Community Centre Aboriginal Corporation. This service </w:t>
      </w:r>
      <w:proofErr w:type="gramStart"/>
      <w:r>
        <w:t xml:space="preserve">is </w:t>
      </w:r>
      <w:r w:rsidRPr="002D4B9F">
        <w:t>located in</w:t>
      </w:r>
      <w:proofErr w:type="gramEnd"/>
      <w:r w:rsidRPr="002D4B9F">
        <w:t xml:space="preserve"> Cooktown</w:t>
      </w:r>
      <w:r>
        <w:t xml:space="preserve">. Parenting support is to be provided by </w:t>
      </w:r>
      <w:proofErr w:type="spellStart"/>
      <w:r>
        <w:t>Gungarde’s</w:t>
      </w:r>
      <w:proofErr w:type="spellEnd"/>
      <w:r>
        <w:t xml:space="preserve"> Family Wellbeing Service which provides support to families, focussing on early intervention and keeping children at home safely with their parents. Although Gungarde are not resident in Hope Vale they plan to be in the community at least one day per week to visit clients in their homes if required. We</w:t>
      </w:r>
      <w:r w:rsidRPr="002D4B9F">
        <w:t xml:space="preserve"> </w:t>
      </w:r>
      <w:r>
        <w:t xml:space="preserve">are hopeful that the community will embrace this change to enable effective service provision for parenting assistance to </w:t>
      </w:r>
      <w:proofErr w:type="gramStart"/>
      <w:r>
        <w:t>continue into the future</w:t>
      </w:r>
      <w:proofErr w:type="gramEnd"/>
      <w:r>
        <w:t>. We have concerns, however, about the removal of the parenting program from Hope Vale itself and several community members have already expressed their reluctance to travel to Cooktown to receive assistance.</w:t>
      </w:r>
    </w:p>
    <w:p w14:paraId="2927B201" w14:textId="77777777" w:rsidR="001803B7" w:rsidRDefault="001803B7">
      <w:pPr>
        <w:spacing w:after="160" w:line="259" w:lineRule="auto"/>
      </w:pPr>
      <w:r>
        <w:br w:type="page"/>
      </w:r>
    </w:p>
    <w:p w14:paraId="72E49D9D" w14:textId="77777777" w:rsidR="0053085C" w:rsidRDefault="0053085C" w:rsidP="0053085C">
      <w:r>
        <w:lastRenderedPageBreak/>
        <w:t>During World War II (</w:t>
      </w:r>
      <w:r w:rsidRPr="008F380F">
        <w:t>1942</w:t>
      </w:r>
      <w:r>
        <w:t xml:space="preserve">) </w:t>
      </w:r>
      <w:r w:rsidRPr="008F380F">
        <w:t>the Hope Valley and Cape Bedford people were evacuated south</w:t>
      </w:r>
      <w:r w:rsidRPr="00015C73">
        <w:rPr>
          <w:rFonts w:ascii="Verdana" w:hAnsi="Verdana"/>
          <w:color w:val="515D52"/>
          <w:sz w:val="18"/>
          <w:szCs w:val="18"/>
          <w:lang w:val="en"/>
        </w:rPr>
        <w:t xml:space="preserve"> </w:t>
      </w:r>
      <w:r w:rsidRPr="00015C73">
        <w:rPr>
          <w:lang w:val="en"/>
        </w:rPr>
        <w:t xml:space="preserve">because of </w:t>
      </w:r>
      <w:r>
        <w:rPr>
          <w:lang w:val="en"/>
        </w:rPr>
        <w:t>their</w:t>
      </w:r>
      <w:r w:rsidRPr="00015C73">
        <w:rPr>
          <w:lang w:val="en"/>
        </w:rPr>
        <w:t xml:space="preserve"> German missionary and </w:t>
      </w:r>
      <w:proofErr w:type="spellStart"/>
      <w:r w:rsidRPr="00015C73">
        <w:rPr>
          <w:lang w:val="en"/>
        </w:rPr>
        <w:t>lugger</w:t>
      </w:r>
      <w:proofErr w:type="spellEnd"/>
      <w:r w:rsidRPr="00015C73">
        <w:rPr>
          <w:lang w:val="en"/>
        </w:rPr>
        <w:t xml:space="preserve"> connections with </w:t>
      </w:r>
      <w:r>
        <w:rPr>
          <w:lang w:val="en"/>
        </w:rPr>
        <w:t xml:space="preserve">the </w:t>
      </w:r>
      <w:r w:rsidRPr="00015C73">
        <w:rPr>
          <w:lang w:val="en"/>
        </w:rPr>
        <w:t>Japanese</w:t>
      </w:r>
      <w:r w:rsidRPr="008F380F">
        <w:t xml:space="preserve">, with many being sent to Woorabinda near Rockhampton. </w:t>
      </w:r>
      <w:r w:rsidRPr="005F4CB7">
        <w:rPr>
          <w:bCs/>
        </w:rPr>
        <w:t xml:space="preserve">Pioneers Ernest </w:t>
      </w:r>
      <w:proofErr w:type="spellStart"/>
      <w:r w:rsidRPr="005F4CB7">
        <w:rPr>
          <w:bCs/>
        </w:rPr>
        <w:t>McGreen</w:t>
      </w:r>
      <w:proofErr w:type="spellEnd"/>
      <w:r w:rsidRPr="005F4CB7">
        <w:rPr>
          <w:bCs/>
        </w:rPr>
        <w:t xml:space="preserve">, Jack McIvor, Fred Grogan, William Wallace, Jim Hart, Colin Jack and Jack Jerry were the first people to return and assist with the re-establishment of Hope Vale as a Lutheran mission in September 1949. </w:t>
      </w:r>
      <w:r>
        <w:rPr>
          <w:bCs/>
        </w:rPr>
        <w:t>Four further</w:t>
      </w:r>
      <w:r w:rsidRPr="005F4CB7">
        <w:rPr>
          <w:bCs/>
        </w:rPr>
        <w:t xml:space="preserve"> groups of males return</w:t>
      </w:r>
      <w:r>
        <w:rPr>
          <w:bCs/>
        </w:rPr>
        <w:t>ed</w:t>
      </w:r>
      <w:r w:rsidRPr="005F4CB7">
        <w:rPr>
          <w:bCs/>
        </w:rPr>
        <w:t xml:space="preserve"> throughout that year, with the remaining families arriving home in 1950</w:t>
      </w:r>
      <w:r>
        <w:rPr>
          <w:bCs/>
        </w:rPr>
        <w:t xml:space="preserve">. </w:t>
      </w:r>
      <w:r>
        <w:t>This year t</w:t>
      </w:r>
      <w:r w:rsidRPr="008F380F">
        <w:t xml:space="preserve">he community </w:t>
      </w:r>
      <w:r>
        <w:t xml:space="preserve">had a </w:t>
      </w:r>
      <w:r w:rsidRPr="008F380F">
        <w:t>celebrati</w:t>
      </w:r>
      <w:r>
        <w:t>o</w:t>
      </w:r>
      <w:r w:rsidRPr="008F380F">
        <w:t>n</w:t>
      </w:r>
      <w:r>
        <w:t xml:space="preserve"> to mark</w:t>
      </w:r>
      <w:r w:rsidRPr="008F380F">
        <w:t xml:space="preserve"> the 70th anniversary of the return of </w:t>
      </w:r>
      <w:r>
        <w:t xml:space="preserve">the first </w:t>
      </w:r>
      <w:r w:rsidRPr="008F380F">
        <w:t>community members from Woorabinda</w:t>
      </w:r>
      <w:r>
        <w:t>.</w:t>
      </w:r>
    </w:p>
    <w:p w14:paraId="477F744A" w14:textId="77777777" w:rsidR="0053085C" w:rsidRPr="008F380F" w:rsidRDefault="0053085C" w:rsidP="0053085C">
      <w:r>
        <w:t>Overall this has been a difficult year for us with the uncertainty we have faced. We are now told that hopefully we as Local Commissioners can be extended to June 2020. Although that news is some comfort, we feel it does not give us the full support we deserve. We see a shift in perception in the community with clients more willing to engage with us. They even approach us outside of the conferencing environment and voluntarily come in when we are sitting in conference to seek assistance. Clients are starting to request voluntary income management. For us, we know that that is a step forward in taking responsibility. We feel that the Commission should have a permanent presence in Hope Vale after the advances we have achieved with and for the community. We seek the State Government’s support going forward with our vision for Hope Vale. Meanwhile, we will continue our work and will dearly miss Commissioner David Glasgow when he departs. He has been a great mentor and friend to us since 2008. We wish him the best in his future retirement and we’ll think of him often.</w:t>
      </w:r>
    </w:p>
    <w:p w14:paraId="7F9D1638" w14:textId="77777777" w:rsidR="0053085C" w:rsidRDefault="0053085C" w:rsidP="0053085C"/>
    <w:p w14:paraId="486A4C4B" w14:textId="29C9DCE5" w:rsidR="0053085C" w:rsidRDefault="0053085C" w:rsidP="0053085C">
      <w:pPr>
        <w:rPr>
          <w:b/>
          <w:lang w:val="en-US"/>
        </w:rPr>
      </w:pPr>
      <w:r w:rsidRPr="008E7494">
        <w:rPr>
          <w:b/>
          <w:lang w:val="en-US"/>
        </w:rPr>
        <w:t xml:space="preserve">Hope Vale Commissioners Victor Gibson, Doreen Hart, Erica </w:t>
      </w:r>
      <w:proofErr w:type="spellStart"/>
      <w:r w:rsidRPr="008E7494">
        <w:rPr>
          <w:b/>
          <w:lang w:val="en-US"/>
        </w:rPr>
        <w:t>Deeral</w:t>
      </w:r>
      <w:proofErr w:type="spellEnd"/>
      <w:r w:rsidRPr="008E7494">
        <w:rPr>
          <w:b/>
          <w:lang w:val="en-US"/>
        </w:rPr>
        <w:t>, Cheryl Cannon and Selina Bowen.</w:t>
      </w:r>
    </w:p>
    <w:p w14:paraId="402C03C6" w14:textId="77777777" w:rsidR="00244953" w:rsidRDefault="00244953" w:rsidP="0053085C">
      <w:pPr>
        <w:rPr>
          <w:b/>
          <w:lang w:val="en-US"/>
        </w:rPr>
      </w:pPr>
    </w:p>
    <w:p w14:paraId="2B95B83E" w14:textId="77777777" w:rsidR="00244953" w:rsidRDefault="00244953" w:rsidP="0053085C">
      <w:pPr>
        <w:rPr>
          <w:b/>
          <w:lang w:val="en-US"/>
        </w:rPr>
        <w:sectPr w:rsidR="00244953" w:rsidSect="00244953">
          <w:footnotePr>
            <w:numRestart w:val="eachSect"/>
          </w:footnotePr>
          <w:pgSz w:w="11906" w:h="16838"/>
          <w:pgMar w:top="2948" w:right="1701" w:bottom="567" w:left="1701" w:header="0" w:footer="567" w:gutter="0"/>
          <w:cols w:space="708"/>
          <w:docGrid w:linePitch="360"/>
        </w:sectPr>
      </w:pPr>
    </w:p>
    <w:p w14:paraId="0EE62F03" w14:textId="77777777" w:rsidR="0053085C" w:rsidRPr="00473127" w:rsidRDefault="0053085C" w:rsidP="00F817B6">
      <w:pPr>
        <w:pStyle w:val="Heading2"/>
      </w:pPr>
      <w:r>
        <w:lastRenderedPageBreak/>
        <w:t>Mossman Gorge Local Commissioners’ report</w:t>
      </w:r>
    </w:p>
    <w:p w14:paraId="2FA64FE5" w14:textId="5960A320" w:rsidR="0053085C" w:rsidRDefault="0053085C" w:rsidP="0053085C">
      <w:r>
        <w:t>We have now dedicated 11 years of our working lives as Local Commissioners with the Family Responsibilities Commission, and</w:t>
      </w:r>
      <w:r w:rsidRPr="00CF3E64">
        <w:t xml:space="preserve"> </w:t>
      </w:r>
      <w:r>
        <w:t xml:space="preserve">we can assure you our commitment and leadership skills are strong and continue to grow with each year. These past 12 months have been hazy. Last year we spoke of the dark cloud hanging over our heads and the unknown future for our roles. Further yarns with officers from DATSIP on the new proposed </w:t>
      </w:r>
      <w:r w:rsidR="0031180F">
        <w:t xml:space="preserve">Local </w:t>
      </w:r>
      <w:r>
        <w:t xml:space="preserve">Thriving Communities model have continued during the past year with very little information provided to the grassroots people to explain what it will deliver for our communities. This unknown has caused difficulties for us. The indecisiveness of government has made our roles tougher than usual. During the conference process, when yarning about future goals with clients, we have been hesitant to make referrals, unsure what will happen to the Commission and how that will affect referrals in the future. If referrals are abandoned mid-way it could cause more harm to the already vulnerable </w:t>
      </w:r>
      <w:proofErr w:type="gramStart"/>
      <w:r>
        <w:t>clients</w:t>
      </w:r>
      <w:proofErr w:type="gramEnd"/>
      <w:r>
        <w:t xml:space="preserve"> we see at conference. Government holds the power to change communities. Changes have been made time and again over many decades. We realise change is inevitable and hope that during such a change when considering decisions for our community, our mob will have a vital part to play in the decision-making. Those who live day to day lives in this community are the right decision-makers.</w:t>
      </w:r>
    </w:p>
    <w:p w14:paraId="1A53DAD0" w14:textId="77777777" w:rsidR="0053085C" w:rsidRDefault="0053085C" w:rsidP="0053085C">
      <w:r>
        <w:t>This year has had its challenges. We have seen some of the old dysfunctional social norms coming back. Parties and drinking in the streets, loud music and a lack of respect for community residents has increased over the past 6 to 12 months. Relationships between state housing, local police and the community could be strengthened to address these issues, and although in the past the relationship has been strong, it has weakened over the past 12 months. The new generation are bringing back old habits into our community and we need services, as well as families, to step up and hold people accountable for their anti-social behaviours.</w:t>
      </w:r>
    </w:p>
    <w:p w14:paraId="1DFE1024" w14:textId="77777777" w:rsidR="0053085C" w:rsidRDefault="0053085C" w:rsidP="0053085C">
      <w:proofErr w:type="spellStart"/>
      <w:r>
        <w:t>Apunipima</w:t>
      </w:r>
      <w:proofErr w:type="spellEnd"/>
      <w:r>
        <w:t xml:space="preserve"> Wellbeing Centre has been through consistent staff turnover in 2018, however, 2019 has seen some stability return with the introduction of new strategies to engage with clients. We have spent the past 12 months trialling a reduction in the frequency of scheduled conferencing from once a fortnight to once a month and have found this has created a negative impact on clients. We have noticed that the increased gap between conferences has led to general confusion and aggression amongst clients when bringing up old matters. Conferencing more frequently on current matters has more influence on engagement and a better chance of achieving positive behavioural change.</w:t>
      </w:r>
    </w:p>
    <w:p w14:paraId="36BDFFDC" w14:textId="77777777" w:rsidR="0053085C" w:rsidRPr="008B731D" w:rsidRDefault="0053085C" w:rsidP="0053085C">
      <w:r>
        <w:t>Our collaboration with the school principal and staff, and the parents/carers of students has remained strong. Mossman State High School has welcomed a new Principal this year, Michelle Lyons, and although we have only met once, a successful yarn has initiated engagement to services in Mossman Gorge and begun a healthy relationship between community and the high school. We look forward to contributing further where we can.</w:t>
      </w:r>
    </w:p>
    <w:p w14:paraId="320D590A" w14:textId="77777777" w:rsidR="0053085C" w:rsidRDefault="0053085C" w:rsidP="0053085C">
      <w:pPr>
        <w:rPr>
          <w:iCs/>
          <w:lang w:val="en"/>
        </w:rPr>
      </w:pPr>
      <w:r>
        <w:t>Primary school attendance has continued to be steady for the students reported in the Mossman Gorge community figures with an overall attendance percentage in Term 1 2019 of 79.9 percent. The school attendance for the first term of 2019 was affected by the a</w:t>
      </w:r>
      <w:r w:rsidRPr="009B38BF">
        <w:t xml:space="preserve">ctive monsoon trough </w:t>
      </w:r>
      <w:r>
        <w:t>which came through in</w:t>
      </w:r>
      <w:r w:rsidRPr="009B38BF">
        <w:t xml:space="preserve"> late January caus</w:t>
      </w:r>
      <w:r>
        <w:t>ing</w:t>
      </w:r>
      <w:r w:rsidRPr="009B38BF">
        <w:t xml:space="preserve"> flooding </w:t>
      </w:r>
      <w:r>
        <w:t>and</w:t>
      </w:r>
      <w:r w:rsidRPr="009B38BF">
        <w:t xml:space="preserve"> prevent</w:t>
      </w:r>
      <w:r>
        <w:t xml:space="preserve">ing families </w:t>
      </w:r>
      <w:r w:rsidRPr="009B38BF">
        <w:t>returning</w:t>
      </w:r>
      <w:r>
        <w:t xml:space="preserve"> home from their holidays. </w:t>
      </w:r>
      <w:r w:rsidRPr="00F132B9">
        <w:rPr>
          <w:iCs/>
          <w:lang w:val="en"/>
        </w:rPr>
        <w:t xml:space="preserve">Absenteeism was further affected </w:t>
      </w:r>
      <w:r>
        <w:rPr>
          <w:iCs/>
          <w:lang w:val="en"/>
        </w:rPr>
        <w:t xml:space="preserve">later in the term </w:t>
      </w:r>
      <w:r w:rsidRPr="00F132B9">
        <w:rPr>
          <w:iCs/>
          <w:lang w:val="en"/>
        </w:rPr>
        <w:t xml:space="preserve">by Cyclone Trevor which brought heavy rainfall and flooding to the local area. Some parents kept their children home during the torrential downpour, reporting that the rain left their children too wet and muddy before they </w:t>
      </w:r>
      <w:r>
        <w:rPr>
          <w:iCs/>
          <w:lang w:val="en"/>
        </w:rPr>
        <w:t xml:space="preserve">had </w:t>
      </w:r>
      <w:r w:rsidRPr="00F132B9">
        <w:rPr>
          <w:iCs/>
          <w:lang w:val="en"/>
        </w:rPr>
        <w:t>even reached the bus stop.</w:t>
      </w:r>
    </w:p>
    <w:p w14:paraId="451D9E5D" w14:textId="77777777" w:rsidR="00017901" w:rsidRDefault="00017901">
      <w:pPr>
        <w:spacing w:after="160" w:line="259" w:lineRule="auto"/>
      </w:pPr>
      <w:r>
        <w:br w:type="page"/>
      </w:r>
    </w:p>
    <w:p w14:paraId="1C512570" w14:textId="77777777" w:rsidR="0053085C" w:rsidRDefault="0053085C" w:rsidP="0053085C">
      <w:r>
        <w:lastRenderedPageBreak/>
        <w:t>Last year our Commission office was moved to an alternative location to allow for the demolition of our old demountable office, and the construction of a new cul-de-sac. The new building has proven to have its own issues; a damaged roof made the building uninhabitable during the wet season. This meant we again were required to move our conference venue to another temporary location while the building was treated for mould. As at the time of writing our report, the roof is yet to be repaired. The wet weather and heavy rain continued after severe Tropical Cyclone Trevor and our scheduled March conference had to be cancelled and the clients rescheduled to a later date.</w:t>
      </w:r>
    </w:p>
    <w:p w14:paraId="7015F062" w14:textId="77777777" w:rsidR="0053085C" w:rsidRDefault="0053085C" w:rsidP="0053085C">
      <w:r>
        <w:t xml:space="preserve">Mossman Gorge residents have endured ongoing major civil works again this year and have reported they are running out of </w:t>
      </w:r>
      <w:proofErr w:type="gramStart"/>
      <w:r>
        <w:t>patience, but</w:t>
      </w:r>
      <w:proofErr w:type="gramEnd"/>
      <w:r>
        <w:t xml:space="preserve"> looking forward to the completion of the project. The civil works </w:t>
      </w:r>
      <w:r w:rsidRPr="008E7494">
        <w:rPr>
          <w:lang w:val="en-US"/>
        </w:rPr>
        <w:t xml:space="preserve">include </w:t>
      </w:r>
      <w:r>
        <w:rPr>
          <w:lang w:val="en-US"/>
        </w:rPr>
        <w:t xml:space="preserve">house renovations, </w:t>
      </w:r>
      <w:r w:rsidRPr="008E7494">
        <w:rPr>
          <w:lang w:val="en-US"/>
        </w:rPr>
        <w:t xml:space="preserve">roads, water, sewerage reticulation, stormwater drainage and service relocations. </w:t>
      </w:r>
      <w:r>
        <w:t xml:space="preserve">During this time some residents were unable to gain access to sections of roadway and others were unable to access their own driveways. Housing renovations incorporated </w:t>
      </w:r>
      <w:r w:rsidRPr="00F64EBE">
        <w:t>three</w:t>
      </w:r>
      <w:r>
        <w:t xml:space="preserve"> houses at a time being renovated, with residents having to relocate. This created some difficulty in locating our clients for the serving of conference notices. </w:t>
      </w:r>
      <w:proofErr w:type="gramStart"/>
      <w:r>
        <w:t>The majority of</w:t>
      </w:r>
      <w:proofErr w:type="gramEnd"/>
      <w:r>
        <w:t xml:space="preserve"> homes have now been completed and final discussions are taking place with the Department of Housing and Public Works in relation to long term leasing arrangements.</w:t>
      </w:r>
    </w:p>
    <w:p w14:paraId="14B3D05F" w14:textId="03629C17" w:rsidR="0053085C" w:rsidRDefault="0053085C" w:rsidP="0053085C">
      <w:proofErr w:type="spellStart"/>
      <w:r>
        <w:t>Bamanga</w:t>
      </w:r>
      <w:proofErr w:type="spellEnd"/>
      <w:r>
        <w:t xml:space="preserve"> Bubu </w:t>
      </w:r>
      <w:proofErr w:type="spellStart"/>
      <w:r>
        <w:t>Ngadimunku</w:t>
      </w:r>
      <w:proofErr w:type="spellEnd"/>
      <w:r>
        <w:t xml:space="preserve"> Aboriginal Corporation (BBNAC) and Mossman Gorge residents have been working toward establishing a more bilingual community that integrates </w:t>
      </w:r>
      <w:proofErr w:type="spellStart"/>
      <w:r>
        <w:t>Yalanji</w:t>
      </w:r>
      <w:proofErr w:type="spellEnd"/>
      <w:r>
        <w:t xml:space="preserve"> language in a variety of new projects such as street signage, a dance and story DVD, family histories and a special hymn book. BBNAC </w:t>
      </w:r>
      <w:r w:rsidRPr="009A3C02">
        <w:t xml:space="preserve">program </w:t>
      </w:r>
      <w:r w:rsidRPr="00D43432">
        <w:t>Bama Brave Strong and Busy</w:t>
      </w:r>
      <w:r>
        <w:t xml:space="preserve"> placed smiles on the faces of children and their families during the Easter school holiday program with many activities to keep the children entertained. Some of the highlights of the program were fishing and swimming at Port Douglas, attending a pop-up playgroup at the Rex Small Park and teaming up with the Mossman Youth Centre for a Family Fun Day at Lake Eacham. </w:t>
      </w:r>
      <w:bookmarkStart w:id="3" w:name="_Hlk9605856"/>
      <w:r>
        <w:t>Forty-five youth, including youth from Mossman Gorge, also attended an Indigenous information session for entry into the Navy, Army or Air Force at the Mossman Youth Centre.</w:t>
      </w:r>
      <w:bookmarkEnd w:id="3"/>
    </w:p>
    <w:p w14:paraId="514D8E39" w14:textId="77777777" w:rsidR="0053085C" w:rsidRDefault="0053085C" w:rsidP="0053085C">
      <w:r>
        <w:t xml:space="preserve">The </w:t>
      </w:r>
      <w:r w:rsidRPr="003079EB">
        <w:t>Mossman Gorge Art</w:t>
      </w:r>
      <w:r>
        <w:t>s</w:t>
      </w:r>
      <w:r w:rsidRPr="003079EB">
        <w:t xml:space="preserve"> Centre </w:t>
      </w:r>
      <w:r>
        <w:t xml:space="preserve">Manager </w:t>
      </w:r>
      <w:r w:rsidRPr="003079EB">
        <w:t xml:space="preserve">is a driving force behind a push </w:t>
      </w:r>
      <w:r>
        <w:t>to</w:t>
      </w:r>
      <w:r w:rsidRPr="003079EB">
        <w:t xml:space="preserve"> attract more artists</w:t>
      </w:r>
      <w:r>
        <w:t xml:space="preserve"> to the </w:t>
      </w:r>
      <w:proofErr w:type="spellStart"/>
      <w:r w:rsidRPr="00C027E0">
        <w:t>Yalanji</w:t>
      </w:r>
      <w:proofErr w:type="spellEnd"/>
      <w:r w:rsidRPr="00C027E0">
        <w:t xml:space="preserve"> Arts</w:t>
      </w:r>
      <w:r>
        <w:t xml:space="preserve"> Centre. </w:t>
      </w:r>
      <w:proofErr w:type="spellStart"/>
      <w:r>
        <w:t>Yalanji</w:t>
      </w:r>
      <w:proofErr w:type="spellEnd"/>
      <w:r>
        <w:t xml:space="preserve"> Arts</w:t>
      </w:r>
      <w:r w:rsidRPr="00C027E0">
        <w:t xml:space="preserve"> is an Indigenous </w:t>
      </w:r>
      <w:r>
        <w:t>a</w:t>
      </w:r>
      <w:r w:rsidRPr="00C027E0">
        <w:t xml:space="preserve">rt </w:t>
      </w:r>
      <w:r>
        <w:t>c</w:t>
      </w:r>
      <w:r w:rsidRPr="00C027E0">
        <w:t>entre</w:t>
      </w:r>
      <w:r>
        <w:t xml:space="preserve"> </w:t>
      </w:r>
      <w:r w:rsidRPr="00C027E0">
        <w:t xml:space="preserve">open to all Mossman Gorge residents, people of </w:t>
      </w:r>
      <w:proofErr w:type="spellStart"/>
      <w:r w:rsidRPr="00C027E0">
        <w:t>Yalanji</w:t>
      </w:r>
      <w:proofErr w:type="spellEnd"/>
      <w:r w:rsidRPr="00C027E0">
        <w:t xml:space="preserve"> descent and Indigenous peoples residing in the Douglas Shire region. </w:t>
      </w:r>
      <w:proofErr w:type="spellStart"/>
      <w:r w:rsidRPr="00C027E0">
        <w:t>Yalanji</w:t>
      </w:r>
      <w:proofErr w:type="spellEnd"/>
      <w:r w:rsidRPr="00C027E0">
        <w:t xml:space="preserve"> Arts envisages an empowered, united, proud and sustainable community and provides employment and professional training and development to Indigenous art workers</w:t>
      </w:r>
      <w:r>
        <w:t>,</w:t>
      </w:r>
      <w:r w:rsidRPr="00C027E0">
        <w:t xml:space="preserve"> </w:t>
      </w:r>
      <w:proofErr w:type="gramStart"/>
      <w:r w:rsidRPr="00C027E0">
        <w:t xml:space="preserve">and </w:t>
      </w:r>
      <w:r>
        <w:t>also</w:t>
      </w:r>
      <w:proofErr w:type="gramEnd"/>
      <w:r>
        <w:t xml:space="preserve"> </w:t>
      </w:r>
      <w:r w:rsidRPr="00C027E0">
        <w:t>support</w:t>
      </w:r>
      <w:r>
        <w:t>s</w:t>
      </w:r>
      <w:r w:rsidRPr="00C027E0">
        <w:t xml:space="preserve"> and advoca</w:t>
      </w:r>
      <w:r>
        <w:t>tes</w:t>
      </w:r>
      <w:r w:rsidRPr="00C027E0">
        <w:t xml:space="preserve"> for local artist</w:t>
      </w:r>
      <w:r>
        <w:t>s</w:t>
      </w:r>
      <w:r w:rsidRPr="00C027E0">
        <w:t>.</w:t>
      </w:r>
      <w:r>
        <w:t xml:space="preserve"> </w:t>
      </w:r>
      <w:r w:rsidRPr="00C027E0">
        <w:t xml:space="preserve">Since it’s re-launch in March 2019, </w:t>
      </w:r>
      <w:r>
        <w:t>11</w:t>
      </w:r>
      <w:r w:rsidRPr="00C027E0">
        <w:t xml:space="preserve"> artists have joined the art</w:t>
      </w:r>
      <w:r>
        <w:t>s</w:t>
      </w:r>
      <w:r w:rsidRPr="00C027E0">
        <w:t xml:space="preserve"> centre, participating in various activities including a professional development painting workshop</w:t>
      </w:r>
      <w:r>
        <w:t>,</w:t>
      </w:r>
      <w:r w:rsidRPr="00C027E0">
        <w:t xml:space="preserve"> a ceramic workshop and a screen printing for merchandise workshop. Artists are also working towards producing works for various regional and national art exhibitions.</w:t>
      </w:r>
      <w:r>
        <w:t xml:space="preserve"> </w:t>
      </w:r>
    </w:p>
    <w:p w14:paraId="27560603" w14:textId="76F521B3" w:rsidR="0053085C" w:rsidRDefault="0053085C" w:rsidP="0053085C">
      <w:r>
        <w:t xml:space="preserve">Our vision for the future of Mossman Gorge is simple. We </w:t>
      </w:r>
      <w:r w:rsidR="00DA6D4D">
        <w:t xml:space="preserve">envision </w:t>
      </w:r>
      <w:r>
        <w:t>a community where respect for each other is valued; capacity building is present to support our mob toward improved social and emotional wellbeing; opportunities for employment exist in a variety of sectors; our children are attending school consistently and education is valued; there is no violence, loud music or parties; and our Bama people are happy.</w:t>
      </w:r>
    </w:p>
    <w:p w14:paraId="2A316ABF" w14:textId="77777777" w:rsidR="0053085C" w:rsidRDefault="0053085C" w:rsidP="0053085C">
      <w:pPr>
        <w:rPr>
          <w:lang w:val="en-US"/>
        </w:rPr>
      </w:pPr>
    </w:p>
    <w:p w14:paraId="44D8EA11" w14:textId="3352C6B6" w:rsidR="0053085C" w:rsidRDefault="0053085C" w:rsidP="0053085C">
      <w:pPr>
        <w:rPr>
          <w:b/>
          <w:lang w:val="en-US"/>
        </w:rPr>
      </w:pPr>
      <w:r w:rsidRPr="008E7494">
        <w:rPr>
          <w:b/>
          <w:lang w:val="en-US"/>
        </w:rPr>
        <w:t xml:space="preserve">Mossman Gorge Commissioners Loretta Spratt, Karen Gibson and Karen </w:t>
      </w:r>
      <w:proofErr w:type="spellStart"/>
      <w:r w:rsidRPr="008E7494">
        <w:rPr>
          <w:b/>
          <w:lang w:val="en-US"/>
        </w:rPr>
        <w:t>Shuan</w:t>
      </w:r>
      <w:proofErr w:type="spellEnd"/>
      <w:r>
        <w:rPr>
          <w:b/>
          <w:lang w:val="en-US"/>
        </w:rPr>
        <w:t>.</w:t>
      </w:r>
    </w:p>
    <w:p w14:paraId="438C121F" w14:textId="77777777" w:rsidR="008B05C3" w:rsidRDefault="008B05C3" w:rsidP="0053085C">
      <w:pPr>
        <w:rPr>
          <w:b/>
          <w:lang w:val="en-US"/>
        </w:rPr>
      </w:pPr>
    </w:p>
    <w:p w14:paraId="41FA60E5" w14:textId="3D641525" w:rsidR="008B05C3" w:rsidRDefault="008B05C3" w:rsidP="0053085C">
      <w:pPr>
        <w:rPr>
          <w:b/>
          <w:lang w:val="en-US"/>
        </w:rPr>
        <w:sectPr w:rsidR="008B05C3" w:rsidSect="008B05C3">
          <w:footnotePr>
            <w:numRestart w:val="eachSect"/>
          </w:footnotePr>
          <w:pgSz w:w="11906" w:h="16838"/>
          <w:pgMar w:top="2948" w:right="1701" w:bottom="567" w:left="1701" w:header="0" w:footer="567" w:gutter="0"/>
          <w:cols w:space="708"/>
          <w:docGrid w:linePitch="360"/>
        </w:sectPr>
      </w:pPr>
    </w:p>
    <w:p w14:paraId="02F4E675" w14:textId="77777777" w:rsidR="0053085C" w:rsidRPr="008E7494" w:rsidRDefault="0053085C" w:rsidP="00F817B6">
      <w:pPr>
        <w:pStyle w:val="Heading2"/>
      </w:pPr>
      <w:r w:rsidRPr="008E7494">
        <w:lastRenderedPageBreak/>
        <w:t>Doomadgee Commissioners’ report</w:t>
      </w:r>
    </w:p>
    <w:p w14:paraId="0839B54E" w14:textId="77777777" w:rsidR="0053085C" w:rsidRDefault="0053085C" w:rsidP="0053085C">
      <w:pPr>
        <w:rPr>
          <w:lang w:val="en-US"/>
        </w:rPr>
      </w:pPr>
      <w:r>
        <w:rPr>
          <w:lang w:val="en-US"/>
        </w:rPr>
        <w:t>The last 12 months has been an eventful time for us here in Doomadgee. Primary school attendance for Term 3 (July to September 2018) was 50.2 percent, increasing to 60.3 percent for Term 1 2019. Maintaining good school attendance in Doomadgee remains a struggle which we are attempting to address every day. Several</w:t>
      </w:r>
      <w:r w:rsidRPr="00E96DBF">
        <w:t xml:space="preserve"> events </w:t>
      </w:r>
      <w:r>
        <w:t xml:space="preserve">affected attendance </w:t>
      </w:r>
      <w:r w:rsidRPr="00E96DBF">
        <w:t>including the Mount Isa</w:t>
      </w:r>
      <w:r>
        <w:t xml:space="preserve"> Mines</w:t>
      </w:r>
      <w:r w:rsidRPr="00E96DBF">
        <w:t xml:space="preserve"> </w:t>
      </w:r>
      <w:r>
        <w:t>R</w:t>
      </w:r>
      <w:r w:rsidRPr="00E96DBF">
        <w:t xml:space="preserve">odeo and the </w:t>
      </w:r>
      <w:r>
        <w:t xml:space="preserve">Gulf Country </w:t>
      </w:r>
      <w:r w:rsidRPr="00E96DBF">
        <w:t xml:space="preserve">Frontier </w:t>
      </w:r>
      <w:r>
        <w:t xml:space="preserve">Days </w:t>
      </w:r>
      <w:r w:rsidRPr="00E96DBF">
        <w:t xml:space="preserve">Festival at Gregory Downs (both in August). In addition, </w:t>
      </w:r>
      <w:r>
        <w:t xml:space="preserve">sorry business </w:t>
      </w:r>
      <w:r w:rsidRPr="00E96DBF">
        <w:t>had a significant impact with the passing of Elders from a couple of larger family groups, the funerals for which were held in Mount Isa and Mornington Island.</w:t>
      </w:r>
      <w:r w:rsidRPr="00EC558E">
        <w:t xml:space="preserve"> </w:t>
      </w:r>
      <w:r>
        <w:t xml:space="preserve">Additionally, </w:t>
      </w:r>
      <w:proofErr w:type="gramStart"/>
      <w:r>
        <w:t>a number</w:t>
      </w:r>
      <w:r w:rsidRPr="00E96DBF">
        <w:t xml:space="preserve"> of</w:t>
      </w:r>
      <w:proofErr w:type="gramEnd"/>
      <w:r w:rsidRPr="00E96DBF">
        <w:t xml:space="preserve"> the funerals were postponed or delayed - in some cases for weeks after the passing of a family member or loved one. As a result, the time between non-attendance and re-engagement at school was</w:t>
      </w:r>
      <w:r>
        <w:t>,</w:t>
      </w:r>
      <w:r w:rsidRPr="00E96DBF">
        <w:t xml:space="preserve"> on occasion</w:t>
      </w:r>
      <w:r>
        <w:t>,</w:t>
      </w:r>
      <w:r w:rsidRPr="00E96DBF">
        <w:t xml:space="preserve"> a lengthy two to four-week period.</w:t>
      </w:r>
      <w:r w:rsidRPr="00A7460A">
        <w:rPr>
          <w:lang w:val="en-US"/>
        </w:rPr>
        <w:t xml:space="preserve"> </w:t>
      </w:r>
      <w:r>
        <w:rPr>
          <w:lang w:val="en-US"/>
        </w:rPr>
        <w:t xml:space="preserve">Sorry business is however an important part of our identity as Indigenous people and we value our culture in mourning our family members who have passed. We believe that clear guidelines for the management of sorry business may assist us to maintain our cultural practices whilst also </w:t>
      </w:r>
      <w:proofErr w:type="spellStart"/>
      <w:r>
        <w:rPr>
          <w:lang w:val="en-US"/>
        </w:rPr>
        <w:t>emphasising</w:t>
      </w:r>
      <w:proofErr w:type="spellEnd"/>
      <w:r>
        <w:rPr>
          <w:lang w:val="en-US"/>
        </w:rPr>
        <w:t xml:space="preserve"> the importance of education.</w:t>
      </w:r>
    </w:p>
    <w:p w14:paraId="28ED178E" w14:textId="77777777" w:rsidR="0053085C" w:rsidRDefault="0053085C" w:rsidP="0053085C">
      <w:pPr>
        <w:rPr>
          <w:lang w:val="en-US"/>
        </w:rPr>
      </w:pPr>
      <w:r>
        <w:rPr>
          <w:lang w:val="en-US"/>
        </w:rPr>
        <w:t xml:space="preserve">Local community parties with loud music playing all hours of the night has also affected attendance with children being too tired to attend school the next day. </w:t>
      </w:r>
      <w:r w:rsidRPr="00E96DBF">
        <w:t xml:space="preserve">Term 1 </w:t>
      </w:r>
      <w:r>
        <w:t xml:space="preserve">of 2019 </w:t>
      </w:r>
      <w:r w:rsidRPr="00E96DBF">
        <w:t>w</w:t>
      </w:r>
      <w:r>
        <w:t>as</w:t>
      </w:r>
      <w:r w:rsidRPr="00E96DBF">
        <w:t xml:space="preserve"> impacted by the disaster recovery payments received in community, </w:t>
      </w:r>
      <w:r>
        <w:t>even though</w:t>
      </w:r>
      <w:r w:rsidRPr="00E96DBF">
        <w:t xml:space="preserve"> there was very little severe weather experienced in Doomadgee. </w:t>
      </w:r>
      <w:r>
        <w:t>These</w:t>
      </w:r>
      <w:r w:rsidRPr="00E96DBF">
        <w:t xml:space="preserve"> payments resulted in</w:t>
      </w:r>
      <w:r>
        <w:t xml:space="preserve"> </w:t>
      </w:r>
      <w:r w:rsidRPr="00E96DBF">
        <w:t xml:space="preserve">an influx of alcohol into the community and </w:t>
      </w:r>
      <w:r>
        <w:t xml:space="preserve">an </w:t>
      </w:r>
      <w:r w:rsidRPr="00E96DBF">
        <w:t>increase</w:t>
      </w:r>
      <w:r>
        <w:t xml:space="preserve"> of</w:t>
      </w:r>
      <w:r w:rsidRPr="00E96DBF">
        <w:t xml:space="preserve"> domestic violence</w:t>
      </w:r>
      <w:r>
        <w:t xml:space="preserve"> incidents</w:t>
      </w:r>
      <w:r w:rsidRPr="00E96DBF">
        <w:t xml:space="preserve">, both of which contributed to the low school attendance. </w:t>
      </w:r>
      <w:r>
        <w:t>School staff</w:t>
      </w:r>
      <w:r w:rsidRPr="00E96DBF">
        <w:t xml:space="preserve"> conducted numerous home visits during school hours and after school to draw students back into the classroom.</w:t>
      </w:r>
    </w:p>
    <w:p w14:paraId="2AAD5F1F" w14:textId="77777777" w:rsidR="0053085C" w:rsidRDefault="0053085C" w:rsidP="0053085C">
      <w:r>
        <w:rPr>
          <w:lang w:val="en-US"/>
        </w:rPr>
        <w:t xml:space="preserve">As Local Commissioners we continually reinforce the importance of school attendance in the community and we will always do so </w:t>
      </w:r>
      <w:proofErr w:type="gramStart"/>
      <w:r>
        <w:rPr>
          <w:lang w:val="en-US"/>
        </w:rPr>
        <w:t>as long as</w:t>
      </w:r>
      <w:proofErr w:type="gramEnd"/>
      <w:r>
        <w:rPr>
          <w:lang w:val="en-US"/>
        </w:rPr>
        <w:t xml:space="preserve"> we remain Local Commissioners. We know that a good education is the only certainty to ensuring a good future for our children, and a good future for our </w:t>
      </w:r>
      <w:proofErr w:type="gramStart"/>
      <w:r>
        <w:rPr>
          <w:lang w:val="en-US"/>
        </w:rPr>
        <w:t>community as a whole</w:t>
      </w:r>
      <w:proofErr w:type="gramEnd"/>
      <w:r>
        <w:rPr>
          <w:lang w:val="en-US"/>
        </w:rPr>
        <w:t>.</w:t>
      </w:r>
    </w:p>
    <w:p w14:paraId="5826E9DC" w14:textId="660A90A9" w:rsidR="0053085C" w:rsidRDefault="0053085C" w:rsidP="0053085C">
      <w:pPr>
        <w:rPr>
          <w:lang w:val="en-US"/>
        </w:rPr>
      </w:pPr>
      <w:r w:rsidRPr="00E96DBF">
        <w:t xml:space="preserve">The first term of 2019 at the Doomadgee State School saw the </w:t>
      </w:r>
      <w:r>
        <w:t>commencement</w:t>
      </w:r>
      <w:r w:rsidRPr="00E96DBF">
        <w:t xml:space="preserve"> of a new Acting Principal</w:t>
      </w:r>
      <w:r w:rsidR="00021998">
        <w:t>,</w:t>
      </w:r>
      <w:r w:rsidRPr="00E96DBF">
        <w:t xml:space="preserve"> </w:t>
      </w:r>
      <w:r>
        <w:t xml:space="preserve">Beth </w:t>
      </w:r>
      <w:proofErr w:type="spellStart"/>
      <w:r>
        <w:t>Everill</w:t>
      </w:r>
      <w:proofErr w:type="spellEnd"/>
      <w:r w:rsidR="00021998">
        <w:t>,</w:t>
      </w:r>
      <w:r>
        <w:t xml:space="preserve"> </w:t>
      </w:r>
      <w:r w:rsidRPr="00E96DBF">
        <w:t xml:space="preserve">and several new teachers. </w:t>
      </w:r>
      <w:r>
        <w:t>Beth has now been appointed as the Principal and</w:t>
      </w:r>
      <w:r w:rsidRPr="00E96DBF">
        <w:t xml:space="preserve"> has reintroduced monthly parent and community meetings and </w:t>
      </w:r>
      <w:r>
        <w:t xml:space="preserve">we, together with the parents and carers, consider this </w:t>
      </w:r>
      <w:r w:rsidRPr="00E96DBF">
        <w:t>a positive move to creating a harmonious and constructive learning environment.</w:t>
      </w:r>
      <w:r w:rsidRPr="00CD43D3">
        <w:rPr>
          <w:lang w:val="en-US"/>
        </w:rPr>
        <w:t xml:space="preserve"> </w:t>
      </w:r>
      <w:r>
        <w:rPr>
          <w:lang w:val="en-US"/>
        </w:rPr>
        <w:t>Upgrades on the school grounds have been completed and are excellent. Our school environment is now very inviting with a water feature filling up during the wet season to provide the children with a seasonal playground. The design of the improvements of the grounds is innovative and much work has also gone into providing the children with breakfast and lunch options to enhance learning.</w:t>
      </w:r>
    </w:p>
    <w:p w14:paraId="67E68AF4" w14:textId="1E071721" w:rsidR="0053085C" w:rsidRDefault="0053085C" w:rsidP="0053085C">
      <w:pPr>
        <w:rPr>
          <w:lang w:val="en-US"/>
        </w:rPr>
      </w:pPr>
      <w:r w:rsidRPr="00E96DBF">
        <w:t>One pleasing result has been boarding school numbers which have stayed consistent, and interest remain</w:t>
      </w:r>
      <w:r>
        <w:t>ed</w:t>
      </w:r>
      <w:r w:rsidRPr="00E96DBF">
        <w:t xml:space="preserve"> high in families wanting to make applications for the 2019 school year.</w:t>
      </w:r>
      <w:r>
        <w:t xml:space="preserve"> Our</w:t>
      </w:r>
      <w:r w:rsidRPr="00E96DBF">
        <w:t xml:space="preserve"> Local Coordinator has </w:t>
      </w:r>
      <w:r>
        <w:t xml:space="preserve">continued to play a pivotal role in </w:t>
      </w:r>
      <w:r w:rsidRPr="00E96DBF">
        <w:t>support</w:t>
      </w:r>
      <w:r>
        <w:t>ing</w:t>
      </w:r>
      <w:r w:rsidRPr="00E96DBF">
        <w:t xml:space="preserve"> local families with the transition of their children to boarding school. Assistance has been provided with application paperwork, identification requirements, organising school interviews, the distribution of itineraries and transport to and from the airport.</w:t>
      </w:r>
      <w:r>
        <w:t xml:space="preserve"> We are proud to say that </w:t>
      </w:r>
      <w:r w:rsidRPr="000B75C2">
        <w:t>there are now 41</w:t>
      </w:r>
      <w:r>
        <w:t xml:space="preserve"> </w:t>
      </w:r>
      <w:r w:rsidRPr="000B75C2">
        <w:t>Doomadgee students attending boarding schools.</w:t>
      </w:r>
      <w:r w:rsidRPr="001D1596">
        <w:rPr>
          <w:lang w:val="en-US"/>
        </w:rPr>
        <w:t xml:space="preserve"> </w:t>
      </w:r>
      <w:r>
        <w:rPr>
          <w:lang w:val="en-US"/>
        </w:rPr>
        <w:t xml:space="preserve">We believe that more effort should be spent on preparing children to leave community to further their education, and the preparation should commence from year 6 to ensure they are ready for boarding school. For our children to leave their families at such a tender age and live outside of our environment, it is a traumatic adjustment. Much more work needs to be done to prepare them scholastically and emotionally </w:t>
      </w:r>
      <w:r>
        <w:rPr>
          <w:lang w:val="en-US"/>
        </w:rPr>
        <w:lastRenderedPageBreak/>
        <w:t>for this transition which is life changing. Transition support is offered by the school, but only offered for a nominated four hours per week. We believe it should be a full</w:t>
      </w:r>
      <w:r w:rsidR="002A3197">
        <w:rPr>
          <w:lang w:val="en-US"/>
        </w:rPr>
        <w:t>-</w:t>
      </w:r>
      <w:r>
        <w:rPr>
          <w:lang w:val="en-US"/>
        </w:rPr>
        <w:t>time position.</w:t>
      </w:r>
    </w:p>
    <w:p w14:paraId="1114AC74" w14:textId="77777777" w:rsidR="0053085C" w:rsidRDefault="0053085C" w:rsidP="0053085C">
      <w:pPr>
        <w:rPr>
          <w:lang w:val="en-US"/>
        </w:rPr>
      </w:pPr>
      <w:r>
        <w:rPr>
          <w:lang w:val="en-US"/>
        </w:rPr>
        <w:t xml:space="preserve">Of great concern to us in the later part of this financial year has been that our Deputy Commissioner was not reappointed upon the expiry of his term on 31 December 2018. We were given no reason as to why his appointment was not renewed. We feel the Government has taken a family member away from us. Former Deputy Commissioner Rod Curtin was a support and mentor to us. There is no </w:t>
      </w:r>
      <w:proofErr w:type="spellStart"/>
      <w:r>
        <w:rPr>
          <w:lang w:val="en-US"/>
        </w:rPr>
        <w:t>colour</w:t>
      </w:r>
      <w:proofErr w:type="spellEnd"/>
      <w:r>
        <w:rPr>
          <w:lang w:val="en-US"/>
        </w:rPr>
        <w:t xml:space="preserve"> division in our community. We were told the Government wished to appoint an Indigenous Deputy Commissioner. For us, it is those who identify with us who become part of our community and the Deputy Commissioner was all that and more. In </w:t>
      </w:r>
      <w:proofErr w:type="gramStart"/>
      <w:r>
        <w:rPr>
          <w:lang w:val="en-US"/>
        </w:rPr>
        <w:t>fact</w:t>
      </w:r>
      <w:proofErr w:type="gramEnd"/>
      <w:r>
        <w:rPr>
          <w:lang w:val="en-US"/>
        </w:rPr>
        <w:t xml:space="preserve"> we adopted him as family. He understood our struggles and our hurt. He connected with our clients. We always looked forward to seeing him. It has been a great loss to us in Doomadgee.</w:t>
      </w:r>
    </w:p>
    <w:p w14:paraId="612888FF" w14:textId="1DC8ADAE" w:rsidR="0053085C" w:rsidRDefault="0053085C" w:rsidP="0053085C">
      <w:pPr>
        <w:rPr>
          <w:lang w:val="en-US"/>
        </w:rPr>
      </w:pPr>
      <w:r>
        <w:rPr>
          <w:lang w:val="en-US"/>
        </w:rPr>
        <w:t xml:space="preserve">We have been furthering our skills in applying </w:t>
      </w:r>
      <w:r w:rsidR="00205807">
        <w:rPr>
          <w:lang w:val="en-US"/>
        </w:rPr>
        <w:t>i</w:t>
      </w:r>
      <w:r>
        <w:rPr>
          <w:lang w:val="en-US"/>
        </w:rPr>
        <w:t xml:space="preserve">ncome </w:t>
      </w:r>
      <w:r w:rsidR="00205807">
        <w:rPr>
          <w:lang w:val="en-US"/>
        </w:rPr>
        <w:t>m</w:t>
      </w:r>
      <w:r>
        <w:rPr>
          <w:lang w:val="en-US"/>
        </w:rPr>
        <w:t xml:space="preserve">anagement in a positive way to encourage clients to </w:t>
      </w:r>
      <w:proofErr w:type="spellStart"/>
      <w:r>
        <w:rPr>
          <w:lang w:val="en-US"/>
        </w:rPr>
        <w:t>prioritise</w:t>
      </w:r>
      <w:proofErr w:type="spellEnd"/>
      <w:r>
        <w:rPr>
          <w:lang w:val="en-US"/>
        </w:rPr>
        <w:t xml:space="preserve"> their children’s needs. Attitudes are difficult to change, but we adopt </w:t>
      </w:r>
      <w:r w:rsidRPr="00D43432">
        <w:rPr>
          <w:lang w:val="en-US"/>
        </w:rPr>
        <w:t>a softly</w:t>
      </w:r>
      <w:r w:rsidR="00D43432" w:rsidRPr="006279D0">
        <w:rPr>
          <w:lang w:val="en-US"/>
        </w:rPr>
        <w:t>-</w:t>
      </w:r>
      <w:r w:rsidRPr="00D43432">
        <w:rPr>
          <w:lang w:val="en-US"/>
        </w:rPr>
        <w:t>softly</w:t>
      </w:r>
      <w:r>
        <w:rPr>
          <w:lang w:val="en-US"/>
        </w:rPr>
        <w:t xml:space="preserve"> approach while offering support and reassurance that we understand the difficulties of being parents/</w:t>
      </w:r>
      <w:proofErr w:type="spellStart"/>
      <w:r>
        <w:rPr>
          <w:lang w:val="en-US"/>
        </w:rPr>
        <w:t>carers</w:t>
      </w:r>
      <w:proofErr w:type="spellEnd"/>
      <w:r>
        <w:rPr>
          <w:lang w:val="en-US"/>
        </w:rPr>
        <w:t xml:space="preserve">. As at the end of the financial year we </w:t>
      </w:r>
      <w:r w:rsidRPr="003D3D14">
        <w:rPr>
          <w:lang w:val="en-US"/>
        </w:rPr>
        <w:t xml:space="preserve">have </w:t>
      </w:r>
      <w:r w:rsidR="0076563D">
        <w:rPr>
          <w:lang w:val="en-US"/>
        </w:rPr>
        <w:t>71</w:t>
      </w:r>
      <w:r w:rsidR="0076563D" w:rsidRPr="003D3D14">
        <w:rPr>
          <w:lang w:val="en-US"/>
        </w:rPr>
        <w:t xml:space="preserve"> </w:t>
      </w:r>
      <w:r w:rsidRPr="003D3D14">
        <w:rPr>
          <w:lang w:val="en-US"/>
        </w:rPr>
        <w:t xml:space="preserve">clients on Conditional Income Management (an increase of </w:t>
      </w:r>
      <w:r w:rsidR="0076563D">
        <w:rPr>
          <w:lang w:val="en-US"/>
        </w:rPr>
        <w:t>22</w:t>
      </w:r>
      <w:r w:rsidRPr="003D3D14">
        <w:rPr>
          <w:lang w:val="en-US"/>
        </w:rPr>
        <w:t xml:space="preserve"> on last year’s figure), and one </w:t>
      </w:r>
      <w:r w:rsidRPr="000C4A12">
        <w:rPr>
          <w:lang w:val="en-US"/>
        </w:rPr>
        <w:t>client on Voluntary</w:t>
      </w:r>
      <w:r>
        <w:rPr>
          <w:lang w:val="en-US"/>
        </w:rPr>
        <w:t xml:space="preserve"> Income Management.</w:t>
      </w:r>
    </w:p>
    <w:p w14:paraId="6B1C9AF1" w14:textId="77777777" w:rsidR="0053085C" w:rsidRPr="000A70B5" w:rsidRDefault="0053085C" w:rsidP="0053085C">
      <w:pPr>
        <w:rPr>
          <w:i/>
          <w:lang w:val="en-US"/>
        </w:rPr>
      </w:pPr>
      <w:r w:rsidRPr="00C724E8">
        <w:rPr>
          <w:lang w:val="en-US"/>
        </w:rPr>
        <w:t xml:space="preserve">The Youth Hub is </w:t>
      </w:r>
      <w:r>
        <w:rPr>
          <w:lang w:val="en-US"/>
        </w:rPr>
        <w:t xml:space="preserve">transitioning into </w:t>
      </w:r>
      <w:r w:rsidRPr="00C724E8">
        <w:rPr>
          <w:lang w:val="en-US"/>
        </w:rPr>
        <w:t>a flexi</w:t>
      </w:r>
      <w:r>
        <w:rPr>
          <w:lang w:val="en-US"/>
        </w:rPr>
        <w:t>-</w:t>
      </w:r>
      <w:r w:rsidRPr="00C724E8">
        <w:rPr>
          <w:lang w:val="en-US"/>
        </w:rPr>
        <w:t xml:space="preserve">school for </w:t>
      </w:r>
      <w:r>
        <w:rPr>
          <w:lang w:val="en-US"/>
        </w:rPr>
        <w:t xml:space="preserve">primary and secondary </w:t>
      </w:r>
      <w:r w:rsidRPr="00C724E8">
        <w:rPr>
          <w:lang w:val="en-US"/>
        </w:rPr>
        <w:t xml:space="preserve">disengaged </w:t>
      </w:r>
      <w:r>
        <w:rPr>
          <w:lang w:val="en-US"/>
        </w:rPr>
        <w:t>students</w:t>
      </w:r>
      <w:r w:rsidRPr="00C724E8">
        <w:rPr>
          <w:lang w:val="en-US"/>
        </w:rPr>
        <w:t xml:space="preserve">. We would </w:t>
      </w:r>
      <w:r>
        <w:rPr>
          <w:lang w:val="en-US"/>
        </w:rPr>
        <w:t xml:space="preserve">dearly </w:t>
      </w:r>
      <w:r w:rsidRPr="00C724E8">
        <w:rPr>
          <w:lang w:val="en-US"/>
        </w:rPr>
        <w:t>like to see some progress with these students</w:t>
      </w:r>
      <w:r>
        <w:rPr>
          <w:lang w:val="en-US"/>
        </w:rPr>
        <w:t xml:space="preserve"> and eagerly await news of initial outcomes achieved or challenges experienced.</w:t>
      </w:r>
    </w:p>
    <w:p w14:paraId="4370F681" w14:textId="6F478AC5" w:rsidR="0053085C" w:rsidRDefault="0053085C" w:rsidP="0053085C">
      <w:pPr>
        <w:rPr>
          <w:lang w:val="en-US"/>
        </w:rPr>
      </w:pPr>
      <w:r>
        <w:rPr>
          <w:lang w:val="en-US"/>
        </w:rPr>
        <w:t xml:space="preserve">Strengthening our relationship during the year with the police in Doomadgee has been a challenge for us. We don’t feel the community really got to know them and we would like to see an improvement in the coming year with the commencement of the new Officer in Charge. We would like to erase any past negativity as we feel a good working relationship will strengthen our community to the advantage of both the police and the </w:t>
      </w:r>
      <w:r w:rsidR="00E54FFF">
        <w:rPr>
          <w:lang w:val="en-US"/>
        </w:rPr>
        <w:t>community</w:t>
      </w:r>
      <w:r>
        <w:rPr>
          <w:lang w:val="en-US"/>
        </w:rPr>
        <w:t>.</w:t>
      </w:r>
    </w:p>
    <w:p w14:paraId="5FAD7C84" w14:textId="77777777" w:rsidR="0053085C" w:rsidRDefault="0053085C" w:rsidP="0053085C">
      <w:pPr>
        <w:rPr>
          <w:lang w:val="en-US"/>
        </w:rPr>
      </w:pPr>
      <w:bookmarkStart w:id="4" w:name="_Hlk12612506"/>
      <w:r>
        <w:rPr>
          <w:lang w:val="en-US"/>
        </w:rPr>
        <w:t xml:space="preserve">Visits from the Department </w:t>
      </w:r>
      <w:bookmarkEnd w:id="4"/>
      <w:r>
        <w:rPr>
          <w:lang w:val="en-US"/>
        </w:rPr>
        <w:t xml:space="preserve">of Human Services (Centrelink) team are currently occurring for one week in every 10-week period. Staff at the Remote Jobs and Communities </w:t>
      </w:r>
      <w:proofErr w:type="spellStart"/>
      <w:r>
        <w:rPr>
          <w:lang w:val="en-US"/>
        </w:rPr>
        <w:t>Programme</w:t>
      </w:r>
      <w:proofErr w:type="spellEnd"/>
      <w:r>
        <w:rPr>
          <w:lang w:val="en-US"/>
        </w:rPr>
        <w:t xml:space="preserve"> in Doomadgee (My Pathways) have the view there are at least 100 community members eligible for welfare payments that are either not in receipt of any payment or are not receiving all their entitlements due to children not being registered with Centrelink for payment.</w:t>
      </w:r>
    </w:p>
    <w:p w14:paraId="1D8EC300" w14:textId="77777777" w:rsidR="0053085C" w:rsidRDefault="0053085C" w:rsidP="0053085C">
      <w:pPr>
        <w:rPr>
          <w:lang w:val="en-US"/>
        </w:rPr>
      </w:pPr>
      <w:r>
        <w:rPr>
          <w:lang w:val="en-US"/>
        </w:rPr>
        <w:t>Other fly-in/fly-out service providers fall short in promoting their visits to community with many community members unaware of their impending arrival. Better information about the benefits of attending these services, programs and clinics would improve participation.</w:t>
      </w:r>
    </w:p>
    <w:p w14:paraId="08DB91D3" w14:textId="77777777" w:rsidR="0053085C" w:rsidRPr="006E6F8E" w:rsidRDefault="0053085C" w:rsidP="0053085C">
      <w:pPr>
        <w:rPr>
          <w:lang w:val="en-US"/>
        </w:rPr>
      </w:pPr>
      <w:r>
        <w:rPr>
          <w:lang w:val="en-US"/>
        </w:rPr>
        <w:t xml:space="preserve">Existing services that we </w:t>
      </w:r>
      <w:proofErr w:type="gramStart"/>
      <w:r>
        <w:rPr>
          <w:lang w:val="en-US"/>
        </w:rPr>
        <w:t>are able to</w:t>
      </w:r>
      <w:proofErr w:type="gramEnd"/>
      <w:r>
        <w:rPr>
          <w:lang w:val="en-US"/>
        </w:rPr>
        <w:t xml:space="preserve"> refer our clients to for support are often failing in their obligation to engage these clients in a positive and constructive conversation to address their needs. We find there is a lack of information and openness concerning our clients, and we are left unsure as to what if any action has been taken to assist them.</w:t>
      </w:r>
    </w:p>
    <w:p w14:paraId="6A75EF51" w14:textId="77777777" w:rsidR="0053085C" w:rsidRDefault="0053085C" w:rsidP="0053085C">
      <w:pPr>
        <w:rPr>
          <w:lang w:val="en-US"/>
        </w:rPr>
      </w:pPr>
      <w:r>
        <w:rPr>
          <w:lang w:val="en-US"/>
        </w:rPr>
        <w:t xml:space="preserve">We would like more triggers other than Education (school attendance and school enrolment related matters) and Child Safety and Welfare notices. </w:t>
      </w:r>
      <w:proofErr w:type="gramStart"/>
      <w:r>
        <w:rPr>
          <w:lang w:val="en-US"/>
        </w:rPr>
        <w:t>In particular we</w:t>
      </w:r>
      <w:proofErr w:type="gramEnd"/>
      <w:r>
        <w:rPr>
          <w:lang w:val="en-US"/>
        </w:rPr>
        <w:t xml:space="preserve"> would like to receive notices for tenancy violations and domestic violence incidents.</w:t>
      </w:r>
    </w:p>
    <w:p w14:paraId="496AE1F3" w14:textId="77777777" w:rsidR="00330997" w:rsidRDefault="00330997">
      <w:pPr>
        <w:spacing w:after="160" w:line="259" w:lineRule="auto"/>
        <w:rPr>
          <w:lang w:val="en-US"/>
        </w:rPr>
      </w:pPr>
      <w:r>
        <w:rPr>
          <w:lang w:val="en-US"/>
        </w:rPr>
        <w:br w:type="page"/>
      </w:r>
    </w:p>
    <w:p w14:paraId="246AF3DB" w14:textId="669B1512" w:rsidR="0053085C" w:rsidRDefault="0053085C" w:rsidP="0053085C">
      <w:pPr>
        <w:rPr>
          <w:lang w:val="en-US"/>
        </w:rPr>
      </w:pPr>
      <w:r>
        <w:rPr>
          <w:lang w:val="en-US"/>
        </w:rPr>
        <w:lastRenderedPageBreak/>
        <w:t>On a positive note, every second Wednesday Commissioner Douglas’ son, Elijah, conducts a community event with traditional dancing and songs at Riverside Park. This event attracts young and old community members and assists us with passing on our culture to the young ones. As reported in last year’s report, the Police</w:t>
      </w:r>
      <w:r w:rsidR="00E9306D">
        <w:rPr>
          <w:lang w:val="en-US"/>
        </w:rPr>
        <w:t>-</w:t>
      </w:r>
      <w:r>
        <w:rPr>
          <w:lang w:val="en-US"/>
        </w:rPr>
        <w:t>Citizens Youth Club (PCYC) left community due to the loss of their leased premises. Elijah’s events assist in providing a little entertainment for our children which is constructive in the absence of the PCYC.</w:t>
      </w:r>
    </w:p>
    <w:p w14:paraId="3619E476" w14:textId="77777777" w:rsidR="0053085C" w:rsidRPr="00E96DBF" w:rsidRDefault="0053085C" w:rsidP="0053085C">
      <w:r w:rsidRPr="00E96DBF">
        <w:t xml:space="preserve">Collaborative service provider meetings recommenced after an absence in the last quarter of 2018. These meetings promote the sharing of ideas to provide wraparound services that holistically support families within the community. </w:t>
      </w:r>
      <w:r>
        <w:t>Our</w:t>
      </w:r>
      <w:r w:rsidRPr="00E96DBF">
        <w:t xml:space="preserve"> Local Coordinator has worked with local service providers and DATSIP to ensure positive engagement with young people, including their participation in some after school programs and events.</w:t>
      </w:r>
    </w:p>
    <w:p w14:paraId="1A5E5CC9" w14:textId="77777777" w:rsidR="0053085C" w:rsidRDefault="0053085C" w:rsidP="0053085C">
      <w:pPr>
        <w:rPr>
          <w:lang w:val="en-US"/>
        </w:rPr>
      </w:pPr>
      <w:r>
        <w:t xml:space="preserve">We are sad to announce that we </w:t>
      </w:r>
      <w:r w:rsidRPr="00E96DBF">
        <w:t xml:space="preserve">commenced </w:t>
      </w:r>
      <w:r>
        <w:t>2019</w:t>
      </w:r>
      <w:r w:rsidRPr="00E96DBF">
        <w:t xml:space="preserve"> </w:t>
      </w:r>
      <w:r>
        <w:t>without one of our</w:t>
      </w:r>
      <w:r w:rsidRPr="00E96DBF">
        <w:t xml:space="preserve"> colleague</w:t>
      </w:r>
      <w:r>
        <w:t xml:space="preserve">s. </w:t>
      </w:r>
      <w:r w:rsidRPr="00E96DBF">
        <w:t xml:space="preserve">Commissioner Karen Jupiter transferred to Townsville in late 2018 for extended medical treatment. Unfortunately, this relocation may become a permanent situation and it </w:t>
      </w:r>
      <w:r>
        <w:t>has been at time</w:t>
      </w:r>
      <w:r w:rsidRPr="00E96DBF">
        <w:t xml:space="preserve">s challenging for the five </w:t>
      </w:r>
      <w:r>
        <w:t xml:space="preserve">of us </w:t>
      </w:r>
      <w:r w:rsidRPr="00E96DBF">
        <w:t xml:space="preserve">remaining to maintain </w:t>
      </w:r>
      <w:r>
        <w:t>our</w:t>
      </w:r>
      <w:r w:rsidRPr="00E96DBF">
        <w:t xml:space="preserve"> energy, positivity and resilience with</w:t>
      </w:r>
      <w:r>
        <w:t xml:space="preserve"> our</w:t>
      </w:r>
      <w:r w:rsidRPr="00E96DBF">
        <w:t xml:space="preserve"> reduced numbers and the uncertainty affecting </w:t>
      </w:r>
      <w:r>
        <w:t>our</w:t>
      </w:r>
      <w:r w:rsidRPr="00E96DBF">
        <w:t xml:space="preserve"> future roles.</w:t>
      </w:r>
      <w:r>
        <w:t xml:space="preserve"> </w:t>
      </w:r>
      <w:r>
        <w:rPr>
          <w:lang w:val="en-US"/>
        </w:rPr>
        <w:t>We need more Local Commissioners to bolster our strength in Doomadgee. Being a Local Commissioner is a very responsible position. We live and breathe our jobs during and outside of our work hours and we do this whilst juggling other paid positions. Some young blood to take over in the next few years would give us firmer foundations from which to continue building our influence in changing social norms.</w:t>
      </w:r>
    </w:p>
    <w:p w14:paraId="311A3D4C" w14:textId="77777777" w:rsidR="0053085C" w:rsidRPr="008E7494" w:rsidRDefault="0053085C" w:rsidP="0053085C"/>
    <w:p w14:paraId="56AE61E0" w14:textId="77777777" w:rsidR="0053085C" w:rsidRPr="008E7494" w:rsidRDefault="0053085C" w:rsidP="0053085C">
      <w:pPr>
        <w:rPr>
          <w:lang w:val="en-US"/>
        </w:rPr>
      </w:pPr>
      <w:r w:rsidRPr="008E7494">
        <w:rPr>
          <w:b/>
          <w:lang w:val="en-US"/>
        </w:rPr>
        <w:t>Doomadgee Commissioners Christopher Logan, Elaine Cairns, Karen Jupiter, Kaylene O’Keefe, Eleanor Logan and Guy Douglas.</w:t>
      </w:r>
    </w:p>
    <w:p w14:paraId="7AEDC356" w14:textId="77777777" w:rsidR="0053085C" w:rsidRPr="008E7494" w:rsidRDefault="0053085C" w:rsidP="0053085C">
      <w:pPr>
        <w:spacing w:after="200" w:line="276" w:lineRule="auto"/>
        <w:rPr>
          <w:rFonts w:ascii="Times New Roman" w:hAnsi="Times New Roman"/>
          <w:sz w:val="24"/>
          <w:lang w:eastAsia="en-AU"/>
        </w:rPr>
      </w:pPr>
    </w:p>
    <w:p w14:paraId="0E6BA8D7" w14:textId="77777777" w:rsidR="004B4753" w:rsidRDefault="004B4753" w:rsidP="009B129E">
      <w:pPr>
        <w:rPr>
          <w:rFonts w:cs="Arial"/>
          <w:szCs w:val="20"/>
        </w:rPr>
        <w:sectPr w:rsidR="004B4753" w:rsidSect="00881DBE">
          <w:footnotePr>
            <w:numRestart w:val="eachSect"/>
          </w:footnotePr>
          <w:pgSz w:w="11906" w:h="16838"/>
          <w:pgMar w:top="2948" w:right="1701" w:bottom="567" w:left="1701" w:header="0" w:footer="567" w:gutter="0"/>
          <w:cols w:space="708"/>
          <w:docGrid w:linePitch="360"/>
        </w:sectPr>
      </w:pPr>
    </w:p>
    <w:p w14:paraId="5338F77A" w14:textId="0BDCF913" w:rsidR="003E09C0" w:rsidRPr="00C0314A" w:rsidRDefault="003E09C0" w:rsidP="00F817B6">
      <w:pPr>
        <w:pStyle w:val="Heading2"/>
      </w:pPr>
      <w:r w:rsidRPr="00C0314A">
        <w:lastRenderedPageBreak/>
        <w:t xml:space="preserve">Deputy Commissioner Rodney (Rod) Curtin </w:t>
      </w:r>
      <w:r w:rsidR="0013048C">
        <w:br/>
      </w:r>
      <w:r w:rsidRPr="00C0314A">
        <w:t>(Appointed July 2010 - 31 December 2018)</w:t>
      </w:r>
    </w:p>
    <w:p w14:paraId="4B7AE613" w14:textId="77777777" w:rsidR="003E09C0" w:rsidRPr="002E40C9" w:rsidRDefault="003E09C0" w:rsidP="003E09C0">
      <w:pPr>
        <w:rPr>
          <w:rFonts w:cs="Arial"/>
          <w:szCs w:val="20"/>
          <w:lang w:val="en-US" w:eastAsia="en-AU"/>
        </w:rPr>
      </w:pPr>
      <w:r w:rsidRPr="00797EAA">
        <w:rPr>
          <w:rFonts w:cs="Arial"/>
          <w:szCs w:val="20"/>
          <w:lang w:val="en-US" w:eastAsia="en-AU"/>
        </w:rPr>
        <w:t xml:space="preserve">Rod Curtin was born and raised in Cairns and completed his secondary education at St Augustine’s College. He attained a Bachelor of Law degree through the Queensland University of Technology and was appointed a Barrister-at-Law to the Supreme Court of Queensland and the High Court of Australia in 1987. </w:t>
      </w:r>
      <w:r>
        <w:rPr>
          <w:rFonts w:cs="Arial"/>
          <w:szCs w:val="20"/>
          <w:lang w:val="en-US" w:eastAsia="en-AU"/>
        </w:rPr>
        <w:t>H</w:t>
      </w:r>
      <w:r w:rsidRPr="00797EAA">
        <w:rPr>
          <w:rFonts w:cs="Arial"/>
          <w:szCs w:val="20"/>
          <w:lang w:val="en-US" w:eastAsia="en-AU"/>
        </w:rPr>
        <w:t>is experience involved the conduct of circuits in the Cape York Peninsula and Torres Strait region</w:t>
      </w:r>
      <w:r>
        <w:rPr>
          <w:rFonts w:cs="Arial"/>
          <w:szCs w:val="20"/>
          <w:lang w:val="en-US" w:eastAsia="en-AU"/>
        </w:rPr>
        <w:t>s</w:t>
      </w:r>
      <w:r w:rsidRPr="00797EAA">
        <w:rPr>
          <w:rFonts w:cs="Arial"/>
          <w:szCs w:val="20"/>
          <w:lang w:val="en-US" w:eastAsia="en-AU"/>
        </w:rPr>
        <w:t xml:space="preserve"> for </w:t>
      </w:r>
      <w:r>
        <w:rPr>
          <w:rFonts w:cs="Arial"/>
          <w:szCs w:val="20"/>
          <w:lang w:val="en-US" w:eastAsia="en-AU"/>
        </w:rPr>
        <w:t>more than</w:t>
      </w:r>
      <w:r w:rsidRPr="00797EAA">
        <w:rPr>
          <w:rFonts w:cs="Arial"/>
          <w:szCs w:val="20"/>
          <w:lang w:val="en-US" w:eastAsia="en-AU"/>
        </w:rPr>
        <w:t xml:space="preserve"> </w:t>
      </w:r>
      <w:r>
        <w:rPr>
          <w:rFonts w:cs="Arial"/>
          <w:szCs w:val="20"/>
          <w:lang w:val="en-US" w:eastAsia="en-AU"/>
        </w:rPr>
        <w:t>25</w:t>
      </w:r>
      <w:r w:rsidRPr="00797EAA">
        <w:rPr>
          <w:rFonts w:cs="Arial"/>
          <w:szCs w:val="20"/>
          <w:lang w:val="en-US" w:eastAsia="en-AU"/>
        </w:rPr>
        <w:t xml:space="preserve"> years</w:t>
      </w:r>
      <w:r>
        <w:rPr>
          <w:rFonts w:cs="Arial"/>
          <w:szCs w:val="20"/>
          <w:lang w:val="en-US" w:eastAsia="en-AU"/>
        </w:rPr>
        <w:t>.</w:t>
      </w:r>
    </w:p>
    <w:p w14:paraId="44D9502D" w14:textId="77777777" w:rsidR="003E09C0" w:rsidRDefault="003E09C0" w:rsidP="003E09C0">
      <w:pPr>
        <w:rPr>
          <w:rFonts w:cs="Arial"/>
          <w:szCs w:val="20"/>
          <w:lang w:val="en-US" w:eastAsia="en-AU"/>
        </w:rPr>
      </w:pPr>
      <w:r>
        <w:rPr>
          <w:rFonts w:cs="Arial"/>
          <w:szCs w:val="20"/>
          <w:lang w:val="en-US" w:eastAsia="en-AU"/>
        </w:rPr>
        <w:t xml:space="preserve">Rod crossed paths with the Family Responsibilities Commission when he was appointed to the role of Deputy Commissioner in July 2010. He assisted Commissioner David Glasgow in performing the Commissioner’s functions as required in the communities of Aurukun, Coen, Hope Vale and Mossman Gorge. </w:t>
      </w:r>
      <w:r w:rsidRPr="00797EAA">
        <w:rPr>
          <w:rFonts w:cs="Arial"/>
          <w:szCs w:val="20"/>
          <w:lang w:val="en-US" w:eastAsia="en-AU"/>
        </w:rPr>
        <w:t>His knowledge of the cultural and social issues of people within th</w:t>
      </w:r>
      <w:r>
        <w:rPr>
          <w:rFonts w:cs="Arial"/>
          <w:szCs w:val="20"/>
          <w:lang w:val="en-US" w:eastAsia="en-AU"/>
        </w:rPr>
        <w:t>e</w:t>
      </w:r>
      <w:r w:rsidRPr="00797EAA">
        <w:rPr>
          <w:rFonts w:cs="Arial"/>
          <w:szCs w:val="20"/>
          <w:lang w:val="en-US" w:eastAsia="en-AU"/>
        </w:rPr>
        <w:t xml:space="preserve"> communities</w:t>
      </w:r>
      <w:r>
        <w:rPr>
          <w:rFonts w:cs="Arial"/>
          <w:szCs w:val="20"/>
          <w:lang w:val="en-US" w:eastAsia="en-AU"/>
        </w:rPr>
        <w:t xml:space="preserve"> of the Cape and Gulf was of great benefit to the Commission.</w:t>
      </w:r>
    </w:p>
    <w:p w14:paraId="5FE5B00D" w14:textId="77777777" w:rsidR="003E09C0" w:rsidRDefault="003E09C0" w:rsidP="003E09C0">
      <w:pPr>
        <w:rPr>
          <w:rFonts w:cs="Arial"/>
          <w:szCs w:val="20"/>
          <w:lang w:val="en-US" w:eastAsia="en-AU"/>
        </w:rPr>
      </w:pPr>
      <w:r>
        <w:rPr>
          <w:rFonts w:cs="Arial"/>
          <w:szCs w:val="20"/>
          <w:lang w:val="en-US" w:eastAsia="en-AU"/>
        </w:rPr>
        <w:t>In 2015 Rod took on the responsibilities for the Commission’s work in Doomadgee. Doing so meant fortnightly trips to Doomadgee, each leg of which (to and from) took most of a day in travel. He would then lead and mentor the Doomadgee Local Commissioners in their conferencing processes for three days before returning to Cairns and his family. The work was demanding with the required travel in a small plane in all seasons of the year, living out of a suitcase for a week, and without the support of his family.</w:t>
      </w:r>
    </w:p>
    <w:p w14:paraId="099FDD89" w14:textId="77777777" w:rsidR="003E09C0" w:rsidRDefault="003E09C0" w:rsidP="003E09C0">
      <w:pPr>
        <w:rPr>
          <w:rFonts w:cs="Arial"/>
          <w:szCs w:val="20"/>
          <w:lang w:val="en-US" w:eastAsia="en-AU"/>
        </w:rPr>
      </w:pPr>
      <w:r>
        <w:rPr>
          <w:rFonts w:cs="Arial"/>
          <w:szCs w:val="20"/>
          <w:lang w:val="en-US" w:eastAsia="en-AU"/>
        </w:rPr>
        <w:t>Rod describes his work in Doomadgee as a defining experience. Four years of assisting the Doomadgee Local Commissioners led to close friendships. Local Commissioner Chris Logan stated:</w:t>
      </w:r>
    </w:p>
    <w:p w14:paraId="55027914" w14:textId="77777777" w:rsidR="003E09C0" w:rsidRPr="00B67845" w:rsidRDefault="003E09C0" w:rsidP="003E09C0">
      <w:pPr>
        <w:ind w:left="426" w:right="804"/>
        <w:rPr>
          <w:rFonts w:cs="Arial"/>
          <w:i/>
          <w:szCs w:val="20"/>
          <w:lang w:val="en-US" w:eastAsia="en-AU"/>
        </w:rPr>
      </w:pPr>
      <w:r w:rsidRPr="00B67845">
        <w:rPr>
          <w:rFonts w:cs="Arial"/>
          <w:i/>
          <w:szCs w:val="20"/>
          <w:lang w:val="en-US" w:eastAsia="en-AU"/>
        </w:rPr>
        <w:t>“</w:t>
      </w:r>
      <w:r w:rsidRPr="00B67845">
        <w:rPr>
          <w:i/>
          <w:lang w:val="en-US"/>
        </w:rPr>
        <w:t xml:space="preserve">There is no </w:t>
      </w:r>
      <w:proofErr w:type="spellStart"/>
      <w:r w:rsidRPr="00B67845">
        <w:rPr>
          <w:i/>
          <w:lang w:val="en-US"/>
        </w:rPr>
        <w:t>colour</w:t>
      </w:r>
      <w:proofErr w:type="spellEnd"/>
      <w:r w:rsidRPr="00B67845">
        <w:rPr>
          <w:i/>
          <w:lang w:val="en-US"/>
        </w:rPr>
        <w:t xml:space="preserve"> division in our community… for us, it is those who identify with us who become part of our community and the Deputy Commissioner was all that and more. In </w:t>
      </w:r>
      <w:proofErr w:type="gramStart"/>
      <w:r w:rsidRPr="00B67845">
        <w:rPr>
          <w:i/>
          <w:lang w:val="en-US"/>
        </w:rPr>
        <w:t>fact</w:t>
      </w:r>
      <w:proofErr w:type="gramEnd"/>
      <w:r w:rsidRPr="00B67845">
        <w:rPr>
          <w:i/>
          <w:lang w:val="en-US"/>
        </w:rPr>
        <w:t xml:space="preserve"> we adopted him as family. He understood our struggles and our hurt. He connected with our clients. We always looked forward to seeing him. It has been a great loss to us in Doomadgee.”</w:t>
      </w:r>
    </w:p>
    <w:p w14:paraId="5AEBE9D4" w14:textId="157E0BF9" w:rsidR="003E09C0" w:rsidRDefault="003E09C0" w:rsidP="003E09C0">
      <w:pPr>
        <w:rPr>
          <w:rFonts w:cs="Arial"/>
          <w:szCs w:val="20"/>
          <w:lang w:val="en-US" w:eastAsia="en-AU"/>
        </w:rPr>
      </w:pPr>
      <w:r>
        <w:t xml:space="preserve">With Rod Curtin’s guidance Commissioners </w:t>
      </w:r>
      <w:r w:rsidRPr="00595042">
        <w:rPr>
          <w:lang w:val="en-US"/>
        </w:rPr>
        <w:t>Christopher Logan, Elaine Cairns, Karen Jupiter, Kaylene O’Keefe, Eleanor Logan and Guy Douglas</w:t>
      </w:r>
      <w:r>
        <w:t xml:space="preserve">, have made significant inroads into the work of </w:t>
      </w:r>
      <w:r w:rsidR="00E9306D">
        <w:t>W</w:t>
      </w:r>
      <w:r>
        <w:t xml:space="preserve">elfare </w:t>
      </w:r>
      <w:r w:rsidR="00E9306D">
        <w:t>R</w:t>
      </w:r>
      <w:r>
        <w:t>eform in Doomadgee.</w:t>
      </w:r>
      <w:r>
        <w:rPr>
          <w:rFonts w:cs="Arial"/>
          <w:szCs w:val="20"/>
          <w:lang w:val="en-US" w:eastAsia="en-AU"/>
        </w:rPr>
        <w:t xml:space="preserve"> The best indicator of this has been the Local Commissioners’ capacity to conduct conferences </w:t>
      </w:r>
      <w:proofErr w:type="gramStart"/>
      <w:r>
        <w:rPr>
          <w:rFonts w:cs="Arial"/>
          <w:szCs w:val="20"/>
          <w:lang w:val="en-US" w:eastAsia="en-AU"/>
        </w:rPr>
        <w:t>in their own right within</w:t>
      </w:r>
      <w:proofErr w:type="gramEnd"/>
      <w:r>
        <w:rPr>
          <w:rFonts w:cs="Arial"/>
          <w:szCs w:val="20"/>
          <w:lang w:val="en-US" w:eastAsia="en-AU"/>
        </w:rPr>
        <w:t xml:space="preserve"> a very short period of time.</w:t>
      </w:r>
    </w:p>
    <w:p w14:paraId="277643A2" w14:textId="77777777" w:rsidR="003E09C0" w:rsidRDefault="003E09C0" w:rsidP="003E09C0">
      <w:pPr>
        <w:rPr>
          <w:rFonts w:cs="Arial"/>
          <w:szCs w:val="20"/>
          <w:lang w:val="en-US" w:eastAsia="en-AU"/>
        </w:rPr>
      </w:pPr>
      <w:r>
        <w:rPr>
          <w:rFonts w:cs="Arial"/>
          <w:szCs w:val="20"/>
          <w:lang w:val="en-US" w:eastAsia="en-AU"/>
        </w:rPr>
        <w:t xml:space="preserve">Rod reports that one of his fondest memories was participating in local Doomadgee radio broadcasts with Sai </w:t>
      </w:r>
      <w:proofErr w:type="spellStart"/>
      <w:r w:rsidRPr="003A08E2">
        <w:rPr>
          <w:rFonts w:cs="Arial"/>
          <w:szCs w:val="20"/>
          <w:lang w:val="en-US" w:eastAsia="en-AU"/>
        </w:rPr>
        <w:t>Matainavora</w:t>
      </w:r>
      <w:proofErr w:type="spellEnd"/>
      <w:r w:rsidRPr="003A08E2">
        <w:rPr>
          <w:rFonts w:cs="Arial"/>
          <w:szCs w:val="20"/>
          <w:lang w:val="en-US" w:eastAsia="en-AU"/>
        </w:rPr>
        <w:t xml:space="preserve"> </w:t>
      </w:r>
      <w:r>
        <w:rPr>
          <w:rFonts w:cs="Arial"/>
          <w:szCs w:val="20"/>
          <w:lang w:val="en-US" w:eastAsia="en-AU"/>
        </w:rPr>
        <w:t>from Black Star Radio, promoting the importance of school attendance and transitioning to boarding school to enable further educational opportunities for the children of Doomadgee.</w:t>
      </w:r>
    </w:p>
    <w:p w14:paraId="7F0D5A9D" w14:textId="45B9A355" w:rsidR="003E09C0" w:rsidRDefault="003E09C0" w:rsidP="003E09C0">
      <w:pPr>
        <w:rPr>
          <w:rFonts w:cs="Arial"/>
          <w:szCs w:val="20"/>
          <w:lang w:val="en-US" w:eastAsia="en-AU"/>
        </w:rPr>
      </w:pPr>
      <w:r>
        <w:rPr>
          <w:rFonts w:cs="Arial"/>
          <w:szCs w:val="20"/>
          <w:lang w:val="en-US" w:eastAsia="en-AU"/>
        </w:rPr>
        <w:t xml:space="preserve">Rod’s appointment as Deputy Commissioner ceased on 31 December 2018. </w:t>
      </w:r>
      <w:r w:rsidR="00AD7353">
        <w:rPr>
          <w:rFonts w:cs="Arial"/>
          <w:szCs w:val="20"/>
          <w:lang w:val="en-US" w:eastAsia="en-AU"/>
        </w:rPr>
        <w:t xml:space="preserve">As the </w:t>
      </w:r>
      <w:r w:rsidR="00BC793B">
        <w:rPr>
          <w:rFonts w:cs="Arial"/>
          <w:szCs w:val="20"/>
          <w:lang w:val="en-US" w:eastAsia="en-AU"/>
        </w:rPr>
        <w:t>Deputy Commissioner’s appointment was not renewed by the Queensland Government</w:t>
      </w:r>
      <w:r>
        <w:rPr>
          <w:rFonts w:cs="Arial"/>
          <w:szCs w:val="20"/>
          <w:lang w:val="en-US" w:eastAsia="en-AU"/>
        </w:rPr>
        <w:t xml:space="preserve">, he did not get the opportunity to say his farewells to the Commissioners in Doomadgee and the other welfare reform communities. Commissioner Glasgow invited the former Deputy Commissioner as an </w:t>
      </w:r>
      <w:proofErr w:type="spellStart"/>
      <w:r>
        <w:rPr>
          <w:rFonts w:cs="Arial"/>
          <w:szCs w:val="20"/>
          <w:lang w:val="en-US" w:eastAsia="en-AU"/>
        </w:rPr>
        <w:t>honoured</w:t>
      </w:r>
      <w:proofErr w:type="spellEnd"/>
      <w:r>
        <w:rPr>
          <w:rFonts w:cs="Arial"/>
          <w:szCs w:val="20"/>
          <w:lang w:val="en-US" w:eastAsia="en-AU"/>
        </w:rPr>
        <w:t xml:space="preserve"> guest to the June Local Commissioner Development Week where he was able to personally greet all the Commissioners and make his official departure.</w:t>
      </w:r>
    </w:p>
    <w:p w14:paraId="3E5A4527" w14:textId="77777777" w:rsidR="003E09C0" w:rsidRDefault="003E09C0" w:rsidP="003E09C0">
      <w:pPr>
        <w:rPr>
          <w:rFonts w:cs="Arial"/>
          <w:szCs w:val="20"/>
          <w:lang w:val="en-US" w:eastAsia="en-AU"/>
        </w:rPr>
      </w:pPr>
      <w:r>
        <w:rPr>
          <w:rFonts w:cs="Arial"/>
          <w:szCs w:val="20"/>
          <w:lang w:val="en-US" w:eastAsia="en-AU"/>
        </w:rPr>
        <w:t>Rod’s farewell to the Commissioners stated: “</w:t>
      </w:r>
      <w:r w:rsidRPr="007B1CA7">
        <w:rPr>
          <w:rFonts w:cs="Arial"/>
          <w:i/>
          <w:szCs w:val="20"/>
          <w:lang w:val="en-US" w:eastAsia="en-AU"/>
        </w:rPr>
        <w:t>I will be eternally grateful for the opportunity to share with and work with the Local Commissioners from all of the communities whose strength, dedication and tireless persistence in striving toward creating better communities and setting a wonderful example for the next generation has been inspirational.</w:t>
      </w:r>
      <w:r>
        <w:rPr>
          <w:rFonts w:cs="Arial"/>
          <w:szCs w:val="20"/>
          <w:lang w:val="en-US" w:eastAsia="en-AU"/>
        </w:rPr>
        <w:t>”</w:t>
      </w:r>
    </w:p>
    <w:p w14:paraId="281BB66C" w14:textId="77777777" w:rsidR="003E09C0" w:rsidRDefault="003E09C0" w:rsidP="003E09C0">
      <w:pPr>
        <w:rPr>
          <w:rFonts w:cs="Arial"/>
          <w:szCs w:val="20"/>
          <w:lang w:val="en-US" w:eastAsia="en-AU"/>
        </w:rPr>
        <w:sectPr w:rsidR="003E09C0" w:rsidSect="00066DE4">
          <w:headerReference w:type="even" r:id="rId56"/>
          <w:headerReference w:type="default" r:id="rId57"/>
          <w:headerReference w:type="first" r:id="rId58"/>
          <w:pgSz w:w="11906" w:h="16838"/>
          <w:pgMar w:top="1440" w:right="1134" w:bottom="1440" w:left="1134" w:header="0" w:footer="567" w:gutter="0"/>
          <w:cols w:space="708"/>
          <w:docGrid w:linePitch="360"/>
        </w:sectPr>
      </w:pPr>
      <w:r>
        <w:rPr>
          <w:rFonts w:cs="Arial"/>
          <w:szCs w:val="20"/>
          <w:lang w:val="en-US" w:eastAsia="en-AU"/>
        </w:rPr>
        <w:t>Rod</w:t>
      </w:r>
      <w:r w:rsidRPr="00797EAA">
        <w:rPr>
          <w:rFonts w:cs="Arial"/>
          <w:szCs w:val="20"/>
          <w:lang w:val="en-US" w:eastAsia="en-AU"/>
        </w:rPr>
        <w:t xml:space="preserve"> Curtin </w:t>
      </w:r>
      <w:r>
        <w:rPr>
          <w:rFonts w:cs="Arial"/>
          <w:szCs w:val="20"/>
          <w:lang w:val="en-US" w:eastAsia="en-AU"/>
        </w:rPr>
        <w:t xml:space="preserve">has returned to his private practice where he is a </w:t>
      </w:r>
      <w:r w:rsidRPr="00797EAA">
        <w:rPr>
          <w:rFonts w:cs="Arial"/>
          <w:szCs w:val="20"/>
          <w:lang w:val="en-US" w:eastAsia="en-AU"/>
        </w:rPr>
        <w:t>passionate advocate for the advancement of programs to provide better resources and achieve better outcomes for Indigenous people who appear before the courts</w:t>
      </w:r>
      <w:r>
        <w:rPr>
          <w:rFonts w:cs="Arial"/>
          <w:szCs w:val="20"/>
          <w:lang w:val="en-US" w:eastAsia="en-AU"/>
        </w:rPr>
        <w:t xml:space="preserve">. His </w:t>
      </w:r>
      <w:r w:rsidRPr="00797EAA">
        <w:rPr>
          <w:rFonts w:cs="Arial"/>
          <w:szCs w:val="20"/>
          <w:lang w:val="en-US" w:eastAsia="en-AU"/>
        </w:rPr>
        <w:t>advoc</w:t>
      </w:r>
      <w:r>
        <w:rPr>
          <w:rFonts w:cs="Arial"/>
          <w:szCs w:val="20"/>
          <w:lang w:val="en-US" w:eastAsia="en-AU"/>
        </w:rPr>
        <w:t>acy</w:t>
      </w:r>
      <w:r w:rsidRPr="00797EAA">
        <w:rPr>
          <w:rFonts w:cs="Arial"/>
          <w:szCs w:val="20"/>
          <w:lang w:val="en-US" w:eastAsia="en-AU"/>
        </w:rPr>
        <w:t xml:space="preserve"> for Juvenile Justice issues</w:t>
      </w:r>
      <w:r>
        <w:rPr>
          <w:rFonts w:cs="Arial"/>
          <w:szCs w:val="20"/>
          <w:lang w:val="en-US" w:eastAsia="en-AU"/>
        </w:rPr>
        <w:t xml:space="preserve"> and the rehabilitation of young offenders continues to be a paramount focus for him.</w:t>
      </w:r>
    </w:p>
    <w:p w14:paraId="4A320B20" w14:textId="77777777" w:rsidR="00E06FB2" w:rsidRPr="006C022B" w:rsidRDefault="00E06FB2" w:rsidP="006C022B">
      <w:pPr>
        <w:pStyle w:val="Heading2"/>
      </w:pPr>
      <w:r w:rsidRPr="006C022B">
        <w:lastRenderedPageBreak/>
        <w:t>From the desk of the Registrar</w:t>
      </w:r>
    </w:p>
    <w:p w14:paraId="7CE1A5CF" w14:textId="77777777" w:rsidR="00E06FB2" w:rsidRPr="00A83C1C" w:rsidRDefault="00E06FB2" w:rsidP="006C022B">
      <w:pPr>
        <w:pStyle w:val="Heading3"/>
        <w:rPr>
          <w:i/>
        </w:rPr>
      </w:pPr>
      <w:r w:rsidRPr="00A83C1C">
        <w:t>Operations</w:t>
      </w:r>
    </w:p>
    <w:p w14:paraId="77A2F892" w14:textId="77777777" w:rsidR="00E06FB2" w:rsidRDefault="00E06FB2" w:rsidP="00E06FB2">
      <w:pPr>
        <w:rPr>
          <w:rFonts w:cs="Arial"/>
          <w:color w:val="000000"/>
          <w:szCs w:val="20"/>
          <w:lang w:val="en-US" w:eastAsia="en-AU"/>
        </w:rPr>
      </w:pPr>
      <w:r>
        <w:rPr>
          <w:rFonts w:cs="Arial"/>
          <w:color w:val="000000"/>
          <w:szCs w:val="20"/>
          <w:lang w:val="en-US" w:eastAsia="en-AU"/>
        </w:rPr>
        <w:t xml:space="preserve">What started out as a trial on 1 July 2008 with a legislated end date of 31 December 2011, has now completed 11 years of operations. The Commission has grown from a raw and inexperienced statutory authority with a groundbreaking mandate in Welfare Reform, into an </w:t>
      </w:r>
      <w:proofErr w:type="spellStart"/>
      <w:r>
        <w:rPr>
          <w:rFonts w:cs="Arial"/>
          <w:color w:val="000000"/>
          <w:szCs w:val="20"/>
          <w:lang w:val="en-US" w:eastAsia="en-AU"/>
        </w:rPr>
        <w:t>organisation</w:t>
      </w:r>
      <w:proofErr w:type="spellEnd"/>
      <w:r>
        <w:rPr>
          <w:rFonts w:cs="Arial"/>
          <w:color w:val="000000"/>
          <w:szCs w:val="20"/>
          <w:lang w:val="en-US" w:eastAsia="en-AU"/>
        </w:rPr>
        <w:t xml:space="preserve"> which has significantly grown Indigenous authority and self-determination. It is a testament to the successes achieved in the first three and a-half years of the Commission, and the ongoing successes achieved thereafter, that we are still here today.</w:t>
      </w:r>
    </w:p>
    <w:p w14:paraId="4226FB57" w14:textId="7DA7EF85" w:rsidR="00E06FB2" w:rsidRDefault="00E06FB2" w:rsidP="00E06FB2">
      <w:pPr>
        <w:rPr>
          <w:rFonts w:cs="Arial"/>
          <w:color w:val="000000"/>
          <w:szCs w:val="20"/>
          <w:lang w:val="en-US" w:eastAsia="en-AU"/>
        </w:rPr>
      </w:pPr>
      <w:r>
        <w:rPr>
          <w:rFonts w:cs="Arial"/>
          <w:color w:val="000000"/>
          <w:szCs w:val="20"/>
          <w:lang w:val="en-US" w:eastAsia="en-AU"/>
        </w:rPr>
        <w:t>During the 2008-09 fiscal year the Commission received 1,890 within jurisdiction notices. In our 11</w:t>
      </w:r>
      <w:r w:rsidRPr="00B37C71">
        <w:rPr>
          <w:rFonts w:cs="Arial"/>
          <w:color w:val="000000"/>
          <w:szCs w:val="20"/>
          <w:vertAlign w:val="superscript"/>
          <w:lang w:val="en-US" w:eastAsia="en-AU"/>
        </w:rPr>
        <w:t>th</w:t>
      </w:r>
      <w:r>
        <w:rPr>
          <w:rFonts w:cs="Arial"/>
          <w:color w:val="000000"/>
          <w:szCs w:val="20"/>
          <w:lang w:val="en-US" w:eastAsia="en-AU"/>
        </w:rPr>
        <w:t xml:space="preserve"> year we report having received </w:t>
      </w:r>
      <w:r w:rsidRPr="007C1681">
        <w:rPr>
          <w:rFonts w:cs="Arial"/>
          <w:color w:val="000000"/>
          <w:szCs w:val="20"/>
          <w:lang w:val="en-US" w:eastAsia="en-AU"/>
        </w:rPr>
        <w:t>5,67</w:t>
      </w:r>
      <w:r w:rsidR="006218B0">
        <w:rPr>
          <w:rFonts w:cs="Arial"/>
          <w:color w:val="000000"/>
          <w:szCs w:val="20"/>
          <w:lang w:val="en-US" w:eastAsia="en-AU"/>
        </w:rPr>
        <w:t>0</w:t>
      </w:r>
      <w:r>
        <w:rPr>
          <w:rFonts w:cs="Arial"/>
          <w:color w:val="000000"/>
          <w:szCs w:val="20"/>
          <w:lang w:val="en-US" w:eastAsia="en-AU"/>
        </w:rPr>
        <w:t xml:space="preserve"> within jurisdiction notices. </w:t>
      </w:r>
      <w:proofErr w:type="gramStart"/>
      <w:r>
        <w:rPr>
          <w:rFonts w:cs="Arial"/>
          <w:color w:val="000000"/>
          <w:szCs w:val="20"/>
          <w:lang w:val="en-US" w:eastAsia="en-AU"/>
        </w:rPr>
        <w:t>The majority of</w:t>
      </w:r>
      <w:proofErr w:type="gramEnd"/>
      <w:r>
        <w:rPr>
          <w:rFonts w:cs="Arial"/>
          <w:color w:val="000000"/>
          <w:szCs w:val="20"/>
          <w:lang w:val="en-US" w:eastAsia="en-AU"/>
        </w:rPr>
        <w:t xml:space="preserve"> notices received were for </w:t>
      </w:r>
      <w:r w:rsidR="007B4873">
        <w:rPr>
          <w:rFonts w:cs="Arial"/>
          <w:color w:val="000000"/>
          <w:szCs w:val="20"/>
          <w:lang w:val="en-US" w:eastAsia="en-AU"/>
        </w:rPr>
        <w:t>S</w:t>
      </w:r>
      <w:r>
        <w:rPr>
          <w:rFonts w:cs="Arial"/>
          <w:color w:val="000000"/>
          <w:szCs w:val="20"/>
          <w:lang w:val="en-US" w:eastAsia="en-AU"/>
        </w:rPr>
        <w:t xml:space="preserve">chool </w:t>
      </w:r>
      <w:r w:rsidR="007B4873">
        <w:rPr>
          <w:rFonts w:cs="Arial"/>
          <w:color w:val="000000"/>
          <w:szCs w:val="20"/>
          <w:lang w:val="en-US" w:eastAsia="en-AU"/>
        </w:rPr>
        <w:t>A</w:t>
      </w:r>
      <w:r>
        <w:rPr>
          <w:rFonts w:cs="Arial"/>
          <w:color w:val="000000"/>
          <w:szCs w:val="20"/>
          <w:lang w:val="en-US" w:eastAsia="en-AU"/>
        </w:rPr>
        <w:t>ttendance, followed by Magistrate Court, Domestic Violence Offence</w:t>
      </w:r>
      <w:r w:rsidR="00C24FB8">
        <w:rPr>
          <w:rFonts w:cs="Arial"/>
          <w:color w:val="000000"/>
          <w:szCs w:val="20"/>
          <w:lang w:val="en-US" w:eastAsia="en-AU"/>
        </w:rPr>
        <w:t>s</w:t>
      </w:r>
      <w:r>
        <w:rPr>
          <w:rFonts w:cs="Arial"/>
          <w:color w:val="000000"/>
          <w:szCs w:val="20"/>
          <w:lang w:val="en-US" w:eastAsia="en-AU"/>
        </w:rPr>
        <w:t xml:space="preserve"> </w:t>
      </w:r>
      <w:r w:rsidRPr="00D43432">
        <w:rPr>
          <w:rFonts w:cs="Arial"/>
          <w:color w:val="000000"/>
          <w:szCs w:val="20"/>
          <w:lang w:val="en-US" w:eastAsia="en-AU"/>
        </w:rPr>
        <w:t xml:space="preserve">and then Child Safety </w:t>
      </w:r>
      <w:r w:rsidR="00667F7D">
        <w:rPr>
          <w:rFonts w:cs="Arial"/>
          <w:color w:val="000000"/>
          <w:szCs w:val="20"/>
          <w:lang w:val="en-US" w:eastAsia="en-AU"/>
        </w:rPr>
        <w:t xml:space="preserve">and Welfare </w:t>
      </w:r>
      <w:r w:rsidRPr="00D43432">
        <w:rPr>
          <w:rFonts w:cs="Arial"/>
          <w:color w:val="000000"/>
          <w:szCs w:val="20"/>
          <w:lang w:val="en-US" w:eastAsia="en-AU"/>
        </w:rPr>
        <w:t xml:space="preserve">notices. Information regarding our performance during the year </w:t>
      </w:r>
      <w:proofErr w:type="gramStart"/>
      <w:r w:rsidRPr="00D43432">
        <w:rPr>
          <w:rFonts w:cs="Arial"/>
          <w:color w:val="000000"/>
          <w:szCs w:val="20"/>
          <w:lang w:val="en-US" w:eastAsia="en-AU"/>
        </w:rPr>
        <w:t>is located in</w:t>
      </w:r>
      <w:proofErr w:type="gramEnd"/>
      <w:r w:rsidRPr="00D43432">
        <w:rPr>
          <w:rFonts w:cs="Arial"/>
          <w:color w:val="000000"/>
          <w:szCs w:val="20"/>
          <w:lang w:val="en-US" w:eastAsia="en-AU"/>
        </w:rPr>
        <w:t xml:space="preserve"> Our </w:t>
      </w:r>
      <w:r w:rsidR="00AA54E0">
        <w:rPr>
          <w:rFonts w:cs="Arial"/>
          <w:color w:val="000000"/>
          <w:szCs w:val="20"/>
          <w:lang w:val="en-US" w:eastAsia="en-AU"/>
        </w:rPr>
        <w:t>p</w:t>
      </w:r>
      <w:r w:rsidRPr="00D43432">
        <w:rPr>
          <w:rFonts w:cs="Arial"/>
          <w:color w:val="000000"/>
          <w:szCs w:val="20"/>
          <w:lang w:val="en-US" w:eastAsia="en-AU"/>
        </w:rPr>
        <w:t xml:space="preserve">erformance – </w:t>
      </w:r>
      <w:r w:rsidR="00AA54E0">
        <w:rPr>
          <w:rFonts w:cs="Arial"/>
          <w:color w:val="000000"/>
          <w:szCs w:val="20"/>
          <w:lang w:val="en-US" w:eastAsia="en-AU"/>
        </w:rPr>
        <w:t>r</w:t>
      </w:r>
      <w:r w:rsidRPr="00D43432">
        <w:rPr>
          <w:rFonts w:cs="Arial"/>
          <w:color w:val="000000"/>
          <w:szCs w:val="20"/>
          <w:lang w:val="en-US" w:eastAsia="en-AU"/>
        </w:rPr>
        <w:t xml:space="preserve">eview of </w:t>
      </w:r>
      <w:r w:rsidR="00AA54E0">
        <w:rPr>
          <w:rFonts w:cs="Arial"/>
          <w:color w:val="000000"/>
          <w:szCs w:val="20"/>
          <w:lang w:val="en-US" w:eastAsia="en-AU"/>
        </w:rPr>
        <w:t>o</w:t>
      </w:r>
      <w:r w:rsidRPr="00AD1D1E">
        <w:rPr>
          <w:rFonts w:cs="Arial"/>
          <w:color w:val="000000"/>
          <w:szCs w:val="20"/>
          <w:lang w:val="en-US" w:eastAsia="en-AU"/>
        </w:rPr>
        <w:t xml:space="preserve">perations </w:t>
      </w:r>
      <w:r w:rsidR="00F6663F" w:rsidRPr="00AD1D1E">
        <w:rPr>
          <w:rFonts w:cs="Arial"/>
          <w:color w:val="000000"/>
          <w:szCs w:val="20"/>
          <w:lang w:val="en-US" w:eastAsia="en-AU"/>
        </w:rPr>
        <w:t>on</w:t>
      </w:r>
      <w:r w:rsidRPr="00AD1D1E">
        <w:rPr>
          <w:rFonts w:cs="Arial"/>
          <w:color w:val="000000"/>
          <w:szCs w:val="20"/>
          <w:lang w:val="en-US" w:eastAsia="en-AU"/>
        </w:rPr>
        <w:t xml:space="preserve"> page </w:t>
      </w:r>
      <w:r w:rsidR="00330997" w:rsidRPr="00AD1D1E">
        <w:rPr>
          <w:rFonts w:cs="Arial"/>
          <w:color w:val="000000"/>
          <w:szCs w:val="20"/>
          <w:lang w:val="en-US" w:eastAsia="en-AU"/>
        </w:rPr>
        <w:t>52.</w:t>
      </w:r>
    </w:p>
    <w:p w14:paraId="6C850DA6" w14:textId="0747F43B" w:rsidR="00E06FB2" w:rsidRPr="00A949CF" w:rsidRDefault="002655E6" w:rsidP="00E06FB2">
      <w:pPr>
        <w:rPr>
          <w:rFonts w:cs="Arial"/>
          <w:color w:val="000000"/>
          <w:szCs w:val="20"/>
          <w:lang w:eastAsia="en-AU"/>
        </w:rPr>
      </w:pPr>
      <w:r>
        <w:rPr>
          <w:rFonts w:cs="Arial"/>
          <w:color w:val="000000"/>
          <w:szCs w:val="20"/>
          <w:lang w:eastAsia="en-AU"/>
        </w:rPr>
        <w:t xml:space="preserve">Dr Chris </w:t>
      </w:r>
      <w:proofErr w:type="spellStart"/>
      <w:r>
        <w:rPr>
          <w:rFonts w:cs="Arial"/>
          <w:color w:val="000000"/>
          <w:szCs w:val="20"/>
          <w:lang w:eastAsia="en-AU"/>
        </w:rPr>
        <w:t>Sarra</w:t>
      </w:r>
      <w:proofErr w:type="spellEnd"/>
      <w:r>
        <w:rPr>
          <w:rFonts w:cs="Arial"/>
          <w:color w:val="000000"/>
          <w:szCs w:val="20"/>
          <w:lang w:eastAsia="en-AU"/>
        </w:rPr>
        <w:t xml:space="preserve">, Director-General, DATSIP visited Aurukun, Doomadgee, Hope Vale and Mossman Gorge to discuss Local Thriving Communities during the reporting period, but did not visit Coen due to </w:t>
      </w:r>
      <w:r w:rsidR="008609CB">
        <w:rPr>
          <w:rFonts w:cs="Arial"/>
          <w:color w:val="000000"/>
          <w:szCs w:val="20"/>
          <w:lang w:eastAsia="en-AU"/>
        </w:rPr>
        <w:t>s</w:t>
      </w:r>
      <w:r>
        <w:rPr>
          <w:rFonts w:cs="Arial"/>
          <w:color w:val="000000"/>
          <w:szCs w:val="20"/>
          <w:lang w:eastAsia="en-AU"/>
        </w:rPr>
        <w:t xml:space="preserve">orry </w:t>
      </w:r>
      <w:r w:rsidR="008609CB">
        <w:rPr>
          <w:rFonts w:cs="Arial"/>
          <w:color w:val="000000"/>
          <w:szCs w:val="20"/>
          <w:lang w:eastAsia="en-AU"/>
        </w:rPr>
        <w:t>b</w:t>
      </w:r>
      <w:r>
        <w:rPr>
          <w:rFonts w:cs="Arial"/>
          <w:color w:val="000000"/>
          <w:szCs w:val="20"/>
          <w:lang w:eastAsia="en-AU"/>
        </w:rPr>
        <w:t>usiness and other commitments</w:t>
      </w:r>
      <w:r w:rsidR="00E06FB2">
        <w:rPr>
          <w:rFonts w:cs="Arial"/>
          <w:color w:val="000000"/>
          <w:szCs w:val="20"/>
          <w:lang w:eastAsia="en-AU"/>
        </w:rPr>
        <w:t>.</w:t>
      </w:r>
      <w:r w:rsidR="00E06FB2" w:rsidRPr="00A949CF">
        <w:rPr>
          <w:rFonts w:cs="Arial"/>
          <w:color w:val="000000"/>
          <w:szCs w:val="20"/>
          <w:lang w:eastAsia="en-AU"/>
        </w:rPr>
        <w:t xml:space="preserve"> </w:t>
      </w:r>
      <w:r w:rsidR="00E06FB2">
        <w:rPr>
          <w:rFonts w:cs="Arial"/>
          <w:color w:val="000000"/>
          <w:szCs w:val="20"/>
          <w:lang w:eastAsia="en-AU"/>
        </w:rPr>
        <w:t xml:space="preserve">Local Thriving Communities </w:t>
      </w:r>
      <w:r w:rsidR="00E06FB2" w:rsidRPr="00A949CF">
        <w:rPr>
          <w:rFonts w:cs="Arial"/>
          <w:color w:val="000000"/>
          <w:szCs w:val="20"/>
          <w:lang w:eastAsia="en-AU"/>
        </w:rPr>
        <w:t xml:space="preserve">delivers the Government’s response to the </w:t>
      </w:r>
      <w:r w:rsidR="0021126A">
        <w:rPr>
          <w:rFonts w:cs="Arial"/>
          <w:color w:val="000000"/>
          <w:szCs w:val="20"/>
          <w:lang w:eastAsia="en-AU"/>
        </w:rPr>
        <w:t xml:space="preserve">QPC </w:t>
      </w:r>
      <w:r w:rsidR="00E06FB2" w:rsidRPr="00A949CF">
        <w:rPr>
          <w:rFonts w:cs="Arial"/>
          <w:color w:val="000000"/>
          <w:szCs w:val="20"/>
          <w:lang w:eastAsia="en-AU"/>
        </w:rPr>
        <w:t xml:space="preserve">report on its inquiry into service delivery in discrete Aboriginal and Torres Strait Islander communities. </w:t>
      </w:r>
      <w:r w:rsidR="00E06FB2" w:rsidRPr="009B6409">
        <w:rPr>
          <w:rFonts w:cs="Arial"/>
          <w:color w:val="000000"/>
          <w:szCs w:val="20"/>
          <w:lang w:eastAsia="en-AU"/>
        </w:rPr>
        <w:t>On 27 November the Deputy Premier, Treasurer and Minister for Aboriginal and Torres Strait Islander Partnerships</w:t>
      </w:r>
      <w:r w:rsidR="006C1F8D">
        <w:rPr>
          <w:rFonts w:cs="Arial"/>
          <w:color w:val="000000"/>
          <w:szCs w:val="20"/>
          <w:lang w:eastAsia="en-AU"/>
        </w:rPr>
        <w:t>,</w:t>
      </w:r>
      <w:r w:rsidR="00E06FB2">
        <w:rPr>
          <w:rFonts w:cs="Arial"/>
          <w:color w:val="000000"/>
          <w:szCs w:val="20"/>
          <w:lang w:eastAsia="en-AU"/>
        </w:rPr>
        <w:t xml:space="preserve"> the</w:t>
      </w:r>
      <w:r w:rsidR="00E06FB2" w:rsidRPr="009B6409">
        <w:rPr>
          <w:rFonts w:cs="Arial"/>
          <w:color w:val="000000"/>
          <w:szCs w:val="20"/>
          <w:lang w:eastAsia="en-AU"/>
        </w:rPr>
        <w:t xml:space="preserve"> </w:t>
      </w:r>
      <w:r w:rsidR="00E06FB2">
        <w:rPr>
          <w:rFonts w:cs="Arial"/>
          <w:color w:val="000000"/>
          <w:szCs w:val="20"/>
          <w:lang w:eastAsia="en-AU"/>
        </w:rPr>
        <w:t>Hon</w:t>
      </w:r>
      <w:r w:rsidR="00DC21CC">
        <w:rPr>
          <w:rFonts w:cs="Arial"/>
          <w:color w:val="000000"/>
          <w:szCs w:val="20"/>
          <w:lang w:eastAsia="en-AU"/>
        </w:rPr>
        <w:t>ourable</w:t>
      </w:r>
      <w:r w:rsidR="00E06FB2">
        <w:rPr>
          <w:rFonts w:cs="Arial"/>
          <w:color w:val="000000"/>
          <w:szCs w:val="20"/>
          <w:lang w:eastAsia="en-AU"/>
        </w:rPr>
        <w:t xml:space="preserve"> Jackie Trad MP</w:t>
      </w:r>
      <w:r w:rsidR="00717015">
        <w:rPr>
          <w:rFonts w:cs="Arial"/>
          <w:color w:val="000000"/>
          <w:szCs w:val="20"/>
          <w:lang w:eastAsia="en-AU"/>
        </w:rPr>
        <w:t>,</w:t>
      </w:r>
      <w:r w:rsidR="00E06FB2">
        <w:rPr>
          <w:rFonts w:cs="Arial"/>
          <w:color w:val="000000"/>
          <w:szCs w:val="20"/>
          <w:lang w:eastAsia="en-AU"/>
        </w:rPr>
        <w:t xml:space="preserve"> </w:t>
      </w:r>
      <w:r w:rsidR="00E06FB2" w:rsidRPr="009B6409">
        <w:rPr>
          <w:rFonts w:cs="Arial"/>
          <w:color w:val="000000"/>
          <w:szCs w:val="20"/>
          <w:lang w:eastAsia="en-AU"/>
        </w:rPr>
        <w:t xml:space="preserve">formally announced that the Commission, along with the welfare reform communities of Aurukun, Coen, Doomadgee, Hope Vale and Mossman Gorge, would be transitioning to the Queensland Government’s </w:t>
      </w:r>
      <w:r w:rsidR="0031180F">
        <w:rPr>
          <w:rFonts w:cs="Arial"/>
          <w:color w:val="000000"/>
          <w:szCs w:val="20"/>
          <w:lang w:eastAsia="en-AU"/>
        </w:rPr>
        <w:t xml:space="preserve">Local </w:t>
      </w:r>
      <w:r w:rsidR="00E06FB2" w:rsidRPr="009B6409">
        <w:rPr>
          <w:rFonts w:cs="Arial"/>
          <w:color w:val="000000"/>
          <w:szCs w:val="20"/>
          <w:lang w:eastAsia="en-AU"/>
        </w:rPr>
        <w:t>Thriving Communities approach. What th</w:t>
      </w:r>
      <w:r w:rsidR="00E06FB2">
        <w:rPr>
          <w:rFonts w:cs="Arial"/>
          <w:color w:val="000000"/>
          <w:szCs w:val="20"/>
          <w:lang w:eastAsia="en-AU"/>
        </w:rPr>
        <w:t>e transition</w:t>
      </w:r>
      <w:r w:rsidR="00E06FB2" w:rsidRPr="009B6409">
        <w:rPr>
          <w:rFonts w:cs="Arial"/>
          <w:color w:val="000000"/>
          <w:szCs w:val="20"/>
          <w:lang w:eastAsia="en-AU"/>
        </w:rPr>
        <w:t xml:space="preserve"> will mean for the operations of the Commission is yet to be determined</w:t>
      </w:r>
      <w:r w:rsidR="00E06FB2">
        <w:rPr>
          <w:rFonts w:cs="Arial"/>
          <w:color w:val="000000"/>
          <w:szCs w:val="20"/>
          <w:lang w:eastAsia="en-AU"/>
        </w:rPr>
        <w:t xml:space="preserve">. </w:t>
      </w:r>
      <w:r w:rsidR="00E06FB2" w:rsidRPr="00A949CF">
        <w:rPr>
          <w:rFonts w:cs="Arial"/>
          <w:color w:val="000000"/>
          <w:szCs w:val="20"/>
          <w:lang w:eastAsia="en-AU"/>
        </w:rPr>
        <w:t>The Commission is informed the Government will be implementing Local Thriving Communities across all 19 remote and discrete Aboriginal and Torres Strait Islander communities in co-design with communities.</w:t>
      </w:r>
    </w:p>
    <w:p w14:paraId="4769795D" w14:textId="77777777" w:rsidR="00E06FB2" w:rsidRPr="008E7494" w:rsidRDefault="00E06FB2" w:rsidP="00E06FB2">
      <w:pPr>
        <w:rPr>
          <w:rFonts w:cs="Arial"/>
          <w:color w:val="000000"/>
          <w:szCs w:val="20"/>
          <w:lang w:val="en-US" w:eastAsia="en-AU"/>
        </w:rPr>
      </w:pPr>
      <w:r w:rsidRPr="008E7494">
        <w:rPr>
          <w:rFonts w:cs="Arial"/>
          <w:color w:val="000000"/>
          <w:szCs w:val="20"/>
          <w:lang w:val="en-US" w:eastAsia="en-AU"/>
        </w:rPr>
        <w:t xml:space="preserve">Aside from the uncertain future which the Local Commissioners and staff </w:t>
      </w:r>
      <w:r>
        <w:rPr>
          <w:rFonts w:cs="Arial"/>
          <w:color w:val="000000"/>
          <w:szCs w:val="20"/>
          <w:lang w:val="en-US" w:eastAsia="en-AU"/>
        </w:rPr>
        <w:t>continue</w:t>
      </w:r>
      <w:r w:rsidRPr="008E7494">
        <w:rPr>
          <w:rFonts w:cs="Arial"/>
          <w:color w:val="000000"/>
          <w:szCs w:val="20"/>
          <w:lang w:val="en-US" w:eastAsia="en-AU"/>
        </w:rPr>
        <w:t xml:space="preserve"> </w:t>
      </w:r>
      <w:r>
        <w:rPr>
          <w:rFonts w:cs="Arial"/>
          <w:color w:val="000000"/>
          <w:szCs w:val="20"/>
          <w:lang w:val="en-US" w:eastAsia="en-AU"/>
        </w:rPr>
        <w:t xml:space="preserve">to </w:t>
      </w:r>
      <w:r w:rsidRPr="008E7494">
        <w:rPr>
          <w:rFonts w:cs="Arial"/>
          <w:color w:val="000000"/>
          <w:szCs w:val="20"/>
          <w:lang w:val="en-US" w:eastAsia="en-AU"/>
        </w:rPr>
        <w:t xml:space="preserve">face, we are also looking to a change of leadership </w:t>
      </w:r>
      <w:r>
        <w:rPr>
          <w:rFonts w:cs="Arial"/>
          <w:color w:val="000000"/>
          <w:szCs w:val="20"/>
          <w:lang w:val="en-US" w:eastAsia="en-AU"/>
        </w:rPr>
        <w:t>in</w:t>
      </w:r>
      <w:r w:rsidRPr="008E7494">
        <w:rPr>
          <w:rFonts w:cs="Arial"/>
          <w:color w:val="000000"/>
          <w:szCs w:val="20"/>
          <w:lang w:val="en-US" w:eastAsia="en-AU"/>
        </w:rPr>
        <w:t xml:space="preserve"> the 201</w:t>
      </w:r>
      <w:r>
        <w:rPr>
          <w:rFonts w:cs="Arial"/>
          <w:color w:val="000000"/>
          <w:szCs w:val="20"/>
          <w:lang w:val="en-US" w:eastAsia="en-AU"/>
        </w:rPr>
        <w:t>9-20</w:t>
      </w:r>
      <w:r w:rsidRPr="008E7494">
        <w:rPr>
          <w:rFonts w:cs="Arial"/>
          <w:color w:val="000000"/>
          <w:szCs w:val="20"/>
          <w:lang w:val="en-US" w:eastAsia="en-AU"/>
        </w:rPr>
        <w:t xml:space="preserve"> </w:t>
      </w:r>
      <w:r>
        <w:rPr>
          <w:rFonts w:cs="Arial"/>
          <w:color w:val="000000"/>
          <w:szCs w:val="20"/>
          <w:lang w:val="en-US" w:eastAsia="en-AU"/>
        </w:rPr>
        <w:t>financial</w:t>
      </w:r>
      <w:r w:rsidRPr="008E7494">
        <w:rPr>
          <w:rFonts w:cs="Arial"/>
          <w:color w:val="000000"/>
          <w:szCs w:val="20"/>
          <w:lang w:val="en-US" w:eastAsia="en-AU"/>
        </w:rPr>
        <w:t xml:space="preserve"> year with the </w:t>
      </w:r>
      <w:r>
        <w:rPr>
          <w:rFonts w:cs="Arial"/>
          <w:color w:val="000000"/>
          <w:szCs w:val="20"/>
          <w:lang w:val="en-US" w:eastAsia="en-AU"/>
        </w:rPr>
        <w:t xml:space="preserve">upcoming </w:t>
      </w:r>
      <w:r w:rsidRPr="008E7494">
        <w:rPr>
          <w:rFonts w:cs="Arial"/>
          <w:color w:val="000000"/>
          <w:szCs w:val="20"/>
          <w:lang w:val="en-US" w:eastAsia="en-AU"/>
        </w:rPr>
        <w:t xml:space="preserve">retirement of Commissioner David Glasgow. </w:t>
      </w:r>
      <w:r>
        <w:rPr>
          <w:rFonts w:cs="Arial"/>
          <w:color w:val="000000"/>
          <w:szCs w:val="20"/>
          <w:lang w:val="en-US" w:eastAsia="en-AU"/>
        </w:rPr>
        <w:t>We look forward to greeting the new FRC Commissioner who will lead us into the next chapter. O</w:t>
      </w:r>
      <w:r w:rsidRPr="008E7494">
        <w:rPr>
          <w:rFonts w:cs="Arial"/>
          <w:color w:val="000000"/>
          <w:szCs w:val="20"/>
          <w:lang w:val="en-US" w:eastAsia="en-AU"/>
        </w:rPr>
        <w:t xml:space="preserve">ur responsibility is to </w:t>
      </w:r>
      <w:r>
        <w:rPr>
          <w:rFonts w:cs="Arial"/>
          <w:color w:val="000000"/>
          <w:szCs w:val="20"/>
          <w:lang w:val="en-US" w:eastAsia="en-AU"/>
        </w:rPr>
        <w:t xml:space="preserve">assist in evolving the Commission based on the lessons we’ve learnt and to </w:t>
      </w:r>
      <w:r w:rsidRPr="008E7494">
        <w:rPr>
          <w:rFonts w:cs="Arial"/>
          <w:color w:val="000000"/>
          <w:szCs w:val="20"/>
          <w:lang w:val="en-US" w:eastAsia="en-AU"/>
        </w:rPr>
        <w:t xml:space="preserve">ensure </w:t>
      </w:r>
      <w:r>
        <w:rPr>
          <w:rFonts w:cs="Arial"/>
          <w:color w:val="000000"/>
          <w:szCs w:val="20"/>
          <w:lang w:val="en-US" w:eastAsia="en-AU"/>
        </w:rPr>
        <w:t>the Local Commissioners are enabled to continue their empowering work in community</w:t>
      </w:r>
      <w:r w:rsidRPr="008E7494">
        <w:rPr>
          <w:rFonts w:cs="Arial"/>
          <w:color w:val="000000"/>
          <w:szCs w:val="20"/>
          <w:lang w:val="en-US" w:eastAsia="en-AU"/>
        </w:rPr>
        <w:t>.</w:t>
      </w:r>
    </w:p>
    <w:p w14:paraId="3461B988" w14:textId="77777777" w:rsidR="00E06FB2" w:rsidRPr="00A83C1C" w:rsidRDefault="00E06FB2" w:rsidP="006C022B">
      <w:pPr>
        <w:pStyle w:val="Heading3"/>
        <w:rPr>
          <w:i/>
        </w:rPr>
      </w:pPr>
      <w:r w:rsidRPr="00A83C1C">
        <w:t>Local Commissioners</w:t>
      </w:r>
    </w:p>
    <w:p w14:paraId="769DA6EF" w14:textId="5E3D0701" w:rsidR="00E06FB2" w:rsidRDefault="00E06FB2" w:rsidP="00E06FB2">
      <w:pPr>
        <w:rPr>
          <w:rFonts w:cs="Arial"/>
          <w:color w:val="000000"/>
          <w:szCs w:val="20"/>
          <w:lang w:eastAsia="en-AU"/>
        </w:rPr>
      </w:pPr>
      <w:r w:rsidRPr="00172082">
        <w:rPr>
          <w:rFonts w:cs="Arial"/>
          <w:color w:val="000000"/>
          <w:szCs w:val="20"/>
          <w:lang w:eastAsia="en-AU"/>
        </w:rPr>
        <w:t xml:space="preserve">The mood and activity </w:t>
      </w:r>
      <w:r>
        <w:rPr>
          <w:rFonts w:cs="Arial"/>
          <w:color w:val="000000"/>
          <w:szCs w:val="20"/>
          <w:lang w:eastAsia="en-AU"/>
        </w:rPr>
        <w:t>in the last half of this year w</w:t>
      </w:r>
      <w:r w:rsidRPr="00172082">
        <w:rPr>
          <w:rFonts w:cs="Arial"/>
          <w:color w:val="000000"/>
          <w:szCs w:val="20"/>
          <w:lang w:eastAsia="en-AU"/>
        </w:rPr>
        <w:t xml:space="preserve">as very much influenced by the appointment and non-appointment of the Commissioner and Deputy Commissioner respectively. The appointment on a part-time basis of Commissioner David Glasgow affected his ability to visit and support all five FRC communities, particularly </w:t>
      </w:r>
      <w:proofErr w:type="gramStart"/>
      <w:r w:rsidRPr="00172082">
        <w:rPr>
          <w:rFonts w:cs="Arial"/>
          <w:color w:val="000000"/>
          <w:szCs w:val="20"/>
          <w:lang w:eastAsia="en-AU"/>
        </w:rPr>
        <w:t>in light of</w:t>
      </w:r>
      <w:proofErr w:type="gramEnd"/>
      <w:r w:rsidRPr="00172082">
        <w:rPr>
          <w:rFonts w:cs="Arial"/>
          <w:color w:val="000000"/>
          <w:szCs w:val="20"/>
          <w:lang w:eastAsia="en-AU"/>
        </w:rPr>
        <w:t xml:space="preserve"> his relocation to Townsville in 2018 and no further support available from a deputy. Local Commissioners are conducting </w:t>
      </w:r>
      <w:proofErr w:type="gramStart"/>
      <w:r w:rsidRPr="00172082">
        <w:rPr>
          <w:rFonts w:cs="Arial"/>
          <w:color w:val="000000"/>
          <w:szCs w:val="20"/>
          <w:lang w:eastAsia="en-AU"/>
        </w:rPr>
        <w:t>conferences in their own right, however</w:t>
      </w:r>
      <w:proofErr w:type="gramEnd"/>
      <w:r w:rsidRPr="00172082">
        <w:rPr>
          <w:rFonts w:cs="Arial"/>
          <w:color w:val="000000"/>
          <w:szCs w:val="20"/>
          <w:lang w:eastAsia="en-AU"/>
        </w:rPr>
        <w:t xml:space="preserve">, they have reported missing the support and mentoring provided by both Commissioner Glasgow and former Deputy Commissioner Curtin. The uncertainty surrounding the future of the Commission and Welfare Reform has affected </w:t>
      </w:r>
      <w:r>
        <w:rPr>
          <w:rFonts w:cs="Arial"/>
          <w:color w:val="000000"/>
          <w:szCs w:val="20"/>
          <w:lang w:eastAsia="en-AU"/>
        </w:rPr>
        <w:t>m</w:t>
      </w:r>
      <w:r w:rsidRPr="00172082">
        <w:rPr>
          <w:rFonts w:cs="Arial"/>
          <w:color w:val="000000"/>
          <w:szCs w:val="20"/>
          <w:lang w:eastAsia="en-AU"/>
        </w:rPr>
        <w:t>orale</w:t>
      </w:r>
      <w:r>
        <w:rPr>
          <w:rFonts w:cs="Arial"/>
          <w:color w:val="000000"/>
          <w:szCs w:val="20"/>
          <w:lang w:eastAsia="en-AU"/>
        </w:rPr>
        <w:t>. The Local Commissioner</w:t>
      </w:r>
      <w:r w:rsidR="009667A6">
        <w:rPr>
          <w:rFonts w:cs="Arial"/>
          <w:color w:val="000000"/>
          <w:szCs w:val="20"/>
          <w:lang w:eastAsia="en-AU"/>
        </w:rPr>
        <w:t>s’</w:t>
      </w:r>
      <w:r>
        <w:rPr>
          <w:rFonts w:cs="Arial"/>
          <w:color w:val="000000"/>
          <w:szCs w:val="20"/>
          <w:lang w:eastAsia="en-AU"/>
        </w:rPr>
        <w:t xml:space="preserve"> </w:t>
      </w:r>
      <w:r w:rsidR="00AE2343">
        <w:rPr>
          <w:rFonts w:cs="Arial"/>
          <w:color w:val="000000"/>
          <w:szCs w:val="20"/>
          <w:lang w:eastAsia="en-AU"/>
        </w:rPr>
        <w:t>y</w:t>
      </w:r>
      <w:r>
        <w:rPr>
          <w:rFonts w:cs="Arial"/>
          <w:color w:val="000000"/>
          <w:szCs w:val="20"/>
          <w:lang w:eastAsia="en-AU"/>
        </w:rPr>
        <w:t xml:space="preserve">ear in </w:t>
      </w:r>
      <w:r w:rsidR="00AE2343">
        <w:rPr>
          <w:rFonts w:cs="Arial"/>
          <w:color w:val="000000"/>
          <w:szCs w:val="20"/>
          <w:lang w:eastAsia="en-AU"/>
        </w:rPr>
        <w:t>r</w:t>
      </w:r>
      <w:r>
        <w:rPr>
          <w:rFonts w:cs="Arial"/>
          <w:color w:val="000000"/>
          <w:szCs w:val="20"/>
          <w:lang w:eastAsia="en-AU"/>
        </w:rPr>
        <w:t xml:space="preserve">eview </w:t>
      </w:r>
      <w:r w:rsidR="00AE2343">
        <w:rPr>
          <w:rFonts w:cs="Arial"/>
          <w:color w:val="000000"/>
          <w:szCs w:val="20"/>
          <w:lang w:eastAsia="en-AU"/>
        </w:rPr>
        <w:t>r</w:t>
      </w:r>
      <w:r>
        <w:rPr>
          <w:rFonts w:cs="Arial"/>
          <w:color w:val="000000"/>
          <w:szCs w:val="20"/>
          <w:lang w:eastAsia="en-AU"/>
        </w:rPr>
        <w:t>eports provide the views of the Local Commissioners in more detail and I will let those reports speak for themselves</w:t>
      </w:r>
      <w:r w:rsidRPr="00172082">
        <w:rPr>
          <w:rFonts w:cs="Arial"/>
          <w:color w:val="000000"/>
          <w:szCs w:val="20"/>
          <w:lang w:eastAsia="en-AU"/>
        </w:rPr>
        <w:t>.</w:t>
      </w:r>
    </w:p>
    <w:p w14:paraId="33A44758" w14:textId="77777777" w:rsidR="002F4061" w:rsidRDefault="002F4061">
      <w:pPr>
        <w:spacing w:after="160" w:line="259" w:lineRule="auto"/>
        <w:rPr>
          <w:rFonts w:cs="Arial"/>
          <w:color w:val="000000"/>
          <w:szCs w:val="20"/>
          <w:lang w:eastAsia="en-AU"/>
        </w:rPr>
      </w:pPr>
      <w:r>
        <w:rPr>
          <w:rFonts w:cs="Arial"/>
          <w:color w:val="000000"/>
          <w:szCs w:val="20"/>
          <w:lang w:eastAsia="en-AU"/>
        </w:rPr>
        <w:br w:type="page"/>
      </w:r>
    </w:p>
    <w:p w14:paraId="191A1A3C" w14:textId="2A3FC099" w:rsidR="00E06FB2" w:rsidRDefault="00E06FB2" w:rsidP="00E06FB2">
      <w:pPr>
        <w:rPr>
          <w:rFonts w:cs="Arial"/>
          <w:color w:val="000000"/>
          <w:szCs w:val="20"/>
          <w:lang w:eastAsia="en-AU"/>
        </w:rPr>
      </w:pPr>
      <w:r>
        <w:rPr>
          <w:rFonts w:cs="Arial"/>
          <w:color w:val="000000"/>
          <w:szCs w:val="20"/>
          <w:lang w:eastAsia="en-AU"/>
        </w:rPr>
        <w:lastRenderedPageBreak/>
        <w:t>The Local Commissioners from each community remain hopeful that they can continue to work in partnership as community leaders with the State Government to create solutions and drive future reform agendas. They have expressed their view that the multi-dimensional disadvantage affecting their communities, and many other communities in Australia, requires a multi-faceted approach. The Local Commissioner</w:t>
      </w:r>
      <w:r w:rsidR="007826C6">
        <w:rPr>
          <w:rFonts w:cs="Arial"/>
          <w:color w:val="000000"/>
          <w:szCs w:val="20"/>
          <w:lang w:eastAsia="en-AU"/>
        </w:rPr>
        <w:t>s</w:t>
      </w:r>
      <w:r>
        <w:rPr>
          <w:rFonts w:cs="Arial"/>
          <w:color w:val="000000"/>
          <w:szCs w:val="20"/>
          <w:lang w:eastAsia="en-AU"/>
        </w:rPr>
        <w:t xml:space="preserve"> believe that, amongst other strategies, addressing this disadvantage requires the powers they currently possess to empower and enable individuals to move forward. </w:t>
      </w:r>
      <w:r w:rsidRPr="00DC6689">
        <w:rPr>
          <w:rFonts w:cs="Arial"/>
          <w:i/>
          <w:color w:val="000000"/>
          <w:szCs w:val="20"/>
          <w:lang w:eastAsia="en-AU"/>
        </w:rPr>
        <w:t>“</w:t>
      </w:r>
      <w:bookmarkStart w:id="5" w:name="_Hlk12373088"/>
      <w:r w:rsidRPr="00EE01E3">
        <w:rPr>
          <w:rFonts w:cs="Arial"/>
          <w:i/>
          <w:color w:val="000000"/>
          <w:szCs w:val="20"/>
          <w:lang w:eastAsia="en-AU"/>
        </w:rPr>
        <w:t>We do not say we do not need reform. We need to build upon the FRC model, not destroy it</w:t>
      </w:r>
      <w:bookmarkEnd w:id="5"/>
      <w:r w:rsidRPr="00DC6689">
        <w:rPr>
          <w:rFonts w:cs="Arial"/>
          <w:i/>
          <w:color w:val="000000"/>
          <w:szCs w:val="20"/>
          <w:lang w:eastAsia="en-AU"/>
        </w:rPr>
        <w:t>”</w:t>
      </w:r>
      <w:r>
        <w:rPr>
          <w:rFonts w:cs="Arial"/>
          <w:color w:val="000000"/>
          <w:szCs w:val="20"/>
          <w:lang w:eastAsia="en-AU"/>
        </w:rPr>
        <w:t>.</w:t>
      </w:r>
    </w:p>
    <w:p w14:paraId="196D2992" w14:textId="184565F6" w:rsidR="00E06FB2" w:rsidRPr="00D57CC3" w:rsidRDefault="00E06FB2" w:rsidP="00E06FB2">
      <w:pPr>
        <w:rPr>
          <w:rFonts w:cs="Arial"/>
          <w:color w:val="000000"/>
          <w:szCs w:val="20"/>
          <w:lang w:eastAsia="en-AU"/>
        </w:rPr>
      </w:pPr>
      <w:r>
        <w:rPr>
          <w:rFonts w:cs="Arial"/>
          <w:color w:val="000000"/>
          <w:szCs w:val="20"/>
          <w:lang w:eastAsia="en-AU"/>
        </w:rPr>
        <w:t xml:space="preserve">We are proud to acknowledge and celebrate the achievements of our Local Commissioners. This year two Local Commissioners were recognised and rewarded for their achievements. </w:t>
      </w:r>
      <w:r w:rsidRPr="00D57CC3">
        <w:rPr>
          <w:rFonts w:cs="Arial"/>
          <w:color w:val="000000"/>
          <w:szCs w:val="20"/>
          <w:lang w:eastAsia="en-AU"/>
        </w:rPr>
        <w:t xml:space="preserve">Aurukun Commissioner Ada Woolla was appointed to the Queensland First Children and Families Board. Her experience with the Commission in dealing with school attendance, domestic violence and child safety matters will stand her in good stead. </w:t>
      </w:r>
      <w:r>
        <w:rPr>
          <w:rFonts w:cs="Arial"/>
          <w:color w:val="000000"/>
          <w:szCs w:val="20"/>
          <w:lang w:eastAsia="en-AU"/>
        </w:rPr>
        <w:t>Coe</w:t>
      </w:r>
      <w:r w:rsidRPr="00D57CC3">
        <w:rPr>
          <w:rFonts w:cs="Arial"/>
          <w:color w:val="000000"/>
          <w:szCs w:val="20"/>
          <w:lang w:eastAsia="en-AU"/>
        </w:rPr>
        <w:t xml:space="preserve">n Commissioner Maureen Liddy </w:t>
      </w:r>
      <w:r>
        <w:rPr>
          <w:rFonts w:cs="Arial"/>
          <w:color w:val="000000"/>
          <w:szCs w:val="20"/>
          <w:lang w:eastAsia="en-AU"/>
        </w:rPr>
        <w:t xml:space="preserve">received the Cook Shire Council </w:t>
      </w:r>
      <w:r w:rsidRPr="00D57CC3">
        <w:rPr>
          <w:rFonts w:cs="Arial"/>
          <w:color w:val="000000"/>
          <w:szCs w:val="20"/>
          <w:lang w:eastAsia="en-AU"/>
        </w:rPr>
        <w:t xml:space="preserve">Citizen of the Year </w:t>
      </w:r>
      <w:r>
        <w:rPr>
          <w:rFonts w:cs="Arial"/>
          <w:color w:val="000000"/>
          <w:szCs w:val="20"/>
          <w:lang w:eastAsia="en-AU"/>
        </w:rPr>
        <w:t xml:space="preserve">award </w:t>
      </w:r>
      <w:r w:rsidRPr="00D57CC3">
        <w:rPr>
          <w:rFonts w:cs="Arial"/>
          <w:color w:val="000000"/>
          <w:szCs w:val="20"/>
          <w:lang w:eastAsia="en-AU"/>
        </w:rPr>
        <w:t>at the annual Australia Day celebrations conducted at the Cooktown Botanical Gardens.</w:t>
      </w:r>
    </w:p>
    <w:p w14:paraId="0BE07B3E" w14:textId="77777777" w:rsidR="00E06FB2" w:rsidRPr="00A83C1C" w:rsidRDefault="00E06FB2" w:rsidP="006C022B">
      <w:pPr>
        <w:pStyle w:val="Heading3"/>
        <w:rPr>
          <w:i/>
        </w:rPr>
      </w:pPr>
      <w:r w:rsidRPr="00A83C1C">
        <w:t>Significant events</w:t>
      </w:r>
    </w:p>
    <w:p w14:paraId="3DE4ABA7" w14:textId="351ABC13" w:rsidR="00E06FB2" w:rsidRDefault="00E06FB2" w:rsidP="00E06FB2">
      <w:pPr>
        <w:rPr>
          <w:rFonts w:cs="Arial"/>
          <w:color w:val="000000"/>
          <w:szCs w:val="20"/>
          <w:lang w:eastAsia="en-AU"/>
        </w:rPr>
      </w:pPr>
      <w:r>
        <w:rPr>
          <w:rFonts w:cs="Arial"/>
          <w:color w:val="000000"/>
          <w:szCs w:val="20"/>
          <w:lang w:eastAsia="en-AU"/>
        </w:rPr>
        <w:t xml:space="preserve">On 26 July by way of Executive Council Minute No. 312 the Governor in Council, under the </w:t>
      </w:r>
      <w:r w:rsidR="00E378D3" w:rsidRPr="00E378D3">
        <w:rPr>
          <w:rFonts w:cs="Arial"/>
          <w:color w:val="000000"/>
          <w:szCs w:val="20"/>
          <w:lang w:eastAsia="en-AU"/>
        </w:rPr>
        <w:t>FRC Act</w:t>
      </w:r>
      <w:r>
        <w:rPr>
          <w:rFonts w:cs="Arial"/>
          <w:color w:val="000000"/>
          <w:szCs w:val="20"/>
          <w:lang w:eastAsia="en-AU"/>
        </w:rPr>
        <w:t xml:space="preserve">, approved Commissioner Glasgow’s reappointment as Commissioner of the FRC from 1 August 2018 until 31 December 2018. Further, on 13 December 2018 the Governor in Council approved the reappointment of the FRC Commissioner on a part-time basis for the period 1 January 2019 to 30 June 2019. </w:t>
      </w:r>
      <w:proofErr w:type="gramStart"/>
      <w:r>
        <w:rPr>
          <w:rFonts w:cs="Arial"/>
          <w:color w:val="000000"/>
          <w:szCs w:val="20"/>
          <w:lang w:eastAsia="en-AU"/>
        </w:rPr>
        <w:t>In order to</w:t>
      </w:r>
      <w:proofErr w:type="gramEnd"/>
      <w:r>
        <w:rPr>
          <w:rFonts w:cs="Arial"/>
          <w:color w:val="000000"/>
          <w:szCs w:val="20"/>
          <w:lang w:eastAsia="en-AU"/>
        </w:rPr>
        <w:t xml:space="preserve"> allow for sufficient time to select and introduce a new FRC Commissioner upon Commissioner Glasgow’s expected retirement, an additional reappointment period of two months was approved on 28 June 2019.</w:t>
      </w:r>
    </w:p>
    <w:p w14:paraId="0899ED01" w14:textId="77777777" w:rsidR="00E06FB2" w:rsidRDefault="00E06FB2" w:rsidP="00E06FB2">
      <w:pPr>
        <w:rPr>
          <w:rFonts w:cs="Arial"/>
          <w:color w:val="000000"/>
          <w:szCs w:val="20"/>
          <w:lang w:eastAsia="en-AU"/>
        </w:rPr>
      </w:pPr>
      <w:r>
        <w:rPr>
          <w:rFonts w:cs="Arial"/>
          <w:color w:val="000000"/>
          <w:szCs w:val="20"/>
          <w:lang w:eastAsia="en-AU"/>
        </w:rPr>
        <w:t>No reappointment was made by the Queensland Government for the Deputy Commissioner’s role which ceased on 31 December 2018.</w:t>
      </w:r>
    </w:p>
    <w:p w14:paraId="1425EFD8" w14:textId="77777777" w:rsidR="00E06FB2" w:rsidRPr="008E7494" w:rsidRDefault="00E06FB2" w:rsidP="00E06FB2">
      <w:pPr>
        <w:spacing w:after="0"/>
        <w:rPr>
          <w:rFonts w:cs="Arial"/>
          <w:color w:val="000000"/>
          <w:szCs w:val="20"/>
          <w:lang w:eastAsia="en-AU"/>
        </w:rPr>
      </w:pPr>
      <w:r>
        <w:rPr>
          <w:rFonts w:cs="Arial"/>
          <w:color w:val="000000"/>
          <w:szCs w:val="20"/>
          <w:lang w:eastAsia="en-AU"/>
        </w:rPr>
        <w:t>T</w:t>
      </w:r>
      <w:r w:rsidRPr="008E7494">
        <w:rPr>
          <w:rFonts w:cs="Arial"/>
          <w:color w:val="000000"/>
          <w:szCs w:val="20"/>
          <w:lang w:eastAsia="en-AU"/>
        </w:rPr>
        <w:t xml:space="preserve">he following Local Commissioners were </w:t>
      </w:r>
      <w:r>
        <w:rPr>
          <w:rFonts w:cs="Arial"/>
          <w:color w:val="000000"/>
          <w:szCs w:val="20"/>
          <w:lang w:eastAsia="en-AU"/>
        </w:rPr>
        <w:t>re-</w:t>
      </w:r>
      <w:r w:rsidRPr="008E7494">
        <w:rPr>
          <w:rFonts w:cs="Arial"/>
          <w:color w:val="000000"/>
          <w:szCs w:val="20"/>
          <w:lang w:eastAsia="en-AU"/>
        </w:rPr>
        <w:t xml:space="preserve">appointed for the period </w:t>
      </w:r>
      <w:r>
        <w:rPr>
          <w:rFonts w:cs="Arial"/>
          <w:color w:val="000000"/>
          <w:szCs w:val="20"/>
          <w:lang w:eastAsia="en-AU"/>
        </w:rPr>
        <w:t>1</w:t>
      </w:r>
      <w:r w:rsidRPr="008E7494">
        <w:rPr>
          <w:rFonts w:cs="Arial"/>
          <w:color w:val="000000"/>
          <w:szCs w:val="20"/>
          <w:lang w:eastAsia="en-AU"/>
        </w:rPr>
        <w:t xml:space="preserve"> January 201</w:t>
      </w:r>
      <w:r>
        <w:rPr>
          <w:rFonts w:cs="Arial"/>
          <w:color w:val="000000"/>
          <w:szCs w:val="20"/>
          <w:lang w:eastAsia="en-AU"/>
        </w:rPr>
        <w:t>9</w:t>
      </w:r>
      <w:r w:rsidRPr="008E7494">
        <w:rPr>
          <w:rFonts w:cs="Arial"/>
          <w:color w:val="000000"/>
          <w:szCs w:val="20"/>
          <w:lang w:eastAsia="en-AU"/>
        </w:rPr>
        <w:t xml:space="preserve"> to 31 </w:t>
      </w:r>
      <w:r>
        <w:rPr>
          <w:rFonts w:cs="Arial"/>
          <w:color w:val="000000"/>
          <w:szCs w:val="20"/>
          <w:lang w:eastAsia="en-AU"/>
        </w:rPr>
        <w:t>October</w:t>
      </w:r>
      <w:r w:rsidRPr="008E7494">
        <w:rPr>
          <w:rFonts w:cs="Arial"/>
          <w:color w:val="000000"/>
          <w:szCs w:val="20"/>
          <w:lang w:eastAsia="en-AU"/>
        </w:rPr>
        <w:t xml:space="preserve"> 201</w:t>
      </w:r>
      <w:r>
        <w:rPr>
          <w:rFonts w:cs="Arial"/>
          <w:color w:val="000000"/>
          <w:szCs w:val="20"/>
          <w:lang w:eastAsia="en-AU"/>
        </w:rPr>
        <w:t>9</w:t>
      </w:r>
      <w:r w:rsidRPr="008E7494">
        <w:rPr>
          <w:rFonts w:cs="Arial"/>
          <w:color w:val="000000"/>
          <w:szCs w:val="20"/>
          <w:lang w:eastAsia="en-AU"/>
        </w:rPr>
        <w:t>:</w:t>
      </w:r>
    </w:p>
    <w:p w14:paraId="0E6EF8F4" w14:textId="77777777" w:rsidR="00E06FB2" w:rsidRPr="008E7494" w:rsidRDefault="00E06FB2" w:rsidP="00E06FB2">
      <w:pPr>
        <w:spacing w:after="0"/>
        <w:rPr>
          <w:rFonts w:cs="Arial"/>
          <w:color w:val="000000"/>
          <w:szCs w:val="20"/>
          <w:lang w:eastAsia="en-AU"/>
        </w:rPr>
      </w:pPr>
    </w:p>
    <w:p w14:paraId="5251670E" w14:textId="77777777" w:rsidR="00E06FB2" w:rsidRPr="008E7494" w:rsidRDefault="00E06FB2" w:rsidP="00E06FB2">
      <w:pPr>
        <w:numPr>
          <w:ilvl w:val="0"/>
          <w:numId w:val="4"/>
        </w:numPr>
        <w:spacing w:after="0"/>
        <w:ind w:left="567" w:hanging="567"/>
        <w:rPr>
          <w:rFonts w:cs="Arial"/>
          <w:color w:val="000000"/>
          <w:szCs w:val="20"/>
          <w:lang w:eastAsia="en-AU"/>
        </w:rPr>
      </w:pPr>
      <w:r w:rsidRPr="008E7494">
        <w:rPr>
          <w:rFonts w:cs="Arial"/>
          <w:color w:val="000000"/>
          <w:szCs w:val="20"/>
          <w:lang w:eastAsia="en-AU"/>
        </w:rPr>
        <w:t xml:space="preserve">Edgar Kerindun, Vera </w:t>
      </w:r>
      <w:proofErr w:type="spellStart"/>
      <w:r w:rsidRPr="008E7494">
        <w:rPr>
          <w:rFonts w:cs="Arial"/>
          <w:color w:val="000000"/>
          <w:szCs w:val="20"/>
          <w:lang w:eastAsia="en-AU"/>
        </w:rPr>
        <w:t>Koomeeta</w:t>
      </w:r>
      <w:proofErr w:type="spellEnd"/>
      <w:r w:rsidRPr="008E7494">
        <w:rPr>
          <w:rFonts w:cs="Arial"/>
          <w:color w:val="000000"/>
          <w:szCs w:val="20"/>
          <w:lang w:eastAsia="en-AU"/>
        </w:rPr>
        <w:t>, Doris Poonkamelya, Dorothy Pootchemunka</w:t>
      </w:r>
      <w:r>
        <w:rPr>
          <w:rFonts w:cs="Arial"/>
          <w:color w:val="000000"/>
          <w:szCs w:val="20"/>
          <w:lang w:eastAsia="en-AU"/>
        </w:rPr>
        <w:t>,</w:t>
      </w:r>
      <w:r w:rsidRPr="008E7494">
        <w:rPr>
          <w:rFonts w:cs="Arial"/>
          <w:color w:val="000000"/>
          <w:szCs w:val="20"/>
          <w:lang w:eastAsia="en-AU"/>
        </w:rPr>
        <w:t xml:space="preserve"> Ada Woolla </w:t>
      </w:r>
      <w:r>
        <w:rPr>
          <w:rFonts w:cs="Arial"/>
          <w:color w:val="000000"/>
          <w:szCs w:val="20"/>
          <w:lang w:eastAsia="en-AU"/>
        </w:rPr>
        <w:t xml:space="preserve">and Keri </w:t>
      </w:r>
      <w:proofErr w:type="spellStart"/>
      <w:r>
        <w:rPr>
          <w:rFonts w:cs="Arial"/>
          <w:color w:val="000000"/>
          <w:szCs w:val="20"/>
          <w:lang w:eastAsia="en-AU"/>
        </w:rPr>
        <w:t>Tamwoy</w:t>
      </w:r>
      <w:proofErr w:type="spellEnd"/>
      <w:r>
        <w:rPr>
          <w:rFonts w:cs="Arial"/>
          <w:color w:val="000000"/>
          <w:szCs w:val="20"/>
          <w:lang w:eastAsia="en-AU"/>
        </w:rPr>
        <w:t xml:space="preserve"> </w:t>
      </w:r>
      <w:r w:rsidRPr="008E7494">
        <w:rPr>
          <w:rFonts w:cs="Arial"/>
          <w:color w:val="000000"/>
          <w:szCs w:val="20"/>
          <w:lang w:eastAsia="en-AU"/>
        </w:rPr>
        <w:t>as Aurukun Commissioners</w:t>
      </w:r>
    </w:p>
    <w:p w14:paraId="17EB69B1" w14:textId="77777777" w:rsidR="00E06FB2" w:rsidRPr="008E7494" w:rsidRDefault="00E06FB2" w:rsidP="00E06FB2">
      <w:pPr>
        <w:numPr>
          <w:ilvl w:val="0"/>
          <w:numId w:val="4"/>
        </w:numPr>
        <w:spacing w:after="0"/>
        <w:ind w:left="567" w:hanging="567"/>
        <w:rPr>
          <w:rFonts w:cs="Arial"/>
          <w:color w:val="000000"/>
          <w:szCs w:val="20"/>
          <w:lang w:eastAsia="en-AU"/>
        </w:rPr>
      </w:pPr>
      <w:r w:rsidRPr="008E7494">
        <w:rPr>
          <w:rFonts w:cs="Arial"/>
          <w:color w:val="000000"/>
          <w:szCs w:val="20"/>
          <w:lang w:eastAsia="en-AU"/>
        </w:rPr>
        <w:t>Elaine Liddy, Maureen Liddy, Alison Liddy, May Kepple and Garry Port as Coen Commissioners</w:t>
      </w:r>
    </w:p>
    <w:p w14:paraId="3D426A77" w14:textId="77777777" w:rsidR="00E06FB2" w:rsidRPr="008E7494" w:rsidRDefault="00E06FB2" w:rsidP="00E06FB2">
      <w:pPr>
        <w:numPr>
          <w:ilvl w:val="0"/>
          <w:numId w:val="4"/>
        </w:numPr>
        <w:spacing w:after="0"/>
        <w:ind w:left="567" w:hanging="567"/>
        <w:rPr>
          <w:rFonts w:cs="Arial"/>
          <w:color w:val="000000"/>
          <w:szCs w:val="20"/>
          <w:lang w:eastAsia="en-AU"/>
        </w:rPr>
      </w:pPr>
      <w:r w:rsidRPr="008E7494">
        <w:rPr>
          <w:rFonts w:cs="Arial"/>
          <w:color w:val="000000"/>
          <w:szCs w:val="20"/>
          <w:lang w:eastAsia="en-AU"/>
        </w:rPr>
        <w:t>Elaine Cairns, Guy Douglas, Karen Jupiter, Christopher Logan, Eleanor Logan and Kaylene O’Keefe as Doomadgee Commissioners</w:t>
      </w:r>
    </w:p>
    <w:p w14:paraId="37FB35CA" w14:textId="77777777" w:rsidR="00E06FB2" w:rsidRPr="008E7494" w:rsidRDefault="00E06FB2" w:rsidP="00E06FB2">
      <w:pPr>
        <w:numPr>
          <w:ilvl w:val="0"/>
          <w:numId w:val="4"/>
        </w:numPr>
        <w:spacing w:after="0"/>
        <w:ind w:left="567" w:hanging="567"/>
        <w:rPr>
          <w:rFonts w:cs="Arial"/>
          <w:color w:val="000000"/>
          <w:szCs w:val="20"/>
          <w:lang w:eastAsia="en-AU"/>
        </w:rPr>
      </w:pPr>
      <w:r w:rsidRPr="008E7494">
        <w:rPr>
          <w:rFonts w:cs="Arial"/>
          <w:color w:val="000000"/>
          <w:szCs w:val="20"/>
          <w:lang w:eastAsia="en-AU"/>
        </w:rPr>
        <w:t>Erica Deeral, Victor Gibson, Doreen Hart, Cheryl Cannon and Selina Bowen as Hope Vale Commissioners and</w:t>
      </w:r>
    </w:p>
    <w:p w14:paraId="3B4B6910" w14:textId="77777777" w:rsidR="00E06FB2" w:rsidRPr="008E7494" w:rsidRDefault="00E06FB2" w:rsidP="00E06FB2">
      <w:pPr>
        <w:numPr>
          <w:ilvl w:val="0"/>
          <w:numId w:val="4"/>
        </w:numPr>
        <w:ind w:left="567" w:hanging="567"/>
        <w:rPr>
          <w:rFonts w:cs="Arial"/>
          <w:color w:val="000000"/>
          <w:szCs w:val="20"/>
          <w:lang w:eastAsia="en-AU"/>
        </w:rPr>
      </w:pPr>
      <w:r w:rsidRPr="008E7494">
        <w:rPr>
          <w:rFonts w:cs="Arial"/>
          <w:color w:val="000000"/>
          <w:szCs w:val="20"/>
          <w:lang w:eastAsia="en-AU"/>
        </w:rPr>
        <w:t xml:space="preserve">Karen Gibson, Karen </w:t>
      </w:r>
      <w:proofErr w:type="spellStart"/>
      <w:r w:rsidRPr="008E7494">
        <w:rPr>
          <w:rFonts w:cs="Arial"/>
          <w:color w:val="000000"/>
          <w:szCs w:val="20"/>
          <w:lang w:eastAsia="en-AU"/>
        </w:rPr>
        <w:t>Shuan</w:t>
      </w:r>
      <w:proofErr w:type="spellEnd"/>
      <w:r w:rsidRPr="008E7494">
        <w:rPr>
          <w:rFonts w:cs="Arial"/>
          <w:color w:val="000000"/>
          <w:szCs w:val="20"/>
          <w:lang w:eastAsia="en-AU"/>
        </w:rPr>
        <w:t xml:space="preserve"> and Loretta Spratt as Mossman Gorge Commissioners.</w:t>
      </w:r>
    </w:p>
    <w:p w14:paraId="4608FDBA" w14:textId="59FB460D" w:rsidR="00E06FB2" w:rsidRDefault="00E06FB2" w:rsidP="00E06FB2">
      <w:pPr>
        <w:rPr>
          <w:rFonts w:cs="Arial"/>
          <w:color w:val="000000"/>
          <w:szCs w:val="20"/>
          <w:lang w:eastAsia="en-AU"/>
        </w:rPr>
      </w:pPr>
      <w:r>
        <w:t>The Queensland budget was tabled in State Parliament o</w:t>
      </w:r>
      <w:r w:rsidRPr="00075F1F">
        <w:t xml:space="preserve">n </w:t>
      </w:r>
      <w:r>
        <w:t xml:space="preserve">Tuesday, </w:t>
      </w:r>
      <w:r w:rsidRPr="00075F1F">
        <w:t>1</w:t>
      </w:r>
      <w:r>
        <w:t>1</w:t>
      </w:r>
      <w:r w:rsidRPr="00075F1F">
        <w:t xml:space="preserve"> June</w:t>
      </w:r>
      <w:r>
        <w:t xml:space="preserve"> 2019. In that budget t</w:t>
      </w:r>
      <w:r w:rsidRPr="00075F1F">
        <w:t>he Queensland Government announced its commitment to continu</w:t>
      </w:r>
      <w:r w:rsidR="00794BB9">
        <w:t>e</w:t>
      </w:r>
      <w:r w:rsidRPr="00075F1F">
        <w:t xml:space="preserve"> funding the Co</w:t>
      </w:r>
      <w:r>
        <w:t>m</w:t>
      </w:r>
      <w:r w:rsidRPr="00075F1F">
        <w:t>mission</w:t>
      </w:r>
      <w:r>
        <w:t xml:space="preserve"> for the 2019-20 financial year</w:t>
      </w:r>
      <w:r>
        <w:rPr>
          <w:rFonts w:cs="Arial"/>
          <w:color w:val="000000"/>
          <w:szCs w:val="20"/>
          <w:lang w:eastAsia="en-AU"/>
        </w:rPr>
        <w:t>.</w:t>
      </w:r>
    </w:p>
    <w:p w14:paraId="3284B71A" w14:textId="77777777" w:rsidR="00E032E8" w:rsidRDefault="00E032E8">
      <w:pPr>
        <w:spacing w:after="160" w:line="259" w:lineRule="auto"/>
      </w:pPr>
      <w:r>
        <w:br w:type="page"/>
      </w:r>
    </w:p>
    <w:p w14:paraId="61FA9CA3" w14:textId="29F837E3" w:rsidR="00E06FB2" w:rsidRPr="00550FAA" w:rsidRDefault="00E06FB2" w:rsidP="00E06FB2">
      <w:pPr>
        <w:rPr>
          <w:rFonts w:cs="Arial"/>
          <w:color w:val="000000"/>
          <w:szCs w:val="20"/>
          <w:lang w:eastAsia="en-AU"/>
        </w:rPr>
      </w:pPr>
      <w:r w:rsidRPr="008E7494">
        <w:lastRenderedPageBreak/>
        <w:t xml:space="preserve">The Commission’s annual School Awards ceremonies were conducted in December in each of the five communities. Prizes were awarded for attendance achievements and included certificates, medals and </w:t>
      </w:r>
      <w:r>
        <w:t>other incentives</w:t>
      </w:r>
      <w:r w:rsidRPr="008E7494">
        <w:t>. Each year the Local Commissioners present the awards to provide positive recognition and support for those students (and their families) who regularly attend school, to provide an incentive for those students who wish to improve their school attendance</w:t>
      </w:r>
      <w:r>
        <w:t xml:space="preserve"> and to reiterate the importance of education in achieving a dream, and better life for the future</w:t>
      </w:r>
      <w:r w:rsidRPr="008E7494">
        <w:t>.</w:t>
      </w:r>
    </w:p>
    <w:p w14:paraId="665811C6" w14:textId="7A42F80D" w:rsidR="00E06FB2" w:rsidRPr="00241A0E" w:rsidRDefault="00E06FB2" w:rsidP="00E06FB2">
      <w:r w:rsidRPr="00241A0E">
        <w:rPr>
          <w:lang w:val="en"/>
        </w:rPr>
        <w:t xml:space="preserve">The extension of </w:t>
      </w:r>
      <w:r>
        <w:rPr>
          <w:lang w:val="en"/>
        </w:rPr>
        <w:t>CYIM</w:t>
      </w:r>
      <w:r w:rsidRPr="00241A0E">
        <w:rPr>
          <w:lang w:val="en"/>
        </w:rPr>
        <w:t xml:space="preserve"> (in June 2017) to 30 June 2019 included an agreement between the </w:t>
      </w:r>
      <w:r>
        <w:rPr>
          <w:lang w:val="en"/>
        </w:rPr>
        <w:t xml:space="preserve">then Australian Government Minister for Human Services the </w:t>
      </w:r>
      <w:proofErr w:type="spellStart"/>
      <w:r w:rsidR="00DC21CC">
        <w:rPr>
          <w:lang w:val="en"/>
        </w:rPr>
        <w:t>Honourable</w:t>
      </w:r>
      <w:proofErr w:type="spellEnd"/>
      <w:r w:rsidRPr="00241A0E">
        <w:rPr>
          <w:lang w:val="en"/>
        </w:rPr>
        <w:t xml:space="preserve"> Alan </w:t>
      </w:r>
      <w:proofErr w:type="spellStart"/>
      <w:r w:rsidRPr="00241A0E">
        <w:rPr>
          <w:lang w:val="en"/>
        </w:rPr>
        <w:t>Tudge</w:t>
      </w:r>
      <w:proofErr w:type="spellEnd"/>
      <w:r w:rsidRPr="00241A0E">
        <w:rPr>
          <w:lang w:val="en"/>
        </w:rPr>
        <w:t xml:space="preserve"> MP and the opposition to undertake a review of CYIM. </w:t>
      </w:r>
      <w:r>
        <w:rPr>
          <w:lang w:val="en"/>
        </w:rPr>
        <w:t xml:space="preserve">The Strategic Review of Cape York Income Management Final Report dated November 2018 </w:t>
      </w:r>
      <w:r w:rsidR="006C5B3E">
        <w:rPr>
          <w:lang w:val="en"/>
        </w:rPr>
        <w:t>was</w:t>
      </w:r>
      <w:r w:rsidR="00EB4C67">
        <w:rPr>
          <w:lang w:val="en"/>
        </w:rPr>
        <w:t xml:space="preserve"> released in December 2018</w:t>
      </w:r>
      <w:r>
        <w:rPr>
          <w:lang w:val="en"/>
        </w:rPr>
        <w:t>.</w:t>
      </w:r>
      <w:r w:rsidRPr="00241A0E">
        <w:rPr>
          <w:lang w:val="en"/>
        </w:rPr>
        <w:t xml:space="preserve"> The </w:t>
      </w:r>
      <w:r>
        <w:rPr>
          <w:lang w:val="en"/>
        </w:rPr>
        <w:t>r</w:t>
      </w:r>
      <w:r w:rsidRPr="00241A0E">
        <w:rPr>
          <w:lang w:val="en"/>
        </w:rPr>
        <w:t>eview provide</w:t>
      </w:r>
      <w:r>
        <w:rPr>
          <w:lang w:val="en"/>
        </w:rPr>
        <w:t>d</w:t>
      </w:r>
      <w:r w:rsidRPr="00241A0E">
        <w:rPr>
          <w:lang w:val="en"/>
        </w:rPr>
        <w:t xml:space="preserve"> an analysis of the data (qualitative and quantitative), assess</w:t>
      </w:r>
      <w:r>
        <w:rPr>
          <w:lang w:val="en"/>
        </w:rPr>
        <w:t>ed</w:t>
      </w:r>
      <w:r w:rsidRPr="00241A0E">
        <w:rPr>
          <w:lang w:val="en"/>
        </w:rPr>
        <w:t xml:space="preserve"> the strengths and weaknesses of the model, and inform</w:t>
      </w:r>
      <w:r>
        <w:rPr>
          <w:lang w:val="en"/>
        </w:rPr>
        <w:t>ed</w:t>
      </w:r>
      <w:r w:rsidRPr="00241A0E">
        <w:rPr>
          <w:lang w:val="en"/>
        </w:rPr>
        <w:t xml:space="preserve"> how it could be used in the future, subject to a review of </w:t>
      </w:r>
      <w:r w:rsidR="00EB4C67">
        <w:rPr>
          <w:lang w:val="en"/>
        </w:rPr>
        <w:t>CYWR</w:t>
      </w:r>
      <w:r w:rsidRPr="00241A0E">
        <w:rPr>
          <w:lang w:val="en"/>
        </w:rPr>
        <w:t>.</w:t>
      </w:r>
      <w:r>
        <w:t xml:space="preserve"> During the drafting of the report </w:t>
      </w:r>
      <w:r w:rsidRPr="00241A0E">
        <w:t xml:space="preserve">Commission </w:t>
      </w:r>
      <w:r>
        <w:t xml:space="preserve">staff and Local Commissioners </w:t>
      </w:r>
      <w:r w:rsidRPr="00241A0E">
        <w:t xml:space="preserve">liaised with </w:t>
      </w:r>
      <w:r>
        <w:t xml:space="preserve">both DSS </w:t>
      </w:r>
      <w:r w:rsidRPr="00241A0E">
        <w:t xml:space="preserve">and QUT to inform this review. The Executive Summary of the review determined that the manner in which CYIM is delivered through the FRC Commissioners was the </w:t>
      </w:r>
      <w:r w:rsidRPr="00603C1A">
        <w:rPr>
          <w:i/>
        </w:rPr>
        <w:t>“key driving factor for any successes that can be attributed to it”</w:t>
      </w:r>
      <w:r w:rsidRPr="00241A0E">
        <w:t xml:space="preserve">, and that the model was not only delivered in a more culturally appropriate manner for Indigenous Australians, but could be tailored to an individual’s personal circumstances, unlike other income management models; </w:t>
      </w:r>
      <w:r w:rsidRPr="00603C1A">
        <w:rPr>
          <w:i/>
        </w:rPr>
        <w:t xml:space="preserve">“This delivery mechanism could provide useful lessons for future Cape York models, as well as other Australian models”. </w:t>
      </w:r>
      <w:r w:rsidRPr="005A1A45">
        <w:t>The qualitative data was indicative of a</w:t>
      </w:r>
      <w:r w:rsidRPr="00603C1A">
        <w:rPr>
          <w:i/>
        </w:rPr>
        <w:t xml:space="preserve"> “largely positive view”</w:t>
      </w:r>
      <w:r w:rsidRPr="00241A0E">
        <w:t xml:space="preserve">, and although community level data showed mixed results, the leadership shown by the FRC Commissioners in delivering CYIM decisions, and their ability to be flexible in their </w:t>
      </w:r>
      <w:r w:rsidRPr="00EE01E3">
        <w:t>approach</w:t>
      </w:r>
      <w:r w:rsidRPr="00603C1A">
        <w:rPr>
          <w:i/>
        </w:rPr>
        <w:t xml:space="preserve"> “promotes the restoration and rebuilding of Indigenous authority”</w:t>
      </w:r>
      <w:r w:rsidRPr="00241A0E">
        <w:t xml:space="preserve">, the primary objective of the </w:t>
      </w:r>
      <w:r w:rsidR="00E378D3" w:rsidRPr="00E378D3">
        <w:t>FRC Act</w:t>
      </w:r>
      <w:r w:rsidRPr="00241A0E">
        <w:t xml:space="preserve">. Importantly, while some data indicated mixed results, the analysis of FRC clients </w:t>
      </w:r>
      <w:proofErr w:type="gramStart"/>
      <w:r w:rsidRPr="00241A0E">
        <w:t>in particular showed</w:t>
      </w:r>
      <w:proofErr w:type="gramEnd"/>
      <w:r w:rsidRPr="00241A0E">
        <w:t xml:space="preserve"> that whilst the use of CYIM did not necessarily eliminate further breaches, it did extend the time between breach notifications.</w:t>
      </w:r>
    </w:p>
    <w:p w14:paraId="5BAEBCBC" w14:textId="77777777" w:rsidR="00E06FB2" w:rsidRPr="00241A0E" w:rsidRDefault="00E06FB2" w:rsidP="00E06FB2">
      <w:r w:rsidRPr="00241A0E">
        <w:t>CYIM is only one of the tools available to the Commissioners in restoring social responsibility in their communities. CYIM is used in a targeted approach, mostly as a last resort, and thus only a small percentage of clients are subject to a CYIM order. Of primary importance to the Commissioners is their ability to link FRC clients with support services and CYIM does play a vital role in incentivising FRC clients to make the necessary changes in their lives for the benefit of their families and the community, whilst also ensuring that the basic needs of children are met.</w:t>
      </w:r>
    </w:p>
    <w:p w14:paraId="598B5009" w14:textId="77777777" w:rsidR="00E06FB2" w:rsidRPr="00001782" w:rsidRDefault="00E06FB2" w:rsidP="006C022B">
      <w:pPr>
        <w:pStyle w:val="Heading3"/>
        <w:rPr>
          <w:i/>
        </w:rPr>
      </w:pPr>
      <w:r w:rsidRPr="00001782">
        <w:t>Staffing</w:t>
      </w:r>
    </w:p>
    <w:p w14:paraId="508A5E02" w14:textId="77777777" w:rsidR="00E06FB2" w:rsidRDefault="00E06FB2" w:rsidP="00E06FB2">
      <w:pPr>
        <w:rPr>
          <w:rFonts w:cs="Arial"/>
          <w:color w:val="000000"/>
          <w:szCs w:val="20"/>
          <w:lang w:eastAsia="en-AU"/>
        </w:rPr>
      </w:pPr>
      <w:r>
        <w:rPr>
          <w:rFonts w:cs="Arial"/>
          <w:color w:val="000000"/>
          <w:szCs w:val="20"/>
          <w:lang w:eastAsia="en-AU"/>
        </w:rPr>
        <w:t xml:space="preserve">I would like to extend my appreciation to the staff and thank them for sharing their professionalism with me throughout the year. Individually they have crafted their contributions to the Commission in such a way as to add enormous value. Each one of them foster a sense of ownership and responsibility to the Commission which has assisted the Commission to perform at its best. To those Local Coordinators who live remotely in the performance of their functions, by necessity you become part of your communities, and to perform your functions well, you must be accepted by your communities. Each has </w:t>
      </w:r>
      <w:proofErr w:type="gramStart"/>
      <w:r>
        <w:rPr>
          <w:rFonts w:cs="Arial"/>
          <w:color w:val="000000"/>
          <w:szCs w:val="20"/>
          <w:lang w:eastAsia="en-AU"/>
        </w:rPr>
        <w:t>made a contribution</w:t>
      </w:r>
      <w:proofErr w:type="gramEnd"/>
      <w:r>
        <w:rPr>
          <w:rFonts w:cs="Arial"/>
          <w:color w:val="000000"/>
          <w:szCs w:val="20"/>
          <w:lang w:eastAsia="en-AU"/>
        </w:rPr>
        <w:t xml:space="preserve"> to both their communities and the Commission.</w:t>
      </w:r>
    </w:p>
    <w:p w14:paraId="44415051" w14:textId="77777777" w:rsidR="003A099B" w:rsidRDefault="003A099B">
      <w:pPr>
        <w:spacing w:after="160" w:line="259" w:lineRule="auto"/>
        <w:rPr>
          <w:rFonts w:cs="Arial"/>
          <w:color w:val="000000"/>
          <w:szCs w:val="20"/>
          <w:lang w:eastAsia="en-AU"/>
        </w:rPr>
      </w:pPr>
      <w:r>
        <w:rPr>
          <w:rFonts w:cs="Arial"/>
          <w:color w:val="000000"/>
          <w:szCs w:val="20"/>
          <w:lang w:eastAsia="en-AU"/>
        </w:rPr>
        <w:br w:type="page"/>
      </w:r>
    </w:p>
    <w:p w14:paraId="67454C6A" w14:textId="411E58CC" w:rsidR="00E06FB2" w:rsidRDefault="00E06FB2" w:rsidP="00E06FB2">
      <w:pPr>
        <w:rPr>
          <w:rFonts w:cs="Arial"/>
          <w:color w:val="000000"/>
          <w:szCs w:val="20"/>
          <w:lang w:eastAsia="en-AU"/>
        </w:rPr>
      </w:pPr>
      <w:r w:rsidRPr="008E7494">
        <w:rPr>
          <w:rFonts w:cs="Arial"/>
          <w:color w:val="000000"/>
          <w:szCs w:val="20"/>
          <w:lang w:eastAsia="en-AU"/>
        </w:rPr>
        <w:lastRenderedPageBreak/>
        <w:t>Commissioner David Glasgow</w:t>
      </w:r>
      <w:r>
        <w:rPr>
          <w:rFonts w:cs="Arial"/>
          <w:color w:val="000000"/>
          <w:szCs w:val="20"/>
          <w:lang w:eastAsia="en-AU"/>
        </w:rPr>
        <w:t xml:space="preserve">’s significant contribution as the Commission’s </w:t>
      </w:r>
      <w:r w:rsidR="001A5DFE">
        <w:rPr>
          <w:rFonts w:cs="Arial"/>
          <w:color w:val="000000"/>
          <w:szCs w:val="20"/>
          <w:lang w:eastAsia="en-AU"/>
        </w:rPr>
        <w:t>Chief Executive Officer (</w:t>
      </w:r>
      <w:r>
        <w:rPr>
          <w:rFonts w:cs="Arial"/>
          <w:color w:val="000000"/>
          <w:szCs w:val="20"/>
          <w:lang w:eastAsia="en-AU"/>
        </w:rPr>
        <w:t>CEO</w:t>
      </w:r>
      <w:r w:rsidR="001A5DFE">
        <w:rPr>
          <w:rFonts w:cs="Arial"/>
          <w:color w:val="000000"/>
          <w:szCs w:val="20"/>
          <w:lang w:eastAsia="en-AU"/>
        </w:rPr>
        <w:t>)</w:t>
      </w:r>
      <w:r>
        <w:rPr>
          <w:rFonts w:cs="Arial"/>
          <w:color w:val="000000"/>
          <w:szCs w:val="20"/>
          <w:lang w:eastAsia="en-AU"/>
        </w:rPr>
        <w:t xml:space="preserve"> is well known. He has led us since 2008 with very few dull moments and is now celebrating the end of an exceptional career that has achieved many goals. He has given the Commission and all of us working within </w:t>
      </w:r>
      <w:proofErr w:type="gramStart"/>
      <w:r>
        <w:rPr>
          <w:rFonts w:cs="Arial"/>
          <w:color w:val="000000"/>
          <w:szCs w:val="20"/>
          <w:lang w:eastAsia="en-AU"/>
        </w:rPr>
        <w:t>it</w:t>
      </w:r>
      <w:proofErr w:type="gramEnd"/>
      <w:r>
        <w:rPr>
          <w:rFonts w:cs="Arial"/>
          <w:color w:val="000000"/>
          <w:szCs w:val="20"/>
          <w:lang w:eastAsia="en-AU"/>
        </w:rPr>
        <w:t xml:space="preserve"> direction, guidance and inspiration. </w:t>
      </w:r>
      <w:r w:rsidRPr="00BA5D03">
        <w:rPr>
          <w:rFonts w:cs="Arial"/>
          <w:color w:val="000000"/>
          <w:szCs w:val="20"/>
          <w:lang w:val="en" w:eastAsia="en-AU"/>
        </w:rPr>
        <w:t>None of us expected to be here 1</w:t>
      </w:r>
      <w:r>
        <w:rPr>
          <w:rFonts w:cs="Arial"/>
          <w:color w:val="000000"/>
          <w:szCs w:val="20"/>
          <w:lang w:val="en" w:eastAsia="en-AU"/>
        </w:rPr>
        <w:t>1</w:t>
      </w:r>
      <w:r w:rsidRPr="00BA5D03">
        <w:rPr>
          <w:rFonts w:cs="Arial"/>
          <w:color w:val="000000"/>
          <w:szCs w:val="20"/>
          <w:lang w:val="en" w:eastAsia="en-AU"/>
        </w:rPr>
        <w:t xml:space="preserve"> years down the track, so how lucky we are to have worked with the best</w:t>
      </w:r>
      <w:r>
        <w:rPr>
          <w:rFonts w:cs="Arial"/>
          <w:color w:val="000000"/>
          <w:szCs w:val="20"/>
          <w:lang w:val="en" w:eastAsia="en-AU"/>
        </w:rPr>
        <w:t>.</w:t>
      </w:r>
      <w:r w:rsidRPr="00BA5D03">
        <w:rPr>
          <w:rFonts w:cs="Arial"/>
          <w:color w:val="000000"/>
          <w:szCs w:val="20"/>
          <w:lang w:eastAsia="en-AU"/>
        </w:rPr>
        <w:t xml:space="preserve"> </w:t>
      </w:r>
      <w:r>
        <w:rPr>
          <w:rFonts w:cs="Arial"/>
          <w:color w:val="000000"/>
          <w:szCs w:val="20"/>
          <w:lang w:eastAsia="en-AU"/>
        </w:rPr>
        <w:t>I speak for all of us when I say working with him has been a privilege</w:t>
      </w:r>
      <w:r w:rsidRPr="008E7494">
        <w:rPr>
          <w:rFonts w:cs="Arial"/>
          <w:color w:val="000000"/>
          <w:szCs w:val="20"/>
          <w:lang w:eastAsia="en-AU"/>
        </w:rPr>
        <w:t xml:space="preserve">. </w:t>
      </w:r>
    </w:p>
    <w:p w14:paraId="6891689B" w14:textId="77777777" w:rsidR="00E06FB2" w:rsidRDefault="00E06FB2" w:rsidP="00E06FB2">
      <w:pPr>
        <w:rPr>
          <w:rFonts w:cs="Arial"/>
          <w:color w:val="000000"/>
          <w:szCs w:val="20"/>
          <w:lang w:eastAsia="en-AU"/>
        </w:rPr>
      </w:pPr>
      <w:r>
        <w:rPr>
          <w:rFonts w:cs="Arial"/>
          <w:color w:val="000000"/>
          <w:szCs w:val="20"/>
          <w:lang w:eastAsia="en-AU"/>
        </w:rPr>
        <w:t xml:space="preserve">Former </w:t>
      </w:r>
      <w:r w:rsidRPr="008E7494">
        <w:rPr>
          <w:rFonts w:cs="Arial"/>
          <w:color w:val="000000"/>
          <w:szCs w:val="20"/>
          <w:lang w:eastAsia="en-AU"/>
        </w:rPr>
        <w:t>Deputy Commissioner Curtin</w:t>
      </w:r>
      <w:r>
        <w:rPr>
          <w:rFonts w:cs="Arial"/>
          <w:color w:val="000000"/>
          <w:szCs w:val="20"/>
          <w:lang w:eastAsia="en-AU"/>
        </w:rPr>
        <w:t>’s appointment ended with the Commission on 31 December 2018. He is missed by Commission staff and all the Local Commissioners who voiced their appreciation of his efforts since 2010 at the Local Commissioner Development Week held in June 2019. His support for my role of Registrar has been very much valued and appreciated, as was his specific leadership role with the Doomadgee Commissioners. The Deputy Commissioner’s</w:t>
      </w:r>
      <w:r w:rsidRPr="00245BD6">
        <w:rPr>
          <w:rFonts w:cs="Arial"/>
          <w:color w:val="000000"/>
          <w:szCs w:val="20"/>
          <w:lang w:val="en" w:eastAsia="en-AU"/>
        </w:rPr>
        <w:t xml:space="preserve"> mentoring of each of them has </w:t>
      </w:r>
      <w:r>
        <w:rPr>
          <w:rFonts w:cs="Arial"/>
          <w:color w:val="000000"/>
          <w:szCs w:val="20"/>
          <w:lang w:val="en" w:eastAsia="en-AU"/>
        </w:rPr>
        <w:t xml:space="preserve">assisted them to become </w:t>
      </w:r>
      <w:r w:rsidRPr="00245BD6">
        <w:rPr>
          <w:rFonts w:cs="Arial"/>
          <w:color w:val="000000"/>
          <w:szCs w:val="20"/>
          <w:lang w:val="en" w:eastAsia="en-AU"/>
        </w:rPr>
        <w:t>what they are today – leaders of their communit</w:t>
      </w:r>
      <w:r>
        <w:rPr>
          <w:rFonts w:cs="Arial"/>
          <w:color w:val="000000"/>
          <w:szCs w:val="20"/>
          <w:lang w:val="en" w:eastAsia="en-AU"/>
        </w:rPr>
        <w:t>y.</w:t>
      </w:r>
    </w:p>
    <w:p w14:paraId="2D66E3F1" w14:textId="77777777" w:rsidR="00E06FB2" w:rsidRPr="008E7494" w:rsidRDefault="00E06FB2" w:rsidP="00E06FB2">
      <w:pPr>
        <w:rPr>
          <w:b/>
        </w:rPr>
      </w:pPr>
    </w:p>
    <w:p w14:paraId="5F436206" w14:textId="77777777" w:rsidR="00E06FB2" w:rsidRPr="008E7494" w:rsidRDefault="00E06FB2" w:rsidP="00E06FB2">
      <w:pPr>
        <w:rPr>
          <w:b/>
        </w:rPr>
      </w:pPr>
      <w:r w:rsidRPr="008E7494">
        <w:rPr>
          <w:b/>
        </w:rPr>
        <w:t>Maxine McLeod</w:t>
      </w:r>
    </w:p>
    <w:p w14:paraId="37147957" w14:textId="77777777" w:rsidR="00E06FB2" w:rsidRDefault="00E06FB2" w:rsidP="00E06FB2">
      <w:pPr>
        <w:rPr>
          <w:b/>
        </w:rPr>
      </w:pPr>
      <w:r w:rsidRPr="008E7494">
        <w:rPr>
          <w:b/>
        </w:rPr>
        <w:t>Registrar</w:t>
      </w:r>
    </w:p>
    <w:p w14:paraId="277FCD6F" w14:textId="77777777" w:rsidR="00E4245D" w:rsidRPr="008E7494" w:rsidRDefault="00E4245D" w:rsidP="00E06FB2">
      <w:pPr>
        <w:rPr>
          <w:b/>
        </w:rPr>
      </w:pPr>
    </w:p>
    <w:p w14:paraId="6CF8D218" w14:textId="77777777" w:rsidR="004A7E7A" w:rsidRDefault="004A7E7A" w:rsidP="00E06FB2">
      <w:pPr>
        <w:rPr>
          <w:lang w:eastAsia="en-AU"/>
        </w:rPr>
        <w:sectPr w:rsidR="004A7E7A" w:rsidSect="00066DE4">
          <w:headerReference w:type="even" r:id="rId59"/>
          <w:headerReference w:type="default" r:id="rId60"/>
          <w:headerReference w:type="first" r:id="rId61"/>
          <w:footnotePr>
            <w:numRestart w:val="eachSect"/>
          </w:footnotePr>
          <w:pgSz w:w="11906" w:h="16838"/>
          <w:pgMar w:top="2948" w:right="1701" w:bottom="567" w:left="1701" w:header="0" w:footer="567" w:gutter="0"/>
          <w:cols w:space="708"/>
          <w:docGrid w:linePitch="360"/>
        </w:sectPr>
      </w:pPr>
    </w:p>
    <w:p w14:paraId="20A0DA75" w14:textId="77777777" w:rsidR="00E4245D" w:rsidRDefault="00E4245D" w:rsidP="00E4245D">
      <w:pPr>
        <w:rPr>
          <w:lang w:val="en-US"/>
        </w:rPr>
      </w:pPr>
      <w:r>
        <w:rPr>
          <w:lang w:val="en-US"/>
        </w:rPr>
        <w:lastRenderedPageBreak/>
        <w:t>The uncertainty over the future of the Commission, and the anticipated appointment of a successor for Commissioner Glasgow’s position led to a decision to hold the annual Local Commissioner Development Week later in 2019, in the hope that some clarity around the future would have been available to relay to the Local Commissioners. As it happened, the gathering was timely as it was during this week that the Queensland Government tabled the 2019-20 budget and the Commission Registrar, Maxine McLeod, was able to announce to the Commissioners that it included a commitment to continue funding the FRC for a further year to 30 June 2020.</w:t>
      </w:r>
    </w:p>
    <w:p w14:paraId="55E9782B" w14:textId="4BFA77FB" w:rsidR="00E4245D" w:rsidRDefault="00E4245D" w:rsidP="00E4245D">
      <w:pPr>
        <w:rPr>
          <w:i/>
          <w:highlight w:val="yellow"/>
          <w:lang w:val="en-US"/>
        </w:rPr>
      </w:pPr>
      <w:r>
        <w:rPr>
          <w:lang w:val="en-US"/>
        </w:rPr>
        <w:t xml:space="preserve">Noel Pearson, Founder of </w:t>
      </w:r>
      <w:r w:rsidR="009844C0">
        <w:rPr>
          <w:lang w:val="en-US"/>
        </w:rPr>
        <w:t>CYP</w:t>
      </w:r>
      <w:r>
        <w:rPr>
          <w:lang w:val="en-US"/>
        </w:rPr>
        <w:t xml:space="preserve">, was officially invited to open the conference, but due to personal commitments was unable to attend. In </w:t>
      </w:r>
      <w:proofErr w:type="spellStart"/>
      <w:r>
        <w:rPr>
          <w:lang w:val="en-US"/>
        </w:rPr>
        <w:t>Mr</w:t>
      </w:r>
      <w:proofErr w:type="spellEnd"/>
      <w:r>
        <w:rPr>
          <w:lang w:val="en-US"/>
        </w:rPr>
        <w:t xml:space="preserve"> Pearson’s absence, CYP’s Chief Executive Officer, Fiona Jose, welcomed the Commissioners and presented a 30-minute pre-recorded video by Noel Pearson. It is no exaggeration to state that the Commissioners were enthralled by his address which was both powerful and emotional. The room remained silent as Noel commended the Commissioners for taking responsibility for self-determination in their communities and encouraged them to continue to build on the successes of the previous decade.</w:t>
      </w:r>
    </w:p>
    <w:p w14:paraId="78B3F644" w14:textId="3391F35D" w:rsidR="00E4245D" w:rsidRPr="008A7984" w:rsidRDefault="00E4245D" w:rsidP="00E4245D">
      <w:pPr>
        <w:ind w:left="720"/>
        <w:rPr>
          <w:rFonts w:cs="Arial"/>
          <w:b/>
          <w:bCs/>
          <w:i/>
          <w:iCs/>
          <w:color w:val="446E82"/>
          <w:szCs w:val="20"/>
        </w:rPr>
      </w:pPr>
      <w:r>
        <w:rPr>
          <w:rFonts w:cs="Arial"/>
          <w:b/>
          <w:bCs/>
          <w:i/>
          <w:iCs/>
          <w:color w:val="446E82"/>
          <w:szCs w:val="20"/>
        </w:rPr>
        <w:t>“</w:t>
      </w:r>
      <w:r w:rsidRPr="008A7984">
        <w:rPr>
          <w:rFonts w:cs="Arial"/>
          <w:b/>
          <w:bCs/>
          <w:i/>
          <w:iCs/>
          <w:color w:val="446E82"/>
          <w:szCs w:val="20"/>
        </w:rPr>
        <w:t xml:space="preserve">The greatest asset and the greatest strength that any individual </w:t>
      </w:r>
      <w:r>
        <w:rPr>
          <w:rFonts w:cs="Arial"/>
          <w:b/>
          <w:bCs/>
          <w:i/>
          <w:iCs/>
          <w:color w:val="446E82"/>
          <w:szCs w:val="20"/>
        </w:rPr>
        <w:t xml:space="preserve">or </w:t>
      </w:r>
      <w:r w:rsidRPr="008A7984">
        <w:rPr>
          <w:rFonts w:cs="Arial"/>
          <w:b/>
          <w:bCs/>
          <w:i/>
          <w:iCs/>
          <w:color w:val="446E82"/>
          <w:szCs w:val="20"/>
        </w:rPr>
        <w:t>community or family can have – the greatest strength is self-reliance and responsibility. You want to talk about assets, you want to talk about working with people</w:t>
      </w:r>
      <w:r>
        <w:rPr>
          <w:rFonts w:cs="Arial"/>
          <w:b/>
          <w:bCs/>
          <w:i/>
          <w:iCs/>
          <w:color w:val="446E82"/>
          <w:szCs w:val="20"/>
        </w:rPr>
        <w:t>’</w:t>
      </w:r>
      <w:r w:rsidRPr="008A7984">
        <w:rPr>
          <w:rFonts w:cs="Arial"/>
          <w:b/>
          <w:bCs/>
          <w:i/>
          <w:iCs/>
          <w:color w:val="446E82"/>
          <w:szCs w:val="20"/>
        </w:rPr>
        <w:t>s strengths – start with their own responsibility. It is the greatest power. You want to a lift a family out of misery</w:t>
      </w:r>
      <w:r w:rsidR="003916F7">
        <w:rPr>
          <w:rFonts w:cs="Arial"/>
          <w:b/>
          <w:bCs/>
          <w:i/>
          <w:iCs/>
          <w:color w:val="446E82"/>
          <w:szCs w:val="20"/>
        </w:rPr>
        <w:t xml:space="preserve"> -</w:t>
      </w:r>
      <w:r w:rsidRPr="008A7984">
        <w:rPr>
          <w:rFonts w:cs="Arial"/>
          <w:b/>
          <w:bCs/>
          <w:i/>
          <w:iCs/>
          <w:color w:val="446E82"/>
          <w:szCs w:val="20"/>
        </w:rPr>
        <w:t xml:space="preserve"> </w:t>
      </w:r>
      <w:r w:rsidR="003916F7">
        <w:rPr>
          <w:rFonts w:cs="Arial"/>
          <w:b/>
          <w:bCs/>
          <w:i/>
          <w:iCs/>
          <w:color w:val="446E82"/>
          <w:szCs w:val="20"/>
        </w:rPr>
        <w:t>o</w:t>
      </w:r>
      <w:r w:rsidRPr="008A7984">
        <w:rPr>
          <w:rFonts w:cs="Arial"/>
          <w:b/>
          <w:bCs/>
          <w:i/>
          <w:iCs/>
          <w:color w:val="446E82"/>
          <w:szCs w:val="20"/>
        </w:rPr>
        <w:t>ut of poverty? Then work with their responsibility</w:t>
      </w:r>
      <w:r>
        <w:rPr>
          <w:rFonts w:cs="Arial"/>
          <w:b/>
          <w:bCs/>
          <w:i/>
          <w:iCs/>
          <w:color w:val="446E82"/>
          <w:szCs w:val="20"/>
        </w:rPr>
        <w:t xml:space="preserve">……  </w:t>
      </w:r>
      <w:r w:rsidRPr="008A7984">
        <w:rPr>
          <w:rFonts w:cs="Arial"/>
          <w:b/>
          <w:bCs/>
          <w:i/>
          <w:iCs/>
          <w:color w:val="446E82"/>
          <w:szCs w:val="20"/>
        </w:rPr>
        <w:t>You look all over the world – you look in the mainstream</w:t>
      </w:r>
      <w:r w:rsidR="003916F7">
        <w:rPr>
          <w:rFonts w:cs="Arial"/>
          <w:b/>
          <w:bCs/>
          <w:i/>
          <w:iCs/>
          <w:color w:val="446E82"/>
          <w:szCs w:val="20"/>
        </w:rPr>
        <w:t xml:space="preserve"> </w:t>
      </w:r>
      <w:r w:rsidR="003916F7" w:rsidRPr="008A7984">
        <w:rPr>
          <w:rFonts w:cs="Arial"/>
          <w:b/>
          <w:bCs/>
          <w:i/>
          <w:iCs/>
          <w:color w:val="446E82"/>
          <w:szCs w:val="20"/>
        </w:rPr>
        <w:t xml:space="preserve">– </w:t>
      </w:r>
      <w:r w:rsidR="003916F7">
        <w:rPr>
          <w:rFonts w:cs="Arial"/>
          <w:b/>
          <w:bCs/>
          <w:i/>
          <w:iCs/>
          <w:color w:val="446E82"/>
          <w:szCs w:val="20"/>
        </w:rPr>
        <w:t>y</w:t>
      </w:r>
      <w:r w:rsidRPr="008A7984">
        <w:rPr>
          <w:rFonts w:cs="Arial"/>
          <w:b/>
          <w:bCs/>
          <w:i/>
          <w:iCs/>
          <w:color w:val="446E82"/>
          <w:szCs w:val="20"/>
        </w:rPr>
        <w:t>ou look in the third world</w:t>
      </w:r>
      <w:r>
        <w:rPr>
          <w:rFonts w:cs="Arial"/>
          <w:b/>
          <w:bCs/>
          <w:i/>
          <w:iCs/>
          <w:color w:val="446E82"/>
          <w:szCs w:val="20"/>
        </w:rPr>
        <w:t>.</w:t>
      </w:r>
      <w:r w:rsidRPr="008A7984">
        <w:rPr>
          <w:rFonts w:cs="Arial"/>
          <w:b/>
          <w:bCs/>
          <w:i/>
          <w:iCs/>
          <w:color w:val="446E82"/>
          <w:szCs w:val="20"/>
        </w:rPr>
        <w:t xml:space="preserve"> </w:t>
      </w:r>
      <w:r>
        <w:rPr>
          <w:rFonts w:cs="Arial"/>
          <w:b/>
          <w:bCs/>
          <w:i/>
          <w:iCs/>
          <w:color w:val="446E82"/>
          <w:szCs w:val="20"/>
        </w:rPr>
        <w:t>Y</w:t>
      </w:r>
      <w:r w:rsidRPr="008A7984">
        <w:rPr>
          <w:rFonts w:cs="Arial"/>
          <w:b/>
          <w:bCs/>
          <w:i/>
          <w:iCs/>
          <w:color w:val="446E82"/>
          <w:szCs w:val="20"/>
        </w:rPr>
        <w:t>ou look in societies that are strong and prosperous – you see people taking responsibility. It is the greatest, and sometimes it is the only asset that poor people have. But you can build great things with that asset.</w:t>
      </w:r>
      <w:r>
        <w:rPr>
          <w:rFonts w:cs="Arial"/>
          <w:b/>
          <w:bCs/>
          <w:i/>
          <w:iCs/>
          <w:color w:val="446E82"/>
          <w:szCs w:val="20"/>
        </w:rPr>
        <w:t>”</w:t>
      </w:r>
    </w:p>
    <w:p w14:paraId="2AFB7714" w14:textId="77777777" w:rsidR="00E4245D" w:rsidRDefault="00E4245D" w:rsidP="00E4245D">
      <w:pPr>
        <w:jc w:val="right"/>
        <w:rPr>
          <w:lang w:val="en-US"/>
        </w:rPr>
      </w:pPr>
      <w:r>
        <w:rPr>
          <w:lang w:val="en-US"/>
        </w:rPr>
        <w:t>Noel Pearson</w:t>
      </w:r>
    </w:p>
    <w:p w14:paraId="0C141528" w14:textId="77777777" w:rsidR="00E4245D" w:rsidRDefault="00E4245D" w:rsidP="00E4245D">
      <w:pPr>
        <w:rPr>
          <w:lang w:val="en-US"/>
        </w:rPr>
      </w:pPr>
    </w:p>
    <w:p w14:paraId="797C5FAB" w14:textId="4B4E19E7" w:rsidR="00E4245D" w:rsidRDefault="00E4245D" w:rsidP="00E4245D">
      <w:pPr>
        <w:rPr>
          <w:lang w:val="en-US"/>
        </w:rPr>
      </w:pPr>
      <w:r>
        <w:rPr>
          <w:lang w:val="en-US"/>
        </w:rPr>
        <w:t>Much of the first day of the Development Week was taken up with necessary discourse in relation to the past, present and future of Welfare Reform and the FRC. Representatives from DATSIP, CY</w:t>
      </w:r>
      <w:r w:rsidR="00A41A67">
        <w:rPr>
          <w:lang w:val="en-US"/>
        </w:rPr>
        <w:t>P representing the Institute</w:t>
      </w:r>
      <w:r>
        <w:rPr>
          <w:lang w:val="en-US"/>
        </w:rPr>
        <w:t xml:space="preserve"> and DPMC delivered presentations on policy, future direction and the implementation of the Queensland Government Local Thriving Communities model.</w:t>
      </w:r>
    </w:p>
    <w:p w14:paraId="336F0F8B" w14:textId="2C6265B0" w:rsidR="00E4245D" w:rsidRDefault="00E4245D" w:rsidP="00E4245D">
      <w:pPr>
        <w:rPr>
          <w:lang w:val="en-US"/>
        </w:rPr>
      </w:pPr>
      <w:r>
        <w:rPr>
          <w:lang w:val="en-US"/>
        </w:rPr>
        <w:t xml:space="preserve">One of the most critical issues affecting Aboriginal people in recent years is the rate of suicide and self-harm, particularly among children and youth. In early June </w:t>
      </w:r>
      <w:r w:rsidRPr="00617D41">
        <w:rPr>
          <w:i/>
          <w:lang w:val="en-US"/>
        </w:rPr>
        <w:t>The Australian</w:t>
      </w:r>
      <w:r>
        <w:rPr>
          <w:lang w:val="en-US"/>
        </w:rPr>
        <w:t xml:space="preserve"> reported that 79 Indigenous people had committed suicide this year, 20 of them children. Described as an “</w:t>
      </w:r>
      <w:r w:rsidRPr="003916F7">
        <w:rPr>
          <w:i/>
          <w:lang w:val="en-US"/>
        </w:rPr>
        <w:t>unspeakable tragedy</w:t>
      </w:r>
      <w:r>
        <w:rPr>
          <w:lang w:val="en-US"/>
        </w:rPr>
        <w:t xml:space="preserve">” by the Royal Australasian College of Physicians, it seemed fitting that a proportion of the week dedicated to the personal and professional development of Local Commissioners as community leaders be </w:t>
      </w:r>
      <w:r w:rsidR="00563CB0">
        <w:rPr>
          <w:lang w:val="en-US"/>
        </w:rPr>
        <w:t>committed</w:t>
      </w:r>
      <w:r>
        <w:rPr>
          <w:lang w:val="en-US"/>
        </w:rPr>
        <w:t xml:space="preserve"> to providing training in suicide intervention and prevention. Registered trainers from </w:t>
      </w:r>
      <w:proofErr w:type="spellStart"/>
      <w:r>
        <w:rPr>
          <w:lang w:val="en-US"/>
        </w:rPr>
        <w:t>LivingWorks</w:t>
      </w:r>
      <w:proofErr w:type="spellEnd"/>
      <w:r>
        <w:rPr>
          <w:lang w:val="en-US"/>
        </w:rPr>
        <w:t xml:space="preserve"> Australia conducted a </w:t>
      </w:r>
      <w:proofErr w:type="spellStart"/>
      <w:r>
        <w:rPr>
          <w:lang w:val="en-US"/>
        </w:rPr>
        <w:t>safeTALK</w:t>
      </w:r>
      <w:proofErr w:type="spellEnd"/>
      <w:r>
        <w:rPr>
          <w:lang w:val="en-US"/>
        </w:rPr>
        <w:t xml:space="preserve"> workshop designed to teach participants how to provide practical help to people with thoughts of suicide and contribute to building suicide-safer communities. A further presentation informed the Commissioners about a pilot Indigenous Network Suicide Intervention Training (INSIST) program developed by researchers at the University of Queensland Rural Clinical School. </w:t>
      </w:r>
    </w:p>
    <w:p w14:paraId="1B58ECDF" w14:textId="77777777" w:rsidR="0050413E" w:rsidRDefault="0050413E">
      <w:pPr>
        <w:spacing w:after="160" w:line="259" w:lineRule="auto"/>
        <w:rPr>
          <w:lang w:val="en-US"/>
        </w:rPr>
      </w:pPr>
      <w:r>
        <w:rPr>
          <w:lang w:val="en-US"/>
        </w:rPr>
        <w:br w:type="page"/>
      </w:r>
    </w:p>
    <w:p w14:paraId="46B41B0B" w14:textId="21C19AB6" w:rsidR="00E4245D" w:rsidRDefault="00E4245D" w:rsidP="00E4245D">
      <w:pPr>
        <w:rPr>
          <w:lang w:val="en-US"/>
        </w:rPr>
      </w:pPr>
      <w:r>
        <w:rPr>
          <w:lang w:val="en-US"/>
        </w:rPr>
        <w:lastRenderedPageBreak/>
        <w:t xml:space="preserve">Lloyd </w:t>
      </w:r>
      <w:proofErr w:type="spellStart"/>
      <w:r>
        <w:rPr>
          <w:lang w:val="en-US"/>
        </w:rPr>
        <w:t>Biehler</w:t>
      </w:r>
      <w:proofErr w:type="spellEnd"/>
      <w:r>
        <w:rPr>
          <w:lang w:val="en-US"/>
        </w:rPr>
        <w:t xml:space="preserve">, a Pastor and Police Liaison Officer since 2003 spoke of his work helping Cape York community members who have become itinerant in Cairns to return to their homelands. The Return to Country program assists homeless individuals with referrals to alcohol rehabilitation facilities, the provision of clothing and hygiene packs, booking </w:t>
      </w:r>
      <w:proofErr w:type="spellStart"/>
      <w:r>
        <w:rPr>
          <w:lang w:val="en-US"/>
        </w:rPr>
        <w:t>subsidised</w:t>
      </w:r>
      <w:proofErr w:type="spellEnd"/>
      <w:r>
        <w:rPr>
          <w:lang w:val="en-US"/>
        </w:rPr>
        <w:t xml:space="preserve"> flights, transport to the airport and liaison with Community Justice groups around parole requirements and permission to return.</w:t>
      </w:r>
    </w:p>
    <w:p w14:paraId="067E3CC8" w14:textId="77777777" w:rsidR="00E4245D" w:rsidRDefault="00E4245D" w:rsidP="00E4245D">
      <w:pPr>
        <w:rPr>
          <w:lang w:val="en-US"/>
        </w:rPr>
      </w:pPr>
      <w:r>
        <w:rPr>
          <w:lang w:val="en-US"/>
        </w:rPr>
        <w:t>On a lighter and more positive note the Commissioners enjoyed a visit to and tour of the new AFL Cape York Girls House at Redlynch. Scenically located between sugar cane fields and mountains, the facility was opened in early 2019 and provides boarding for up to 40 young girls from Cape communities in a culturally appropriate, safe and secure residential environment. The Commissioners were very impressed and looked forward to sharing the message of the opportunities available at Cape York Girls House with the young women back in their communities.</w:t>
      </w:r>
    </w:p>
    <w:p w14:paraId="33EE7895" w14:textId="76AB1559" w:rsidR="00E4245D" w:rsidRDefault="00E4245D" w:rsidP="00E4245D">
      <w:pPr>
        <w:rPr>
          <w:lang w:val="en-US"/>
        </w:rPr>
      </w:pPr>
      <w:proofErr w:type="spellStart"/>
      <w:r>
        <w:rPr>
          <w:lang w:val="en-US"/>
        </w:rPr>
        <w:t>Apunipima</w:t>
      </w:r>
      <w:proofErr w:type="spellEnd"/>
      <w:r>
        <w:rPr>
          <w:lang w:val="en-US"/>
        </w:rPr>
        <w:t xml:space="preserve"> Cape York Health Council CEO Paul Stephenson gave a comprehensive presentation on the history and more recent expansion of the </w:t>
      </w:r>
      <w:proofErr w:type="spellStart"/>
      <w:r>
        <w:rPr>
          <w:lang w:val="en-US"/>
        </w:rPr>
        <w:t>organisation</w:t>
      </w:r>
      <w:proofErr w:type="spellEnd"/>
      <w:r>
        <w:rPr>
          <w:lang w:val="en-US"/>
        </w:rPr>
        <w:t>. Paul outlined the transition to a model of care that combined social, emotional and spiritual wellbeing with primary health care. Paul acknowledged the past decade of hard work and challenges faced by the Commissioners, describing the FRC as one of the best examples of self-determination he had seen in many years working in health in Cape York, the Torres Strait, west to Mt Isa and the Gulf and Darwin.</w:t>
      </w:r>
    </w:p>
    <w:p w14:paraId="5E94C13F" w14:textId="77777777" w:rsidR="00E4245D" w:rsidRPr="008A7984" w:rsidRDefault="00E4245D" w:rsidP="00E4245D">
      <w:pPr>
        <w:ind w:left="720"/>
        <w:rPr>
          <w:rFonts w:cs="Arial"/>
          <w:b/>
          <w:bCs/>
          <w:i/>
          <w:iCs/>
          <w:color w:val="446E82"/>
          <w:szCs w:val="20"/>
        </w:rPr>
      </w:pPr>
      <w:r>
        <w:rPr>
          <w:rFonts w:cs="Arial"/>
          <w:b/>
          <w:bCs/>
          <w:i/>
          <w:iCs/>
          <w:color w:val="446E82"/>
          <w:szCs w:val="20"/>
        </w:rPr>
        <w:t>“</w:t>
      </w:r>
      <w:r w:rsidRPr="008A7984">
        <w:rPr>
          <w:rFonts w:cs="Arial"/>
          <w:b/>
          <w:bCs/>
          <w:i/>
          <w:iCs/>
          <w:color w:val="446E82"/>
          <w:szCs w:val="20"/>
        </w:rPr>
        <w:t>I have been an advocate of what I consider to be one of the best examples of self-determination – this Family Responsibilities Commission – it is community driven.</w:t>
      </w:r>
      <w:r>
        <w:rPr>
          <w:rFonts w:cs="Arial"/>
          <w:b/>
          <w:bCs/>
          <w:i/>
          <w:iCs/>
          <w:color w:val="446E82"/>
          <w:szCs w:val="20"/>
        </w:rPr>
        <w:t>”</w:t>
      </w:r>
    </w:p>
    <w:p w14:paraId="0BC674EB" w14:textId="77777777" w:rsidR="00E4245D" w:rsidRPr="008A7984" w:rsidRDefault="00E4245D" w:rsidP="00E4245D">
      <w:pPr>
        <w:jc w:val="right"/>
        <w:rPr>
          <w:lang w:val="en-US"/>
        </w:rPr>
      </w:pPr>
      <w:r w:rsidRPr="008A7984">
        <w:rPr>
          <w:lang w:val="en-US"/>
        </w:rPr>
        <w:t>Paul Stephenson</w:t>
      </w:r>
    </w:p>
    <w:p w14:paraId="5780057B" w14:textId="77777777" w:rsidR="00E4245D" w:rsidRDefault="00E4245D" w:rsidP="00E4245D">
      <w:pPr>
        <w:rPr>
          <w:lang w:val="en-US"/>
        </w:rPr>
      </w:pPr>
    </w:p>
    <w:p w14:paraId="655F1CAB" w14:textId="0E4490CE" w:rsidR="00E4245D" w:rsidRDefault="00E4245D" w:rsidP="00E4245D">
      <w:pPr>
        <w:rPr>
          <w:lang w:val="en-US"/>
        </w:rPr>
      </w:pPr>
      <w:r>
        <w:rPr>
          <w:lang w:val="en-US"/>
        </w:rPr>
        <w:t xml:space="preserve">There was a sad note to the conclusion of the 2019 Development Week. Former Deputy Commissioner Rod Curtin said his farewells to the Commissioners with whom he had worked so closely for </w:t>
      </w:r>
      <w:r w:rsidR="00465C44">
        <w:rPr>
          <w:lang w:val="en-US"/>
        </w:rPr>
        <w:t xml:space="preserve">eight and a half </w:t>
      </w:r>
      <w:r>
        <w:rPr>
          <w:lang w:val="en-US"/>
        </w:rPr>
        <w:t>years. Further, the 2019 Local Commissioner Development Week was also to be the last for Commissioner Glasgow as his retirement date nears. Local Commissioners and dignitaries present at the conference acknowledged Commissioner Glasgow’s highly esteemed leadership of the FRC both in the Cairns Registry and in the communities. He will be sorely missed by staff and Commissioners alike.</w:t>
      </w:r>
    </w:p>
    <w:p w14:paraId="63DEE47E" w14:textId="77777777" w:rsidR="004A7E7A" w:rsidRDefault="004A7E7A" w:rsidP="003E09C0">
      <w:pPr>
        <w:rPr>
          <w:rFonts w:cs="Arial"/>
          <w:szCs w:val="20"/>
          <w:lang w:val="en-US" w:eastAsia="en-AU"/>
        </w:rPr>
      </w:pPr>
    </w:p>
    <w:p w14:paraId="78F093BB" w14:textId="77777777" w:rsidR="004A7E7A" w:rsidRDefault="004A7E7A" w:rsidP="003E09C0">
      <w:pPr>
        <w:rPr>
          <w:rFonts w:cs="Arial"/>
          <w:szCs w:val="20"/>
          <w:lang w:val="en-US" w:eastAsia="en-AU"/>
        </w:rPr>
        <w:sectPr w:rsidR="004A7E7A" w:rsidSect="00066DE4">
          <w:headerReference w:type="even" r:id="rId62"/>
          <w:headerReference w:type="default" r:id="rId63"/>
          <w:headerReference w:type="first" r:id="rId64"/>
          <w:footnotePr>
            <w:numRestart w:val="eachSect"/>
          </w:footnotePr>
          <w:pgSz w:w="11906" w:h="16838"/>
          <w:pgMar w:top="2948" w:right="1701" w:bottom="567" w:left="1701" w:header="0" w:footer="567" w:gutter="0"/>
          <w:cols w:space="708"/>
          <w:docGrid w:linePitch="360"/>
        </w:sectPr>
      </w:pPr>
    </w:p>
    <w:p w14:paraId="40606498" w14:textId="77777777" w:rsidR="00631612" w:rsidRPr="00E37C4C" w:rsidRDefault="00631612" w:rsidP="00E37C4C">
      <w:pPr>
        <w:pStyle w:val="Heading2"/>
      </w:pPr>
      <w:r w:rsidRPr="00E37C4C">
        <w:lastRenderedPageBreak/>
        <w:t>Operational highlights</w:t>
      </w:r>
    </w:p>
    <w:p w14:paraId="4CFFF834" w14:textId="77777777" w:rsidR="008122FA" w:rsidRDefault="008122FA" w:rsidP="008122FA">
      <w:r w:rsidRPr="005D104F">
        <w:t>The following report details our performance for the period 1 July 201</w:t>
      </w:r>
      <w:r>
        <w:t>8</w:t>
      </w:r>
      <w:r w:rsidRPr="005D104F">
        <w:t xml:space="preserve"> to 30 June 201</w:t>
      </w:r>
      <w:r>
        <w:t>9</w:t>
      </w:r>
      <w:r w:rsidRPr="005D104F">
        <w:t>.</w:t>
      </w:r>
    </w:p>
    <w:p w14:paraId="12E1CCB1" w14:textId="70608F9B" w:rsidR="008122FA" w:rsidRDefault="008122FA" w:rsidP="008122FA">
      <w:r>
        <w:t>The challenges presented by the uncertainty surrounding the future of the Commission referred to in the 2017-18 annual report continued to impact operations into the 2018-19 year. Despite this, Commissioners and staff continued to steadfastly perform their duties, demonstrating their unwavering commitment to supporting Welfare Reform and the principles of the</w:t>
      </w:r>
      <w:r w:rsidR="003F42C4">
        <w:t xml:space="preserve"> </w:t>
      </w:r>
      <w:r>
        <w:t>FRC Act.</w:t>
      </w:r>
    </w:p>
    <w:p w14:paraId="7B76680E" w14:textId="4178500B" w:rsidR="008122FA" w:rsidRDefault="008122FA" w:rsidP="008122FA">
      <w:r>
        <w:t xml:space="preserve">Building on the success of the previous year the Local Commissioners continued to take the lead in conferences conducting </w:t>
      </w:r>
      <w:r>
        <w:rPr>
          <w:rFonts w:cs="Arial"/>
          <w:iCs/>
          <w:szCs w:val="20"/>
        </w:rPr>
        <w:t xml:space="preserve">96.9 </w:t>
      </w:r>
      <w:r w:rsidRPr="004D3E98">
        <w:rPr>
          <w:rFonts w:cs="Arial"/>
          <w:iCs/>
          <w:szCs w:val="20"/>
        </w:rPr>
        <w:t>p</w:t>
      </w:r>
      <w:r w:rsidRPr="004D3E98">
        <w:t>ercent of conferences without the presence of either Commissioner Glasgow or</w:t>
      </w:r>
      <w:r>
        <w:t>, prior to 31 December 201</w:t>
      </w:r>
      <w:r w:rsidR="00A6543E">
        <w:t>8</w:t>
      </w:r>
      <w:r>
        <w:t xml:space="preserve">, </w:t>
      </w:r>
      <w:r w:rsidRPr="004D3E98">
        <w:t xml:space="preserve">Deputy Commissioner Curtin. </w:t>
      </w:r>
      <w:r>
        <w:t>The steady increase in the number of conferences conducted independently is evidence of the Local Commissioners achieving one of the primary objects of the FRC Act – the restoration of local Indigenous authority.</w:t>
      </w:r>
    </w:p>
    <w:p w14:paraId="0882E56A" w14:textId="1C5EF1FE" w:rsidR="008122FA" w:rsidRDefault="008122FA" w:rsidP="008122FA">
      <w:r>
        <w:t xml:space="preserve">The Commission’s ongoing commitment to the process of continual improvement and increased efficiency in administrative processes has seen the Registry staff consistently manage a steady workload despite fluctuations in staffing levels due to various factors, including extended sick leave and employee separation. The somewhat challenging conditions have, however, provided an opportunity for staff of the Commission to develop their skills and resilience. Currently operating short of its </w:t>
      </w:r>
      <w:r w:rsidR="00AB361E">
        <w:t>full-time</w:t>
      </w:r>
      <w:r w:rsidR="00270528">
        <w:t xml:space="preserve"> equivalent (</w:t>
      </w:r>
      <w:r>
        <w:t>FTE</w:t>
      </w:r>
      <w:r w:rsidR="00270528">
        <w:t>)</w:t>
      </w:r>
      <w:r>
        <w:t xml:space="preserve"> quota, the team have taken up opportunities to work across different roles in the office and to travel to communities to support Local Commissioners. The Registry team and Local Coordinators have been able to focus on in-house process improvements, contributing to policy development and strengthening networks.</w:t>
      </w:r>
    </w:p>
    <w:p w14:paraId="20A7BE98" w14:textId="77777777" w:rsidR="008122FA" w:rsidRDefault="008122FA" w:rsidP="008122FA">
      <w:pPr>
        <w:widowControl w:val="0"/>
        <w:autoSpaceDE w:val="0"/>
        <w:autoSpaceDN w:val="0"/>
        <w:adjustRightInd w:val="0"/>
        <w:spacing w:line="260" w:lineRule="atLeast"/>
      </w:pPr>
      <w:r>
        <w:t xml:space="preserve">Local Coordinators continue to manage the Commission’s day to day operations on the ground in the communities. Coordinators in each of the FRC communities </w:t>
      </w:r>
      <w:proofErr w:type="gramStart"/>
      <w:r>
        <w:t>provide assistance</w:t>
      </w:r>
      <w:proofErr w:type="gramEnd"/>
      <w:r>
        <w:t>, support and encouragement to Local Commissioners, community members, FRC clients, government and non-government agencies and other stakeholders, often above and beyond the duties required of the role. These activities have included assisting students to apply for and attend boarding school, playing a key role in interagency groups solving community and family issues, and organising and participating in community events.</w:t>
      </w:r>
    </w:p>
    <w:p w14:paraId="5E4791B4" w14:textId="77777777" w:rsidR="008122FA" w:rsidRDefault="008122FA" w:rsidP="008122FA">
      <w:pPr>
        <w:widowControl w:val="0"/>
        <w:autoSpaceDE w:val="0"/>
        <w:autoSpaceDN w:val="0"/>
        <w:adjustRightInd w:val="0"/>
        <w:spacing w:line="260" w:lineRule="atLeast"/>
        <w:rPr>
          <w:rFonts w:cs="Arial"/>
          <w:iCs/>
          <w:szCs w:val="20"/>
        </w:rPr>
      </w:pPr>
      <w:r w:rsidRPr="00044B4D">
        <w:t xml:space="preserve">One of the </w:t>
      </w:r>
      <w:r>
        <w:t xml:space="preserve">key </w:t>
      </w:r>
      <w:r w:rsidRPr="005D104F">
        <w:rPr>
          <w:rFonts w:cs="Arial"/>
          <w:iCs/>
          <w:szCs w:val="20"/>
        </w:rPr>
        <w:t>performance measures used by the Commission to identify workload and operating results</w:t>
      </w:r>
      <w:r>
        <w:rPr>
          <w:rFonts w:cs="Arial"/>
          <w:iCs/>
          <w:szCs w:val="20"/>
        </w:rPr>
        <w:t xml:space="preserve"> is the percentage of conferences attended by clients. This reporting period has seen a decrease in the number of conferences attended from 66.0 to 60.6 percent. Of the non-attendances at conference, 27.6 percent were explained. As noted by the Local Commissioners in their community reports Cyclone Ann, Cyclone Trevor and heavy rain and flooding had a significant impact on attendance numbers. The Commissioners also believe that the impact of ambiguity around the future of Commission operations has led to the perception among community members that the FRC is closing. The Local Commissioners, Local Coordinators and Registry staff are committed to increasing this attendance going forward. Commissioners and Local Coordinators have increased their efforts to go out in community on conference days and encourage clients to attend, and Doomadgee and Hope Vale conference days have been moved so as not to clash with court sittings. The promise of a clear future direction would go a long way to arresting what Local Commissioners identify as the first sign of erosion of their local authority built up over the previous decade.</w:t>
      </w:r>
    </w:p>
    <w:p w14:paraId="7AAD80FA" w14:textId="77777777" w:rsidR="008122FA" w:rsidRDefault="008122FA" w:rsidP="008122FA">
      <w:pPr>
        <w:spacing w:after="200" w:line="276" w:lineRule="auto"/>
      </w:pPr>
      <w:r>
        <w:br w:type="page"/>
      </w:r>
    </w:p>
    <w:p w14:paraId="6D39E7CF" w14:textId="538016E0" w:rsidR="008122FA" w:rsidRPr="004D3E98" w:rsidRDefault="008122FA" w:rsidP="008122FA">
      <w:r w:rsidRPr="00881B49">
        <w:lastRenderedPageBreak/>
        <w:t xml:space="preserve">Overall, </w:t>
      </w:r>
      <w:r>
        <w:t xml:space="preserve">the number of </w:t>
      </w:r>
      <w:r w:rsidR="000C5308">
        <w:t>CIM</w:t>
      </w:r>
      <w:r w:rsidRPr="00881B49">
        <w:t xml:space="preserve"> orders </w:t>
      </w:r>
      <w:r>
        <w:t xml:space="preserve">issued was </w:t>
      </w:r>
      <w:r w:rsidRPr="00881B49">
        <w:t xml:space="preserve">consistent with </w:t>
      </w:r>
      <w:r>
        <w:t xml:space="preserve">previous years. The news in April 2019 that </w:t>
      </w:r>
      <w:r w:rsidR="002853A3">
        <w:t>CYIM</w:t>
      </w:r>
      <w:r>
        <w:t xml:space="preserve"> would be extended until June 2020 provided some certainty for Local Commissioners and 88 </w:t>
      </w:r>
      <w:r w:rsidR="00555385">
        <w:t>CIM</w:t>
      </w:r>
      <w:r>
        <w:t xml:space="preserve"> </w:t>
      </w:r>
      <w:r w:rsidR="00555385">
        <w:t>o</w:t>
      </w:r>
      <w:r>
        <w:t>rders were issued in the last quarter of the year, many to those clients who were not attending conference.</w:t>
      </w:r>
    </w:p>
    <w:p w14:paraId="617EED1A" w14:textId="77777777" w:rsidR="008122FA" w:rsidRPr="008E5925" w:rsidRDefault="008122FA" w:rsidP="00E37C4C">
      <w:pPr>
        <w:pStyle w:val="Heading3"/>
      </w:pPr>
      <w:r w:rsidRPr="008E5925">
        <w:t>School attendance rate for 2015-2019 term 2</w:t>
      </w:r>
    </w:p>
    <w:tbl>
      <w:tblPr>
        <w:tblStyle w:val="TableGrid"/>
        <w:tblW w:w="0" w:type="auto"/>
        <w:tblLook w:val="04A0" w:firstRow="1" w:lastRow="0" w:firstColumn="1" w:lastColumn="0" w:noHBand="0" w:noVBand="1"/>
      </w:tblPr>
      <w:tblGrid>
        <w:gridCol w:w="3635"/>
        <w:gridCol w:w="967"/>
        <w:gridCol w:w="991"/>
        <w:gridCol w:w="967"/>
        <w:gridCol w:w="967"/>
        <w:gridCol w:w="967"/>
      </w:tblGrid>
      <w:tr w:rsidR="008122FA" w:rsidRPr="005D104F" w14:paraId="4C6CB68B" w14:textId="77777777" w:rsidTr="00A90858">
        <w:trPr>
          <w:trHeight w:val="826"/>
        </w:trPr>
        <w:tc>
          <w:tcPr>
            <w:tcW w:w="3635" w:type="dxa"/>
            <w:vAlign w:val="center"/>
          </w:tcPr>
          <w:p w14:paraId="5D5AF6DB" w14:textId="77777777" w:rsidR="008122FA" w:rsidRPr="005D104F" w:rsidRDefault="008122FA" w:rsidP="00A90858">
            <w:pPr>
              <w:widowControl w:val="0"/>
              <w:autoSpaceDE w:val="0"/>
              <w:autoSpaceDN w:val="0"/>
              <w:adjustRightInd w:val="0"/>
              <w:spacing w:after="0"/>
              <w:rPr>
                <w:b/>
              </w:rPr>
            </w:pPr>
            <w:r w:rsidRPr="005D104F">
              <w:rPr>
                <w:b/>
              </w:rPr>
              <w:t>School Attendance Data</w:t>
            </w:r>
          </w:p>
        </w:tc>
        <w:tc>
          <w:tcPr>
            <w:tcW w:w="967" w:type="dxa"/>
          </w:tcPr>
          <w:p w14:paraId="05BD056E" w14:textId="77777777" w:rsidR="008122FA" w:rsidRPr="005D104F" w:rsidRDefault="008122FA" w:rsidP="00A90858">
            <w:pPr>
              <w:widowControl w:val="0"/>
              <w:autoSpaceDE w:val="0"/>
              <w:autoSpaceDN w:val="0"/>
              <w:adjustRightInd w:val="0"/>
              <w:spacing w:after="0"/>
              <w:jc w:val="center"/>
              <w:rPr>
                <w:rFonts w:cs="Arial"/>
                <w:b/>
              </w:rPr>
            </w:pPr>
            <w:r w:rsidRPr="005D104F">
              <w:rPr>
                <w:rFonts w:cs="Arial"/>
                <w:b/>
              </w:rPr>
              <w:t>Term 2 2015</w:t>
            </w:r>
          </w:p>
        </w:tc>
        <w:tc>
          <w:tcPr>
            <w:tcW w:w="991" w:type="dxa"/>
          </w:tcPr>
          <w:p w14:paraId="3F860695" w14:textId="77777777" w:rsidR="008122FA" w:rsidRPr="005D104F" w:rsidRDefault="008122FA" w:rsidP="00A90858">
            <w:pPr>
              <w:widowControl w:val="0"/>
              <w:autoSpaceDE w:val="0"/>
              <w:autoSpaceDN w:val="0"/>
              <w:adjustRightInd w:val="0"/>
              <w:spacing w:after="0"/>
              <w:jc w:val="center"/>
              <w:rPr>
                <w:rFonts w:cs="Arial"/>
                <w:b/>
              </w:rPr>
            </w:pPr>
            <w:r w:rsidRPr="005D104F">
              <w:rPr>
                <w:rFonts w:cs="Arial"/>
                <w:b/>
              </w:rPr>
              <w:t>Revised Term 2 2016</w:t>
            </w:r>
          </w:p>
        </w:tc>
        <w:tc>
          <w:tcPr>
            <w:tcW w:w="967" w:type="dxa"/>
          </w:tcPr>
          <w:p w14:paraId="13B74FC2" w14:textId="77777777" w:rsidR="008122FA" w:rsidRPr="005D104F" w:rsidRDefault="008122FA" w:rsidP="00A90858">
            <w:pPr>
              <w:widowControl w:val="0"/>
              <w:autoSpaceDE w:val="0"/>
              <w:autoSpaceDN w:val="0"/>
              <w:adjustRightInd w:val="0"/>
              <w:spacing w:after="0"/>
              <w:jc w:val="center"/>
              <w:rPr>
                <w:rFonts w:cs="Arial"/>
                <w:b/>
              </w:rPr>
            </w:pPr>
            <w:r w:rsidRPr="005D104F">
              <w:rPr>
                <w:rFonts w:cs="Arial"/>
                <w:b/>
              </w:rPr>
              <w:t>Term 2 2017</w:t>
            </w:r>
          </w:p>
        </w:tc>
        <w:tc>
          <w:tcPr>
            <w:tcW w:w="967" w:type="dxa"/>
          </w:tcPr>
          <w:p w14:paraId="7A7B7FD8" w14:textId="77777777" w:rsidR="008122FA" w:rsidRPr="005D104F" w:rsidRDefault="008122FA" w:rsidP="00A90858">
            <w:pPr>
              <w:widowControl w:val="0"/>
              <w:autoSpaceDE w:val="0"/>
              <w:autoSpaceDN w:val="0"/>
              <w:adjustRightInd w:val="0"/>
              <w:spacing w:after="0"/>
              <w:jc w:val="center"/>
              <w:rPr>
                <w:rFonts w:cs="Arial"/>
                <w:b/>
              </w:rPr>
            </w:pPr>
            <w:r w:rsidRPr="005D104F">
              <w:rPr>
                <w:rFonts w:cs="Arial"/>
                <w:b/>
              </w:rPr>
              <w:t>Term 2 2018</w:t>
            </w:r>
          </w:p>
        </w:tc>
        <w:tc>
          <w:tcPr>
            <w:tcW w:w="967" w:type="dxa"/>
          </w:tcPr>
          <w:p w14:paraId="6EE46E69" w14:textId="77777777" w:rsidR="008122FA" w:rsidRPr="005D104F" w:rsidRDefault="008122FA" w:rsidP="00A90858">
            <w:pPr>
              <w:widowControl w:val="0"/>
              <w:autoSpaceDE w:val="0"/>
              <w:autoSpaceDN w:val="0"/>
              <w:adjustRightInd w:val="0"/>
              <w:spacing w:after="0"/>
              <w:jc w:val="center"/>
              <w:rPr>
                <w:rFonts w:cs="Arial"/>
                <w:b/>
              </w:rPr>
            </w:pPr>
            <w:r>
              <w:rPr>
                <w:rFonts w:cs="Arial"/>
                <w:b/>
              </w:rPr>
              <w:t>Term 2 2019</w:t>
            </w:r>
          </w:p>
        </w:tc>
      </w:tr>
      <w:tr w:rsidR="008122FA" w:rsidRPr="005D104F" w14:paraId="56D8924D" w14:textId="77777777" w:rsidTr="00A90858">
        <w:tc>
          <w:tcPr>
            <w:tcW w:w="3635" w:type="dxa"/>
          </w:tcPr>
          <w:p w14:paraId="01A3CAD7" w14:textId="77777777" w:rsidR="008122FA" w:rsidRPr="005D104F" w:rsidRDefault="008122FA" w:rsidP="00A90858">
            <w:pPr>
              <w:widowControl w:val="0"/>
              <w:autoSpaceDE w:val="0"/>
              <w:autoSpaceDN w:val="0"/>
              <w:adjustRightInd w:val="0"/>
              <w:spacing w:after="0"/>
              <w:rPr>
                <w:rFonts w:cs="Arial"/>
                <w:b/>
                <w:bCs/>
              </w:rPr>
            </w:pPr>
            <w:r w:rsidRPr="005D104F">
              <w:rPr>
                <w:rFonts w:cs="Arial"/>
                <w:b/>
                <w:bCs/>
              </w:rPr>
              <w:t xml:space="preserve">Aurukun </w:t>
            </w:r>
            <w:r>
              <w:rPr>
                <w:rFonts w:cs="Arial"/>
                <w:b/>
                <w:bCs/>
              </w:rPr>
              <w:t>–</w:t>
            </w:r>
            <w:r w:rsidRPr="005D104F">
              <w:rPr>
                <w:rFonts w:cs="Arial"/>
                <w:b/>
                <w:bCs/>
              </w:rPr>
              <w:t xml:space="preserve"> Overall</w:t>
            </w:r>
            <w:r>
              <w:rPr>
                <w:rFonts w:cs="Arial"/>
                <w:b/>
                <w:bCs/>
                <w:vertAlign w:val="superscript"/>
              </w:rPr>
              <w:t>3</w:t>
            </w:r>
          </w:p>
        </w:tc>
        <w:tc>
          <w:tcPr>
            <w:tcW w:w="967" w:type="dxa"/>
          </w:tcPr>
          <w:p w14:paraId="03A95381"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57.5%</w:t>
            </w:r>
          </w:p>
        </w:tc>
        <w:tc>
          <w:tcPr>
            <w:tcW w:w="991" w:type="dxa"/>
          </w:tcPr>
          <w:p w14:paraId="11F53497"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43.5%</w:t>
            </w:r>
          </w:p>
        </w:tc>
        <w:tc>
          <w:tcPr>
            <w:tcW w:w="967" w:type="dxa"/>
          </w:tcPr>
          <w:p w14:paraId="06EF30BA"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52.5%</w:t>
            </w:r>
          </w:p>
        </w:tc>
        <w:tc>
          <w:tcPr>
            <w:tcW w:w="967" w:type="dxa"/>
          </w:tcPr>
          <w:p w14:paraId="212CF5B1"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53.6%</w:t>
            </w:r>
          </w:p>
        </w:tc>
        <w:tc>
          <w:tcPr>
            <w:tcW w:w="967" w:type="dxa"/>
          </w:tcPr>
          <w:p w14:paraId="54DA5415" w14:textId="71B8836A" w:rsidR="008122FA" w:rsidRPr="005D104F" w:rsidRDefault="00C519CE" w:rsidP="00A90858">
            <w:pPr>
              <w:widowControl w:val="0"/>
              <w:autoSpaceDE w:val="0"/>
              <w:autoSpaceDN w:val="0"/>
              <w:adjustRightInd w:val="0"/>
              <w:spacing w:after="0"/>
              <w:jc w:val="center"/>
              <w:rPr>
                <w:rFonts w:cs="Arial"/>
              </w:rPr>
            </w:pPr>
            <w:r>
              <w:rPr>
                <w:rFonts w:cs="Arial"/>
              </w:rPr>
              <w:t>37.9</w:t>
            </w:r>
            <w:r w:rsidR="008122FA">
              <w:rPr>
                <w:rFonts w:cs="Arial"/>
              </w:rPr>
              <w:t>%</w:t>
            </w:r>
          </w:p>
        </w:tc>
      </w:tr>
      <w:tr w:rsidR="008122FA" w:rsidRPr="005D104F" w14:paraId="4C64BD06" w14:textId="77777777" w:rsidTr="00A90858">
        <w:tc>
          <w:tcPr>
            <w:tcW w:w="3635" w:type="dxa"/>
          </w:tcPr>
          <w:p w14:paraId="4D718AA9" w14:textId="77777777" w:rsidR="008122FA" w:rsidRPr="005D104F" w:rsidRDefault="008122FA" w:rsidP="00A90858">
            <w:pPr>
              <w:widowControl w:val="0"/>
              <w:autoSpaceDE w:val="0"/>
              <w:autoSpaceDN w:val="0"/>
              <w:adjustRightInd w:val="0"/>
              <w:spacing w:after="0"/>
            </w:pPr>
            <w:r w:rsidRPr="005D104F">
              <w:rPr>
                <w:rFonts w:cs="Arial"/>
                <w:b/>
                <w:bCs/>
              </w:rPr>
              <w:t xml:space="preserve">   Aurukun community – Primary</w:t>
            </w:r>
            <w:r>
              <w:rPr>
                <w:rFonts w:cs="Arial"/>
                <w:b/>
                <w:bCs/>
                <w:vertAlign w:val="superscript"/>
              </w:rPr>
              <w:t>2</w:t>
            </w:r>
          </w:p>
        </w:tc>
        <w:tc>
          <w:tcPr>
            <w:tcW w:w="967" w:type="dxa"/>
          </w:tcPr>
          <w:p w14:paraId="17E14472"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57.5%</w:t>
            </w:r>
          </w:p>
        </w:tc>
        <w:tc>
          <w:tcPr>
            <w:tcW w:w="991" w:type="dxa"/>
          </w:tcPr>
          <w:p w14:paraId="380B9518"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43.5%</w:t>
            </w:r>
          </w:p>
        </w:tc>
        <w:tc>
          <w:tcPr>
            <w:tcW w:w="967" w:type="dxa"/>
          </w:tcPr>
          <w:p w14:paraId="2F637EBB"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58.1%</w:t>
            </w:r>
          </w:p>
        </w:tc>
        <w:tc>
          <w:tcPr>
            <w:tcW w:w="967" w:type="dxa"/>
          </w:tcPr>
          <w:p w14:paraId="17018A94"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60.0%</w:t>
            </w:r>
          </w:p>
        </w:tc>
        <w:tc>
          <w:tcPr>
            <w:tcW w:w="967" w:type="dxa"/>
          </w:tcPr>
          <w:p w14:paraId="312DFD8C" w14:textId="56017F6A" w:rsidR="008122FA" w:rsidRPr="005D104F" w:rsidRDefault="00DC52B9" w:rsidP="00A90858">
            <w:pPr>
              <w:widowControl w:val="0"/>
              <w:autoSpaceDE w:val="0"/>
              <w:autoSpaceDN w:val="0"/>
              <w:adjustRightInd w:val="0"/>
              <w:spacing w:after="0"/>
              <w:jc w:val="center"/>
              <w:rPr>
                <w:rFonts w:cs="Arial"/>
              </w:rPr>
            </w:pPr>
            <w:r>
              <w:rPr>
                <w:rFonts w:cs="Arial"/>
              </w:rPr>
              <w:t>43.1</w:t>
            </w:r>
            <w:r w:rsidR="008122FA">
              <w:rPr>
                <w:rFonts w:cs="Arial"/>
              </w:rPr>
              <w:t>%</w:t>
            </w:r>
          </w:p>
        </w:tc>
      </w:tr>
      <w:tr w:rsidR="008122FA" w:rsidRPr="005D104F" w14:paraId="15B0E5C9" w14:textId="77777777" w:rsidTr="00A90858">
        <w:tc>
          <w:tcPr>
            <w:tcW w:w="3635" w:type="dxa"/>
          </w:tcPr>
          <w:p w14:paraId="4FB46EDD" w14:textId="77777777" w:rsidR="008122FA" w:rsidRPr="005D104F" w:rsidRDefault="008122FA" w:rsidP="00A90858">
            <w:pPr>
              <w:widowControl w:val="0"/>
              <w:autoSpaceDE w:val="0"/>
              <w:autoSpaceDN w:val="0"/>
              <w:adjustRightInd w:val="0"/>
              <w:spacing w:after="0"/>
            </w:pPr>
            <w:r w:rsidRPr="005D104F">
              <w:rPr>
                <w:rFonts w:cs="Arial"/>
                <w:b/>
                <w:bCs/>
              </w:rPr>
              <w:t xml:space="preserve">   Aurukun community – Secondary</w:t>
            </w:r>
            <w:r w:rsidRPr="005D104F">
              <w:rPr>
                <w:rFonts w:cs="Arial"/>
                <w:b/>
                <w:bCs/>
                <w:vertAlign w:val="superscript"/>
              </w:rPr>
              <w:t>1</w:t>
            </w:r>
          </w:p>
        </w:tc>
        <w:tc>
          <w:tcPr>
            <w:tcW w:w="967" w:type="dxa"/>
          </w:tcPr>
          <w:p w14:paraId="580DEC66"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w:t>
            </w:r>
          </w:p>
        </w:tc>
        <w:tc>
          <w:tcPr>
            <w:tcW w:w="991" w:type="dxa"/>
          </w:tcPr>
          <w:p w14:paraId="2932F646"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w:t>
            </w:r>
          </w:p>
        </w:tc>
        <w:tc>
          <w:tcPr>
            <w:tcW w:w="967" w:type="dxa"/>
          </w:tcPr>
          <w:p w14:paraId="231EA084"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32.7%</w:t>
            </w:r>
          </w:p>
        </w:tc>
        <w:tc>
          <w:tcPr>
            <w:tcW w:w="967" w:type="dxa"/>
          </w:tcPr>
          <w:p w14:paraId="6900AD8F"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35.1%</w:t>
            </w:r>
          </w:p>
        </w:tc>
        <w:tc>
          <w:tcPr>
            <w:tcW w:w="967" w:type="dxa"/>
          </w:tcPr>
          <w:p w14:paraId="5A0F3D56" w14:textId="76B480C2" w:rsidR="008122FA" w:rsidRPr="005D104F" w:rsidRDefault="00DC52B9" w:rsidP="00A90858">
            <w:pPr>
              <w:widowControl w:val="0"/>
              <w:autoSpaceDE w:val="0"/>
              <w:autoSpaceDN w:val="0"/>
              <w:adjustRightInd w:val="0"/>
              <w:spacing w:after="0"/>
              <w:jc w:val="center"/>
              <w:rPr>
                <w:rFonts w:cs="Arial"/>
              </w:rPr>
            </w:pPr>
            <w:r>
              <w:rPr>
                <w:rFonts w:cs="Arial"/>
              </w:rPr>
              <w:t>25.2</w:t>
            </w:r>
            <w:r w:rsidR="008122FA">
              <w:rPr>
                <w:rFonts w:cs="Arial"/>
              </w:rPr>
              <w:t>%</w:t>
            </w:r>
          </w:p>
        </w:tc>
      </w:tr>
      <w:tr w:rsidR="008122FA" w:rsidRPr="005D104F" w14:paraId="73B4D482" w14:textId="77777777" w:rsidTr="00A90858">
        <w:tc>
          <w:tcPr>
            <w:tcW w:w="3635" w:type="dxa"/>
          </w:tcPr>
          <w:p w14:paraId="3E6C05D2" w14:textId="77777777" w:rsidR="008122FA" w:rsidRPr="005D104F" w:rsidRDefault="008122FA" w:rsidP="00A90858">
            <w:pPr>
              <w:widowControl w:val="0"/>
              <w:autoSpaceDE w:val="0"/>
              <w:autoSpaceDN w:val="0"/>
              <w:adjustRightInd w:val="0"/>
              <w:spacing w:after="0"/>
            </w:pPr>
            <w:r w:rsidRPr="005D104F">
              <w:rPr>
                <w:rFonts w:cs="Arial"/>
                <w:b/>
                <w:bCs/>
              </w:rPr>
              <w:t>Coen</w:t>
            </w:r>
            <w:r>
              <w:rPr>
                <w:rFonts w:cs="Arial"/>
                <w:b/>
                <w:bCs/>
                <w:vertAlign w:val="superscript"/>
              </w:rPr>
              <w:t>4</w:t>
            </w:r>
          </w:p>
        </w:tc>
        <w:tc>
          <w:tcPr>
            <w:tcW w:w="967" w:type="dxa"/>
          </w:tcPr>
          <w:p w14:paraId="51280CCC"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88.7%</w:t>
            </w:r>
          </w:p>
        </w:tc>
        <w:tc>
          <w:tcPr>
            <w:tcW w:w="991" w:type="dxa"/>
          </w:tcPr>
          <w:p w14:paraId="087FE134"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89.2%</w:t>
            </w:r>
          </w:p>
        </w:tc>
        <w:tc>
          <w:tcPr>
            <w:tcW w:w="967" w:type="dxa"/>
          </w:tcPr>
          <w:p w14:paraId="2CEF3B5E"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86.8%</w:t>
            </w:r>
          </w:p>
        </w:tc>
        <w:tc>
          <w:tcPr>
            <w:tcW w:w="967" w:type="dxa"/>
          </w:tcPr>
          <w:p w14:paraId="70C556D1"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89.8%</w:t>
            </w:r>
          </w:p>
        </w:tc>
        <w:tc>
          <w:tcPr>
            <w:tcW w:w="967" w:type="dxa"/>
          </w:tcPr>
          <w:p w14:paraId="5DA08FAD" w14:textId="1FF9AD7B" w:rsidR="008122FA" w:rsidRPr="005D104F" w:rsidRDefault="00DC52B9" w:rsidP="00A90858">
            <w:pPr>
              <w:widowControl w:val="0"/>
              <w:autoSpaceDE w:val="0"/>
              <w:autoSpaceDN w:val="0"/>
              <w:adjustRightInd w:val="0"/>
              <w:spacing w:after="0"/>
              <w:jc w:val="center"/>
              <w:rPr>
                <w:rFonts w:cs="Arial"/>
              </w:rPr>
            </w:pPr>
            <w:r>
              <w:rPr>
                <w:rFonts w:cs="Arial"/>
              </w:rPr>
              <w:t>88.6</w:t>
            </w:r>
            <w:r w:rsidR="008122FA">
              <w:rPr>
                <w:rFonts w:cs="Arial"/>
              </w:rPr>
              <w:t>%</w:t>
            </w:r>
          </w:p>
        </w:tc>
      </w:tr>
      <w:tr w:rsidR="008122FA" w:rsidRPr="005D104F" w14:paraId="239D62AF" w14:textId="77777777" w:rsidTr="00A90858">
        <w:tc>
          <w:tcPr>
            <w:tcW w:w="3635" w:type="dxa"/>
          </w:tcPr>
          <w:p w14:paraId="7B49784F" w14:textId="77777777" w:rsidR="008122FA" w:rsidRPr="005D104F" w:rsidRDefault="008122FA" w:rsidP="00A90858">
            <w:pPr>
              <w:widowControl w:val="0"/>
              <w:autoSpaceDE w:val="0"/>
              <w:autoSpaceDN w:val="0"/>
              <w:adjustRightInd w:val="0"/>
              <w:spacing w:after="0"/>
              <w:rPr>
                <w:rFonts w:cs="Arial"/>
                <w:b/>
                <w:bCs/>
              </w:rPr>
            </w:pPr>
            <w:r w:rsidRPr="005D104F">
              <w:rPr>
                <w:rFonts w:cs="Arial"/>
                <w:b/>
                <w:bCs/>
              </w:rPr>
              <w:t>Doomadgee - Overall</w:t>
            </w:r>
          </w:p>
        </w:tc>
        <w:tc>
          <w:tcPr>
            <w:tcW w:w="967" w:type="dxa"/>
          </w:tcPr>
          <w:p w14:paraId="4C995CEB"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55.9%</w:t>
            </w:r>
          </w:p>
        </w:tc>
        <w:tc>
          <w:tcPr>
            <w:tcW w:w="991" w:type="dxa"/>
          </w:tcPr>
          <w:p w14:paraId="328E84B4"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49.6%</w:t>
            </w:r>
          </w:p>
        </w:tc>
        <w:tc>
          <w:tcPr>
            <w:tcW w:w="967" w:type="dxa"/>
          </w:tcPr>
          <w:p w14:paraId="2085C55C"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56.1%</w:t>
            </w:r>
          </w:p>
        </w:tc>
        <w:tc>
          <w:tcPr>
            <w:tcW w:w="967" w:type="dxa"/>
          </w:tcPr>
          <w:p w14:paraId="46F11757"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58.6%</w:t>
            </w:r>
          </w:p>
        </w:tc>
        <w:tc>
          <w:tcPr>
            <w:tcW w:w="967" w:type="dxa"/>
          </w:tcPr>
          <w:p w14:paraId="2A1931EF" w14:textId="55DB20E9" w:rsidR="008122FA" w:rsidRPr="005D104F" w:rsidRDefault="00DC52B9" w:rsidP="00A90858">
            <w:pPr>
              <w:widowControl w:val="0"/>
              <w:autoSpaceDE w:val="0"/>
              <w:autoSpaceDN w:val="0"/>
              <w:adjustRightInd w:val="0"/>
              <w:spacing w:after="0"/>
              <w:jc w:val="center"/>
              <w:rPr>
                <w:rFonts w:cs="Arial"/>
              </w:rPr>
            </w:pPr>
            <w:r>
              <w:rPr>
                <w:rFonts w:cs="Arial"/>
              </w:rPr>
              <w:t>54.9</w:t>
            </w:r>
            <w:r w:rsidR="008122FA">
              <w:rPr>
                <w:rFonts w:cs="Arial"/>
              </w:rPr>
              <w:t>%</w:t>
            </w:r>
          </w:p>
        </w:tc>
      </w:tr>
      <w:tr w:rsidR="008122FA" w:rsidRPr="005D104F" w14:paraId="53A351E2" w14:textId="77777777" w:rsidTr="00A90858">
        <w:tc>
          <w:tcPr>
            <w:tcW w:w="3635" w:type="dxa"/>
          </w:tcPr>
          <w:p w14:paraId="67DFAAA4" w14:textId="77777777" w:rsidR="008122FA" w:rsidRPr="005D104F" w:rsidRDefault="008122FA" w:rsidP="00A90858">
            <w:pPr>
              <w:widowControl w:val="0"/>
              <w:autoSpaceDE w:val="0"/>
              <w:autoSpaceDN w:val="0"/>
              <w:adjustRightInd w:val="0"/>
              <w:spacing w:after="0"/>
            </w:pPr>
            <w:r w:rsidRPr="005D104F">
              <w:rPr>
                <w:rFonts w:cs="Arial"/>
                <w:b/>
                <w:bCs/>
              </w:rPr>
              <w:t xml:space="preserve">   Doomadgee Primary</w:t>
            </w:r>
          </w:p>
        </w:tc>
        <w:tc>
          <w:tcPr>
            <w:tcW w:w="967" w:type="dxa"/>
          </w:tcPr>
          <w:p w14:paraId="0AA231F8"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58.9%</w:t>
            </w:r>
          </w:p>
        </w:tc>
        <w:tc>
          <w:tcPr>
            <w:tcW w:w="991" w:type="dxa"/>
          </w:tcPr>
          <w:p w14:paraId="0B63A926"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54.9%</w:t>
            </w:r>
          </w:p>
        </w:tc>
        <w:tc>
          <w:tcPr>
            <w:tcW w:w="967" w:type="dxa"/>
          </w:tcPr>
          <w:p w14:paraId="095CD72C"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59.5%</w:t>
            </w:r>
          </w:p>
        </w:tc>
        <w:tc>
          <w:tcPr>
            <w:tcW w:w="967" w:type="dxa"/>
          </w:tcPr>
          <w:p w14:paraId="49B76795"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61.4%</w:t>
            </w:r>
          </w:p>
        </w:tc>
        <w:tc>
          <w:tcPr>
            <w:tcW w:w="967" w:type="dxa"/>
          </w:tcPr>
          <w:p w14:paraId="1C0DAC9A" w14:textId="7DDA658A" w:rsidR="008122FA" w:rsidRPr="005D104F" w:rsidRDefault="00DC52B9" w:rsidP="00A90858">
            <w:pPr>
              <w:widowControl w:val="0"/>
              <w:autoSpaceDE w:val="0"/>
              <w:autoSpaceDN w:val="0"/>
              <w:adjustRightInd w:val="0"/>
              <w:spacing w:after="0"/>
              <w:jc w:val="center"/>
              <w:rPr>
                <w:rFonts w:cs="Arial"/>
              </w:rPr>
            </w:pPr>
            <w:r>
              <w:rPr>
                <w:rFonts w:cs="Arial"/>
              </w:rPr>
              <w:t>57.4</w:t>
            </w:r>
            <w:r w:rsidR="008122FA">
              <w:rPr>
                <w:rFonts w:cs="Arial"/>
              </w:rPr>
              <w:t>%</w:t>
            </w:r>
          </w:p>
        </w:tc>
      </w:tr>
      <w:tr w:rsidR="008122FA" w:rsidRPr="005D104F" w14:paraId="30F4676D" w14:textId="77777777" w:rsidTr="00A90858">
        <w:tc>
          <w:tcPr>
            <w:tcW w:w="3635" w:type="dxa"/>
          </w:tcPr>
          <w:p w14:paraId="3B891EF2" w14:textId="77777777" w:rsidR="008122FA" w:rsidRPr="005D104F" w:rsidRDefault="008122FA" w:rsidP="00A90858">
            <w:pPr>
              <w:widowControl w:val="0"/>
              <w:autoSpaceDE w:val="0"/>
              <w:autoSpaceDN w:val="0"/>
              <w:adjustRightInd w:val="0"/>
              <w:spacing w:after="0"/>
            </w:pPr>
            <w:r w:rsidRPr="005D104F">
              <w:rPr>
                <w:rFonts w:cs="Arial"/>
                <w:b/>
                <w:bCs/>
              </w:rPr>
              <w:t xml:space="preserve">   Doomadgee Secondary</w:t>
            </w:r>
          </w:p>
        </w:tc>
        <w:tc>
          <w:tcPr>
            <w:tcW w:w="967" w:type="dxa"/>
          </w:tcPr>
          <w:p w14:paraId="16750D92"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46.2%</w:t>
            </w:r>
          </w:p>
        </w:tc>
        <w:tc>
          <w:tcPr>
            <w:tcW w:w="991" w:type="dxa"/>
          </w:tcPr>
          <w:p w14:paraId="239663D8"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35.6%</w:t>
            </w:r>
          </w:p>
        </w:tc>
        <w:tc>
          <w:tcPr>
            <w:tcW w:w="967" w:type="dxa"/>
          </w:tcPr>
          <w:p w14:paraId="5B812C16"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46.0%</w:t>
            </w:r>
          </w:p>
        </w:tc>
        <w:tc>
          <w:tcPr>
            <w:tcW w:w="967" w:type="dxa"/>
          </w:tcPr>
          <w:p w14:paraId="058520F0"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47.7%</w:t>
            </w:r>
          </w:p>
        </w:tc>
        <w:tc>
          <w:tcPr>
            <w:tcW w:w="967" w:type="dxa"/>
          </w:tcPr>
          <w:p w14:paraId="5F4D3B9A" w14:textId="11B09EF9" w:rsidR="008122FA" w:rsidRPr="005D104F" w:rsidRDefault="00DC52B9" w:rsidP="00A90858">
            <w:pPr>
              <w:widowControl w:val="0"/>
              <w:autoSpaceDE w:val="0"/>
              <w:autoSpaceDN w:val="0"/>
              <w:adjustRightInd w:val="0"/>
              <w:spacing w:after="0"/>
              <w:jc w:val="center"/>
              <w:rPr>
                <w:rFonts w:cs="Arial"/>
              </w:rPr>
            </w:pPr>
            <w:r>
              <w:rPr>
                <w:rFonts w:cs="Arial"/>
              </w:rPr>
              <w:t>47.9</w:t>
            </w:r>
            <w:r w:rsidR="008122FA">
              <w:rPr>
                <w:rFonts w:cs="Arial"/>
              </w:rPr>
              <w:t>%</w:t>
            </w:r>
          </w:p>
        </w:tc>
      </w:tr>
      <w:tr w:rsidR="008122FA" w:rsidRPr="005D104F" w14:paraId="21E870BF" w14:textId="77777777" w:rsidTr="00A90858">
        <w:tc>
          <w:tcPr>
            <w:tcW w:w="3635" w:type="dxa"/>
          </w:tcPr>
          <w:p w14:paraId="2B308A54" w14:textId="77777777" w:rsidR="008122FA" w:rsidRPr="005D104F" w:rsidRDefault="008122FA" w:rsidP="00A90858">
            <w:pPr>
              <w:widowControl w:val="0"/>
              <w:autoSpaceDE w:val="0"/>
              <w:autoSpaceDN w:val="0"/>
              <w:adjustRightInd w:val="0"/>
              <w:spacing w:after="0"/>
            </w:pPr>
            <w:r w:rsidRPr="005D104F">
              <w:rPr>
                <w:rFonts w:cs="Arial"/>
                <w:b/>
                <w:bCs/>
              </w:rPr>
              <w:t>Hope Vale</w:t>
            </w:r>
            <w:r>
              <w:rPr>
                <w:rFonts w:cs="Arial"/>
                <w:b/>
                <w:bCs/>
              </w:rPr>
              <w:t xml:space="preserve"> Campus of CYAAA</w:t>
            </w:r>
          </w:p>
        </w:tc>
        <w:tc>
          <w:tcPr>
            <w:tcW w:w="967" w:type="dxa"/>
          </w:tcPr>
          <w:p w14:paraId="0037882B"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83.3%</w:t>
            </w:r>
          </w:p>
        </w:tc>
        <w:tc>
          <w:tcPr>
            <w:tcW w:w="991" w:type="dxa"/>
          </w:tcPr>
          <w:p w14:paraId="6D6F9051"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76.7%</w:t>
            </w:r>
          </w:p>
        </w:tc>
        <w:tc>
          <w:tcPr>
            <w:tcW w:w="967" w:type="dxa"/>
          </w:tcPr>
          <w:p w14:paraId="6C006431"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75.3%</w:t>
            </w:r>
          </w:p>
        </w:tc>
        <w:tc>
          <w:tcPr>
            <w:tcW w:w="967" w:type="dxa"/>
          </w:tcPr>
          <w:p w14:paraId="6610A243"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81.0%</w:t>
            </w:r>
          </w:p>
        </w:tc>
        <w:tc>
          <w:tcPr>
            <w:tcW w:w="967" w:type="dxa"/>
          </w:tcPr>
          <w:p w14:paraId="272DC4ED" w14:textId="1F16D3ED" w:rsidR="008122FA" w:rsidRPr="005D104F" w:rsidRDefault="00DC52B9" w:rsidP="00A90858">
            <w:pPr>
              <w:widowControl w:val="0"/>
              <w:autoSpaceDE w:val="0"/>
              <w:autoSpaceDN w:val="0"/>
              <w:adjustRightInd w:val="0"/>
              <w:spacing w:after="0"/>
              <w:jc w:val="center"/>
              <w:rPr>
                <w:rFonts w:cs="Arial"/>
              </w:rPr>
            </w:pPr>
            <w:r>
              <w:rPr>
                <w:rFonts w:cs="Arial"/>
              </w:rPr>
              <w:t>79.4</w:t>
            </w:r>
            <w:r w:rsidR="008122FA">
              <w:rPr>
                <w:rFonts w:cs="Arial"/>
              </w:rPr>
              <w:t>%</w:t>
            </w:r>
          </w:p>
        </w:tc>
      </w:tr>
      <w:tr w:rsidR="008122FA" w:rsidRPr="005D104F" w14:paraId="782EA7E5" w14:textId="77777777" w:rsidTr="00A90858">
        <w:tc>
          <w:tcPr>
            <w:tcW w:w="3635" w:type="dxa"/>
          </w:tcPr>
          <w:p w14:paraId="6D3A0F26" w14:textId="77777777" w:rsidR="008122FA" w:rsidRPr="005D104F" w:rsidRDefault="008122FA" w:rsidP="00A90858">
            <w:pPr>
              <w:widowControl w:val="0"/>
              <w:autoSpaceDE w:val="0"/>
              <w:autoSpaceDN w:val="0"/>
              <w:adjustRightInd w:val="0"/>
              <w:spacing w:after="0"/>
            </w:pPr>
            <w:r w:rsidRPr="005D104F">
              <w:rPr>
                <w:rFonts w:cs="Arial"/>
                <w:b/>
                <w:bCs/>
              </w:rPr>
              <w:t>Mossman Gorge community</w:t>
            </w:r>
            <w:r>
              <w:rPr>
                <w:rFonts w:cs="Arial"/>
                <w:b/>
                <w:bCs/>
                <w:vertAlign w:val="superscript"/>
              </w:rPr>
              <w:t>4,5</w:t>
            </w:r>
          </w:p>
        </w:tc>
        <w:tc>
          <w:tcPr>
            <w:tcW w:w="967" w:type="dxa"/>
          </w:tcPr>
          <w:p w14:paraId="676414BF"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67.2%</w:t>
            </w:r>
          </w:p>
        </w:tc>
        <w:tc>
          <w:tcPr>
            <w:tcW w:w="991" w:type="dxa"/>
          </w:tcPr>
          <w:p w14:paraId="057CCB9E"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72.4%</w:t>
            </w:r>
          </w:p>
        </w:tc>
        <w:tc>
          <w:tcPr>
            <w:tcW w:w="967" w:type="dxa"/>
          </w:tcPr>
          <w:p w14:paraId="1F9C12EA"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63.8%</w:t>
            </w:r>
          </w:p>
        </w:tc>
        <w:tc>
          <w:tcPr>
            <w:tcW w:w="967" w:type="dxa"/>
          </w:tcPr>
          <w:p w14:paraId="418E5C6C"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77.8%</w:t>
            </w:r>
          </w:p>
        </w:tc>
        <w:tc>
          <w:tcPr>
            <w:tcW w:w="967" w:type="dxa"/>
          </w:tcPr>
          <w:p w14:paraId="0D7C64AB" w14:textId="7010583F" w:rsidR="008122FA" w:rsidRPr="005D104F" w:rsidRDefault="00DC52B9" w:rsidP="00A90858">
            <w:pPr>
              <w:widowControl w:val="0"/>
              <w:autoSpaceDE w:val="0"/>
              <w:autoSpaceDN w:val="0"/>
              <w:adjustRightInd w:val="0"/>
              <w:spacing w:after="0"/>
              <w:jc w:val="center"/>
              <w:rPr>
                <w:rFonts w:cs="Arial"/>
              </w:rPr>
            </w:pPr>
            <w:r>
              <w:rPr>
                <w:rFonts w:cs="Arial"/>
              </w:rPr>
              <w:t>67.9</w:t>
            </w:r>
            <w:r w:rsidR="008122FA">
              <w:rPr>
                <w:rFonts w:cs="Arial"/>
              </w:rPr>
              <w:t>%</w:t>
            </w:r>
          </w:p>
        </w:tc>
      </w:tr>
      <w:tr w:rsidR="008122FA" w:rsidRPr="005D104F" w14:paraId="144DC75B" w14:textId="77777777" w:rsidTr="00A90858">
        <w:tc>
          <w:tcPr>
            <w:tcW w:w="3635" w:type="dxa"/>
          </w:tcPr>
          <w:p w14:paraId="30EBE9BD" w14:textId="77777777" w:rsidR="008122FA" w:rsidRPr="005D104F" w:rsidRDefault="008122FA" w:rsidP="00A90858">
            <w:pPr>
              <w:widowControl w:val="0"/>
              <w:autoSpaceDE w:val="0"/>
              <w:autoSpaceDN w:val="0"/>
              <w:adjustRightInd w:val="0"/>
              <w:spacing w:after="0"/>
              <w:rPr>
                <w:rFonts w:cs="Arial"/>
                <w:b/>
                <w:bCs/>
              </w:rPr>
            </w:pPr>
            <w:r w:rsidRPr="005D104F">
              <w:rPr>
                <w:rFonts w:cs="Arial"/>
                <w:b/>
                <w:bCs/>
              </w:rPr>
              <w:t xml:space="preserve">   Mossman Gorge Primary</w:t>
            </w:r>
          </w:p>
        </w:tc>
        <w:tc>
          <w:tcPr>
            <w:tcW w:w="967" w:type="dxa"/>
          </w:tcPr>
          <w:p w14:paraId="6572C0B7"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90.2%</w:t>
            </w:r>
          </w:p>
        </w:tc>
        <w:tc>
          <w:tcPr>
            <w:tcW w:w="991" w:type="dxa"/>
          </w:tcPr>
          <w:p w14:paraId="7E580A23"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83.2%</w:t>
            </w:r>
          </w:p>
        </w:tc>
        <w:tc>
          <w:tcPr>
            <w:tcW w:w="967" w:type="dxa"/>
          </w:tcPr>
          <w:p w14:paraId="1289E2DE"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72.4%</w:t>
            </w:r>
          </w:p>
        </w:tc>
        <w:tc>
          <w:tcPr>
            <w:tcW w:w="967" w:type="dxa"/>
          </w:tcPr>
          <w:p w14:paraId="4ED125C1"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82.5%</w:t>
            </w:r>
          </w:p>
        </w:tc>
        <w:tc>
          <w:tcPr>
            <w:tcW w:w="967" w:type="dxa"/>
          </w:tcPr>
          <w:p w14:paraId="48A2456A" w14:textId="11E41107" w:rsidR="008122FA" w:rsidRPr="005D104F" w:rsidRDefault="00DC52B9" w:rsidP="00A90858">
            <w:pPr>
              <w:widowControl w:val="0"/>
              <w:autoSpaceDE w:val="0"/>
              <w:autoSpaceDN w:val="0"/>
              <w:adjustRightInd w:val="0"/>
              <w:spacing w:after="0"/>
              <w:jc w:val="center"/>
              <w:rPr>
                <w:rFonts w:cs="Arial"/>
              </w:rPr>
            </w:pPr>
            <w:r>
              <w:rPr>
                <w:rFonts w:cs="Arial"/>
              </w:rPr>
              <w:t>70.6</w:t>
            </w:r>
            <w:r w:rsidR="008122FA">
              <w:rPr>
                <w:rFonts w:cs="Arial"/>
              </w:rPr>
              <w:t>%</w:t>
            </w:r>
          </w:p>
        </w:tc>
      </w:tr>
      <w:tr w:rsidR="008122FA" w:rsidRPr="005D104F" w14:paraId="7F4A72DB" w14:textId="77777777" w:rsidTr="00A90858">
        <w:tc>
          <w:tcPr>
            <w:tcW w:w="3635" w:type="dxa"/>
          </w:tcPr>
          <w:p w14:paraId="06E5AB5B" w14:textId="77777777" w:rsidR="008122FA" w:rsidRPr="005D104F" w:rsidRDefault="008122FA" w:rsidP="00A90858">
            <w:pPr>
              <w:widowControl w:val="0"/>
              <w:autoSpaceDE w:val="0"/>
              <w:autoSpaceDN w:val="0"/>
              <w:adjustRightInd w:val="0"/>
              <w:spacing w:after="0"/>
              <w:rPr>
                <w:rFonts w:cs="Arial"/>
                <w:b/>
                <w:bCs/>
              </w:rPr>
            </w:pPr>
            <w:r w:rsidRPr="005D104F">
              <w:rPr>
                <w:rFonts w:cs="Arial"/>
                <w:b/>
                <w:bCs/>
              </w:rPr>
              <w:t xml:space="preserve">   Mossman Gorge Secondary</w:t>
            </w:r>
          </w:p>
        </w:tc>
        <w:tc>
          <w:tcPr>
            <w:tcW w:w="967" w:type="dxa"/>
          </w:tcPr>
          <w:p w14:paraId="33EB6580"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52.1%</w:t>
            </w:r>
          </w:p>
        </w:tc>
        <w:tc>
          <w:tcPr>
            <w:tcW w:w="991" w:type="dxa"/>
          </w:tcPr>
          <w:p w14:paraId="68A1B61D"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36.2%</w:t>
            </w:r>
          </w:p>
        </w:tc>
        <w:tc>
          <w:tcPr>
            <w:tcW w:w="967" w:type="dxa"/>
          </w:tcPr>
          <w:p w14:paraId="1ED475D7"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56.6%</w:t>
            </w:r>
          </w:p>
        </w:tc>
        <w:tc>
          <w:tcPr>
            <w:tcW w:w="967" w:type="dxa"/>
          </w:tcPr>
          <w:p w14:paraId="57B983E2" w14:textId="77777777" w:rsidR="008122FA" w:rsidRPr="005D104F" w:rsidRDefault="008122FA" w:rsidP="00A90858">
            <w:pPr>
              <w:widowControl w:val="0"/>
              <w:autoSpaceDE w:val="0"/>
              <w:autoSpaceDN w:val="0"/>
              <w:adjustRightInd w:val="0"/>
              <w:spacing w:after="0"/>
              <w:jc w:val="center"/>
              <w:rPr>
                <w:rFonts w:cs="Arial"/>
              </w:rPr>
            </w:pPr>
            <w:r w:rsidRPr="005D104F">
              <w:rPr>
                <w:rFonts w:cs="Arial"/>
              </w:rPr>
              <w:t>59.7%</w:t>
            </w:r>
          </w:p>
        </w:tc>
        <w:tc>
          <w:tcPr>
            <w:tcW w:w="967" w:type="dxa"/>
          </w:tcPr>
          <w:p w14:paraId="03055996" w14:textId="5DA2C902" w:rsidR="008122FA" w:rsidRPr="005D104F" w:rsidRDefault="00DC52B9" w:rsidP="00A90858">
            <w:pPr>
              <w:widowControl w:val="0"/>
              <w:autoSpaceDE w:val="0"/>
              <w:autoSpaceDN w:val="0"/>
              <w:adjustRightInd w:val="0"/>
              <w:spacing w:after="0"/>
              <w:jc w:val="center"/>
              <w:rPr>
                <w:rFonts w:cs="Arial"/>
              </w:rPr>
            </w:pPr>
            <w:r>
              <w:rPr>
                <w:rFonts w:cs="Arial"/>
              </w:rPr>
              <w:t>54.4</w:t>
            </w:r>
            <w:r w:rsidR="008122FA">
              <w:rPr>
                <w:rFonts w:cs="Arial"/>
              </w:rPr>
              <w:t>%</w:t>
            </w:r>
          </w:p>
        </w:tc>
      </w:tr>
    </w:tbl>
    <w:p w14:paraId="6EA9F88E" w14:textId="77777777" w:rsidR="00F62FF7" w:rsidRPr="00F0586F" w:rsidRDefault="00F62FF7" w:rsidP="00F0586F">
      <w:pPr>
        <w:widowControl w:val="0"/>
        <w:autoSpaceDE w:val="0"/>
        <w:autoSpaceDN w:val="0"/>
        <w:adjustRightInd w:val="0"/>
        <w:spacing w:line="260" w:lineRule="atLeast"/>
      </w:pPr>
    </w:p>
    <w:p w14:paraId="756C91DA" w14:textId="452FBC99" w:rsidR="00F62FF7" w:rsidRPr="00F0586F" w:rsidRDefault="008E29C6" w:rsidP="00BA173A">
      <w:r>
        <w:t xml:space="preserve">Official school attendance data published for term 2 2019 by DoE for selected Aboriginal and Torres Strait Islander communities (combined, primary and secondary) showed that of 53 statistical attendance rates, only 13 showed improvement from the 2018 term 2 statistics. </w:t>
      </w:r>
      <w:r w:rsidR="001937FA">
        <w:t>C</w:t>
      </w:r>
      <w:r w:rsidR="007870B5">
        <w:t xml:space="preserve">onsiderable </w:t>
      </w:r>
      <w:r w:rsidR="00AB3BB8">
        <w:t>occurrences</w:t>
      </w:r>
      <w:r w:rsidR="00F62FF7">
        <w:t xml:space="preserve"> of</w:t>
      </w:r>
      <w:r w:rsidR="00F62FF7" w:rsidRPr="00F0586F">
        <w:t xml:space="preserve"> </w:t>
      </w:r>
      <w:r w:rsidR="009D4454">
        <w:t>s</w:t>
      </w:r>
      <w:r w:rsidR="00F62FF7" w:rsidRPr="00F0586F">
        <w:t xml:space="preserve">orry </w:t>
      </w:r>
      <w:r w:rsidR="009D4454">
        <w:t>b</w:t>
      </w:r>
      <w:r w:rsidR="00F62FF7" w:rsidRPr="00F0586F">
        <w:t>usiness</w:t>
      </w:r>
      <w:r w:rsidR="005D32E4">
        <w:t xml:space="preserve"> have had </w:t>
      </w:r>
      <w:r w:rsidR="00AB3BB8">
        <w:t xml:space="preserve">a </w:t>
      </w:r>
      <w:r w:rsidR="001937FA">
        <w:t xml:space="preserve">significant impact on </w:t>
      </w:r>
      <w:r w:rsidR="005D32E4">
        <w:t>s</w:t>
      </w:r>
      <w:r w:rsidR="001937FA">
        <w:t xml:space="preserve">chool attendance </w:t>
      </w:r>
      <w:r>
        <w:t>in Doomadgee and Aurukun</w:t>
      </w:r>
      <w:r w:rsidRPr="009E0BEA">
        <w:t xml:space="preserve"> </w:t>
      </w:r>
      <w:r w:rsidR="001937FA">
        <w:t xml:space="preserve">and </w:t>
      </w:r>
      <w:r>
        <w:t xml:space="preserve">have </w:t>
      </w:r>
      <w:r w:rsidR="001937FA">
        <w:t>provided a great challenge for Commissioners</w:t>
      </w:r>
      <w:r w:rsidR="00E8067A">
        <w:t>, school administrators and educators.</w:t>
      </w:r>
    </w:p>
    <w:p w14:paraId="73297870" w14:textId="77777777" w:rsidR="00FD32BA" w:rsidRDefault="00FD32BA" w:rsidP="008122FA">
      <w:pPr>
        <w:widowControl w:val="0"/>
        <w:autoSpaceDE w:val="0"/>
        <w:autoSpaceDN w:val="0"/>
        <w:adjustRightInd w:val="0"/>
        <w:spacing w:before="60" w:after="60"/>
        <w:rPr>
          <w:sz w:val="16"/>
          <w:szCs w:val="16"/>
        </w:rPr>
      </w:pPr>
    </w:p>
    <w:p w14:paraId="66253192" w14:textId="1C61E8B7" w:rsidR="008122FA" w:rsidRDefault="008122FA" w:rsidP="008122FA">
      <w:pPr>
        <w:widowControl w:val="0"/>
        <w:autoSpaceDE w:val="0"/>
        <w:autoSpaceDN w:val="0"/>
        <w:adjustRightInd w:val="0"/>
        <w:spacing w:before="60" w:after="60"/>
        <w:rPr>
          <w:sz w:val="16"/>
          <w:szCs w:val="16"/>
        </w:rPr>
      </w:pPr>
      <w:r w:rsidRPr="005D104F">
        <w:rPr>
          <w:sz w:val="16"/>
          <w:szCs w:val="16"/>
        </w:rPr>
        <w:t xml:space="preserve">1. </w:t>
      </w:r>
      <w:r>
        <w:rPr>
          <w:sz w:val="16"/>
          <w:szCs w:val="16"/>
        </w:rPr>
        <w:t xml:space="preserve">DET closed </w:t>
      </w:r>
      <w:r w:rsidRPr="005D104F">
        <w:rPr>
          <w:sz w:val="16"/>
          <w:szCs w:val="16"/>
        </w:rPr>
        <w:t>the Alternative Secondary Pathway program</w:t>
      </w:r>
      <w:r>
        <w:rPr>
          <w:sz w:val="16"/>
          <w:szCs w:val="16"/>
        </w:rPr>
        <w:t xml:space="preserve"> at the Aurukun secondary campus (</w:t>
      </w:r>
      <w:r w:rsidRPr="005D104F">
        <w:rPr>
          <w:sz w:val="16"/>
          <w:szCs w:val="16"/>
        </w:rPr>
        <w:t>facilitated by Western Cape College</w:t>
      </w:r>
      <w:r>
        <w:rPr>
          <w:sz w:val="16"/>
          <w:szCs w:val="16"/>
        </w:rPr>
        <w:t>) on 1 January 2015</w:t>
      </w:r>
      <w:r w:rsidRPr="005D104F">
        <w:rPr>
          <w:sz w:val="16"/>
          <w:szCs w:val="16"/>
        </w:rPr>
        <w:t xml:space="preserve">. </w:t>
      </w:r>
      <w:r>
        <w:rPr>
          <w:sz w:val="16"/>
          <w:szCs w:val="16"/>
        </w:rPr>
        <w:t>The Aurukun campus of CYAAA commenced a secondary year level program from August 2016.</w:t>
      </w:r>
    </w:p>
    <w:p w14:paraId="3BEBA21B" w14:textId="77777777" w:rsidR="008122FA" w:rsidRDefault="008122FA" w:rsidP="008122FA">
      <w:pPr>
        <w:widowControl w:val="0"/>
        <w:autoSpaceDE w:val="0"/>
        <w:autoSpaceDN w:val="0"/>
        <w:adjustRightInd w:val="0"/>
        <w:spacing w:after="60"/>
        <w:rPr>
          <w:rFonts w:cs="Arial"/>
          <w:iCs/>
          <w:sz w:val="16"/>
          <w:szCs w:val="16"/>
        </w:rPr>
      </w:pPr>
      <w:r>
        <w:rPr>
          <w:rFonts w:cs="Arial"/>
          <w:iCs/>
          <w:sz w:val="16"/>
          <w:szCs w:val="16"/>
        </w:rPr>
        <w:t>2</w:t>
      </w:r>
      <w:r w:rsidRPr="005D104F">
        <w:rPr>
          <w:rFonts w:cs="Arial"/>
          <w:iCs/>
          <w:sz w:val="16"/>
          <w:szCs w:val="16"/>
        </w:rPr>
        <w:t xml:space="preserve">. In term 2 2016, Aurukun Campus of CYAAA was closed from 11-18 May (inclusive) and again from 26-30 May (inclusive). An alternative education program was offered for the remainder of the term covering 31 May to 24 June. Attendance at this alternative program was lower than the normal rates for this term. </w:t>
      </w:r>
    </w:p>
    <w:p w14:paraId="59B6A725" w14:textId="77777777" w:rsidR="008122FA" w:rsidRPr="005D104F" w:rsidRDefault="008122FA" w:rsidP="008122FA">
      <w:pPr>
        <w:widowControl w:val="0"/>
        <w:autoSpaceDE w:val="0"/>
        <w:autoSpaceDN w:val="0"/>
        <w:adjustRightInd w:val="0"/>
        <w:spacing w:after="60"/>
        <w:rPr>
          <w:rFonts w:cs="Arial"/>
          <w:iCs/>
          <w:sz w:val="16"/>
          <w:szCs w:val="16"/>
        </w:rPr>
      </w:pPr>
      <w:r>
        <w:rPr>
          <w:rFonts w:cs="Arial"/>
          <w:iCs/>
          <w:sz w:val="16"/>
          <w:szCs w:val="16"/>
        </w:rPr>
        <w:t xml:space="preserve">3. </w:t>
      </w:r>
      <w:r w:rsidRPr="005D104F">
        <w:rPr>
          <w:rFonts w:cs="Arial"/>
          <w:iCs/>
          <w:sz w:val="16"/>
          <w:szCs w:val="16"/>
        </w:rPr>
        <w:t>From 21 November 2016 Aurukun State School was re-established as a stand-alone school.</w:t>
      </w:r>
    </w:p>
    <w:p w14:paraId="4F371F44" w14:textId="77777777" w:rsidR="008122FA" w:rsidRPr="005D104F" w:rsidRDefault="008122FA" w:rsidP="008122FA">
      <w:pPr>
        <w:widowControl w:val="0"/>
        <w:autoSpaceDE w:val="0"/>
        <w:autoSpaceDN w:val="0"/>
        <w:adjustRightInd w:val="0"/>
        <w:spacing w:after="60"/>
        <w:rPr>
          <w:rFonts w:cs="Arial"/>
          <w:sz w:val="16"/>
          <w:szCs w:val="16"/>
        </w:rPr>
      </w:pPr>
      <w:r>
        <w:rPr>
          <w:rFonts w:cs="Arial"/>
          <w:sz w:val="16"/>
          <w:szCs w:val="16"/>
        </w:rPr>
        <w:t>4</w:t>
      </w:r>
      <w:r w:rsidRPr="005D104F">
        <w:rPr>
          <w:rFonts w:cs="Arial"/>
          <w:sz w:val="16"/>
          <w:szCs w:val="16"/>
        </w:rPr>
        <w:t>. Caution should be used when examining the percentage changes in attendance for both Coen and the Mossman Gorge community. Both these have relatively small numbers of students and a small numerical change can result in a large percentage difference in the overall attendance figures.</w:t>
      </w:r>
    </w:p>
    <w:p w14:paraId="10B751F7" w14:textId="77777777" w:rsidR="008122FA" w:rsidRPr="005D104F" w:rsidRDefault="008122FA" w:rsidP="008122FA">
      <w:pPr>
        <w:widowControl w:val="0"/>
        <w:autoSpaceDE w:val="0"/>
        <w:autoSpaceDN w:val="0"/>
        <w:adjustRightInd w:val="0"/>
        <w:spacing w:after="60"/>
        <w:rPr>
          <w:sz w:val="16"/>
          <w:szCs w:val="16"/>
        </w:rPr>
      </w:pPr>
      <w:r>
        <w:rPr>
          <w:sz w:val="16"/>
          <w:szCs w:val="16"/>
        </w:rPr>
        <w:t>5</w:t>
      </w:r>
      <w:r w:rsidRPr="005D104F">
        <w:rPr>
          <w:sz w:val="16"/>
          <w:szCs w:val="16"/>
        </w:rPr>
        <w:t>. Mossman Gorge community attendance includes attendance for school-identified students from Mossman State School and Mossman State High School.</w:t>
      </w:r>
    </w:p>
    <w:p w14:paraId="63D03789" w14:textId="77777777" w:rsidR="00442897" w:rsidRDefault="00442897">
      <w:pPr>
        <w:spacing w:after="160" w:line="259" w:lineRule="auto"/>
        <w:rPr>
          <w:rFonts w:cs="Arial"/>
          <w:szCs w:val="20"/>
          <w:lang w:val="en-US" w:eastAsia="en-AU"/>
        </w:rPr>
      </w:pPr>
      <w:r>
        <w:rPr>
          <w:rFonts w:cs="Arial"/>
          <w:szCs w:val="20"/>
          <w:lang w:val="en-US" w:eastAsia="en-AU"/>
        </w:rPr>
        <w:br w:type="page"/>
      </w:r>
    </w:p>
    <w:p w14:paraId="45EF758F" w14:textId="77777777" w:rsidR="00A125AF" w:rsidRPr="00A125AF" w:rsidRDefault="00A125AF" w:rsidP="00E37C4C">
      <w:pPr>
        <w:pStyle w:val="Heading3"/>
      </w:pPr>
      <w:bookmarkStart w:id="6" w:name="_Hlk14878185"/>
      <w:r w:rsidRPr="00A125AF">
        <w:lastRenderedPageBreak/>
        <w:t>Performance statement</w:t>
      </w:r>
    </w:p>
    <w:p w14:paraId="0E7DD348" w14:textId="77777777" w:rsidR="00B15BC0" w:rsidRPr="005D104F" w:rsidRDefault="00B15BC0" w:rsidP="00B15BC0">
      <w:pPr>
        <w:widowControl w:val="0"/>
        <w:autoSpaceDE w:val="0"/>
        <w:autoSpaceDN w:val="0"/>
        <w:adjustRightInd w:val="0"/>
        <w:spacing w:line="260" w:lineRule="atLeast"/>
        <w:rPr>
          <w:rFonts w:cs="Arial"/>
          <w:iCs/>
          <w:szCs w:val="20"/>
        </w:rPr>
      </w:pPr>
      <w:r w:rsidRPr="005D104F">
        <w:rPr>
          <w:rFonts w:cs="Arial"/>
          <w:iCs/>
          <w:szCs w:val="20"/>
        </w:rPr>
        <w:t>Following are the performance measures used by the Commission to identify workload and operating results.</w:t>
      </w:r>
    </w:p>
    <w:tbl>
      <w:tblPr>
        <w:tblStyle w:val="TableGrid"/>
        <w:tblW w:w="0" w:type="auto"/>
        <w:tblLook w:val="04A0" w:firstRow="1" w:lastRow="0" w:firstColumn="1" w:lastColumn="0" w:noHBand="0" w:noVBand="1"/>
      </w:tblPr>
      <w:tblGrid>
        <w:gridCol w:w="5702"/>
        <w:gridCol w:w="1334"/>
        <w:gridCol w:w="1334"/>
      </w:tblGrid>
      <w:tr w:rsidR="00B15BC0" w:rsidRPr="005D104F" w14:paraId="1F044946" w14:textId="77777777" w:rsidTr="00A90858">
        <w:tc>
          <w:tcPr>
            <w:tcW w:w="5702" w:type="dxa"/>
          </w:tcPr>
          <w:p w14:paraId="0C1F2CF4" w14:textId="77777777" w:rsidR="00B15BC0" w:rsidRPr="005D104F" w:rsidRDefault="00B15BC0" w:rsidP="00A90858">
            <w:pPr>
              <w:widowControl w:val="0"/>
              <w:autoSpaceDE w:val="0"/>
              <w:autoSpaceDN w:val="0"/>
              <w:adjustRightInd w:val="0"/>
              <w:spacing w:line="260" w:lineRule="atLeast"/>
              <w:rPr>
                <w:rFonts w:cs="Arial"/>
                <w:b/>
                <w:iCs/>
              </w:rPr>
            </w:pPr>
            <w:r w:rsidRPr="005D104F">
              <w:rPr>
                <w:rFonts w:cs="Arial"/>
                <w:b/>
                <w:iCs/>
              </w:rPr>
              <w:t>Performance measures</w:t>
            </w:r>
          </w:p>
        </w:tc>
        <w:tc>
          <w:tcPr>
            <w:tcW w:w="1334" w:type="dxa"/>
          </w:tcPr>
          <w:p w14:paraId="230C3E2C" w14:textId="77777777" w:rsidR="00B15BC0" w:rsidRPr="005D104F" w:rsidRDefault="00B15BC0" w:rsidP="00A90858">
            <w:pPr>
              <w:widowControl w:val="0"/>
              <w:autoSpaceDE w:val="0"/>
              <w:autoSpaceDN w:val="0"/>
              <w:adjustRightInd w:val="0"/>
              <w:spacing w:line="260" w:lineRule="atLeast"/>
              <w:jc w:val="center"/>
              <w:rPr>
                <w:rFonts w:cs="Arial"/>
                <w:b/>
                <w:iCs/>
              </w:rPr>
            </w:pPr>
            <w:r w:rsidRPr="005D104F">
              <w:rPr>
                <w:rFonts w:cs="Arial"/>
                <w:b/>
                <w:iCs/>
              </w:rPr>
              <w:t>2017-2018</w:t>
            </w:r>
            <w:r w:rsidRPr="005D104F">
              <w:rPr>
                <w:rFonts w:cs="Arial"/>
                <w:b/>
                <w:iCs/>
              </w:rPr>
              <w:br/>
              <w:t>actual result</w:t>
            </w:r>
          </w:p>
        </w:tc>
        <w:tc>
          <w:tcPr>
            <w:tcW w:w="1334" w:type="dxa"/>
          </w:tcPr>
          <w:p w14:paraId="27B9D3EF" w14:textId="77777777" w:rsidR="00B15BC0" w:rsidRPr="005D104F" w:rsidRDefault="00B15BC0" w:rsidP="00A90858">
            <w:pPr>
              <w:widowControl w:val="0"/>
              <w:autoSpaceDE w:val="0"/>
              <w:autoSpaceDN w:val="0"/>
              <w:adjustRightInd w:val="0"/>
              <w:spacing w:line="260" w:lineRule="atLeast"/>
              <w:jc w:val="center"/>
              <w:rPr>
                <w:rFonts w:cs="Arial"/>
                <w:b/>
                <w:iCs/>
              </w:rPr>
            </w:pPr>
            <w:r>
              <w:rPr>
                <w:rFonts w:cs="Arial"/>
                <w:b/>
                <w:iCs/>
              </w:rPr>
              <w:t>2018-2019</w:t>
            </w:r>
            <w:r>
              <w:rPr>
                <w:rFonts w:cs="Arial"/>
                <w:b/>
                <w:iCs/>
              </w:rPr>
              <w:br/>
              <w:t>actual result</w:t>
            </w:r>
          </w:p>
        </w:tc>
      </w:tr>
      <w:tr w:rsidR="00B15BC0" w:rsidRPr="005D104F" w14:paraId="43983E2A" w14:textId="77777777" w:rsidTr="00A90858">
        <w:tc>
          <w:tcPr>
            <w:tcW w:w="5702" w:type="dxa"/>
          </w:tcPr>
          <w:p w14:paraId="027BC6EB" w14:textId="77777777" w:rsidR="00B15BC0" w:rsidRPr="005D104F" w:rsidRDefault="00B15BC0" w:rsidP="00A90858">
            <w:pPr>
              <w:widowControl w:val="0"/>
              <w:autoSpaceDE w:val="0"/>
              <w:autoSpaceDN w:val="0"/>
              <w:adjustRightInd w:val="0"/>
              <w:spacing w:line="260" w:lineRule="atLeast"/>
              <w:rPr>
                <w:rFonts w:cs="Arial"/>
                <w:iCs/>
              </w:rPr>
            </w:pPr>
            <w:r w:rsidRPr="005D104F">
              <w:t>Percentage of conferences conducted independently by Local Commissioners</w:t>
            </w:r>
          </w:p>
        </w:tc>
        <w:tc>
          <w:tcPr>
            <w:tcW w:w="1334" w:type="dxa"/>
          </w:tcPr>
          <w:p w14:paraId="618AD998" w14:textId="77777777" w:rsidR="00B15BC0" w:rsidRPr="005D104F" w:rsidRDefault="00B15BC0" w:rsidP="00A90858">
            <w:pPr>
              <w:widowControl w:val="0"/>
              <w:autoSpaceDE w:val="0"/>
              <w:autoSpaceDN w:val="0"/>
              <w:adjustRightInd w:val="0"/>
              <w:spacing w:line="260" w:lineRule="atLeast"/>
              <w:jc w:val="center"/>
              <w:rPr>
                <w:rFonts w:cs="Arial"/>
                <w:iCs/>
              </w:rPr>
            </w:pPr>
            <w:r w:rsidRPr="005D104F">
              <w:rPr>
                <w:rFonts w:cs="Arial"/>
                <w:iCs/>
              </w:rPr>
              <w:t>72.</w:t>
            </w:r>
            <w:r>
              <w:rPr>
                <w:rFonts w:cs="Arial"/>
                <w:iCs/>
              </w:rPr>
              <w:t>2</w:t>
            </w:r>
            <w:r w:rsidRPr="005D104F">
              <w:rPr>
                <w:rFonts w:cs="Arial"/>
                <w:iCs/>
              </w:rPr>
              <w:t>%</w:t>
            </w:r>
          </w:p>
        </w:tc>
        <w:tc>
          <w:tcPr>
            <w:tcW w:w="1334" w:type="dxa"/>
          </w:tcPr>
          <w:p w14:paraId="26CA8D37" w14:textId="77777777" w:rsidR="00B15BC0" w:rsidRPr="005D104F" w:rsidRDefault="00B15BC0" w:rsidP="00A90858">
            <w:pPr>
              <w:widowControl w:val="0"/>
              <w:autoSpaceDE w:val="0"/>
              <w:autoSpaceDN w:val="0"/>
              <w:adjustRightInd w:val="0"/>
              <w:spacing w:line="260" w:lineRule="atLeast"/>
              <w:jc w:val="center"/>
              <w:rPr>
                <w:rFonts w:cs="Arial"/>
                <w:iCs/>
              </w:rPr>
            </w:pPr>
            <w:r>
              <w:rPr>
                <w:rFonts w:cs="Arial"/>
                <w:iCs/>
              </w:rPr>
              <w:t>96.9%</w:t>
            </w:r>
          </w:p>
        </w:tc>
      </w:tr>
      <w:tr w:rsidR="00B15BC0" w:rsidRPr="005D104F" w14:paraId="59014D43" w14:textId="77777777" w:rsidTr="00A90858">
        <w:tc>
          <w:tcPr>
            <w:tcW w:w="5702" w:type="dxa"/>
          </w:tcPr>
          <w:p w14:paraId="42959A2A" w14:textId="77777777" w:rsidR="00B15BC0" w:rsidRPr="005D104F" w:rsidRDefault="00B15BC0" w:rsidP="00A90858">
            <w:pPr>
              <w:widowControl w:val="0"/>
              <w:autoSpaceDE w:val="0"/>
              <w:autoSpaceDN w:val="0"/>
              <w:adjustRightInd w:val="0"/>
              <w:spacing w:line="260" w:lineRule="atLeast"/>
              <w:rPr>
                <w:rFonts w:cs="Arial"/>
                <w:iCs/>
              </w:rPr>
            </w:pPr>
            <w:r w:rsidRPr="005D104F">
              <w:rPr>
                <w:rFonts w:cs="Arial"/>
                <w:iCs/>
              </w:rPr>
              <w:t xml:space="preserve">Percentage of CIM clients who have </w:t>
            </w:r>
            <w:r w:rsidRPr="00711274">
              <w:rPr>
                <w:rFonts w:cs="Arial"/>
                <w:iCs/>
              </w:rPr>
              <w:t>had CIM orders revoked</w:t>
            </w:r>
            <w:r w:rsidRPr="005D104F">
              <w:rPr>
                <w:rFonts w:cs="Arial"/>
                <w:iCs/>
              </w:rPr>
              <w:t xml:space="preserve"> or reduced</w:t>
            </w:r>
          </w:p>
        </w:tc>
        <w:tc>
          <w:tcPr>
            <w:tcW w:w="1334" w:type="dxa"/>
          </w:tcPr>
          <w:p w14:paraId="00480CFC" w14:textId="77777777" w:rsidR="00B15BC0" w:rsidRPr="005D104F" w:rsidRDefault="00B15BC0" w:rsidP="00A90858">
            <w:pPr>
              <w:widowControl w:val="0"/>
              <w:autoSpaceDE w:val="0"/>
              <w:autoSpaceDN w:val="0"/>
              <w:adjustRightInd w:val="0"/>
              <w:spacing w:line="260" w:lineRule="atLeast"/>
              <w:jc w:val="center"/>
              <w:rPr>
                <w:rFonts w:cs="Arial"/>
                <w:iCs/>
              </w:rPr>
            </w:pPr>
            <w:r w:rsidRPr="005D104F">
              <w:rPr>
                <w:rFonts w:cs="Arial"/>
                <w:iCs/>
              </w:rPr>
              <w:t>34.5%</w:t>
            </w:r>
          </w:p>
        </w:tc>
        <w:tc>
          <w:tcPr>
            <w:tcW w:w="1334" w:type="dxa"/>
          </w:tcPr>
          <w:p w14:paraId="6726DD36" w14:textId="77777777" w:rsidR="00B15BC0" w:rsidRPr="005D104F" w:rsidRDefault="00B15BC0" w:rsidP="00A90858">
            <w:pPr>
              <w:widowControl w:val="0"/>
              <w:autoSpaceDE w:val="0"/>
              <w:autoSpaceDN w:val="0"/>
              <w:adjustRightInd w:val="0"/>
              <w:spacing w:line="260" w:lineRule="atLeast"/>
              <w:jc w:val="center"/>
              <w:rPr>
                <w:rFonts w:cs="Arial"/>
                <w:iCs/>
              </w:rPr>
            </w:pPr>
            <w:r w:rsidRPr="00C657B8">
              <w:rPr>
                <w:rFonts w:cs="Arial"/>
                <w:iCs/>
              </w:rPr>
              <w:t>34.</w:t>
            </w:r>
            <w:r>
              <w:rPr>
                <w:rFonts w:cs="Arial"/>
                <w:iCs/>
              </w:rPr>
              <w:t>2</w:t>
            </w:r>
            <w:r w:rsidRPr="00C657B8">
              <w:rPr>
                <w:rFonts w:cs="Arial"/>
                <w:iCs/>
              </w:rPr>
              <w:t>%</w:t>
            </w:r>
          </w:p>
        </w:tc>
      </w:tr>
      <w:tr w:rsidR="00B15BC0" w:rsidRPr="005D104F" w14:paraId="42E96BC4" w14:textId="77777777" w:rsidTr="00A90858">
        <w:tc>
          <w:tcPr>
            <w:tcW w:w="5702" w:type="dxa"/>
          </w:tcPr>
          <w:p w14:paraId="21FDFA1A" w14:textId="77777777" w:rsidR="00B15BC0" w:rsidRPr="005D104F" w:rsidRDefault="00B15BC0" w:rsidP="00A90858">
            <w:pPr>
              <w:widowControl w:val="0"/>
              <w:autoSpaceDE w:val="0"/>
              <w:autoSpaceDN w:val="0"/>
              <w:adjustRightInd w:val="0"/>
              <w:spacing w:line="260" w:lineRule="atLeast"/>
              <w:rPr>
                <w:rFonts w:cs="Arial"/>
                <w:iCs/>
              </w:rPr>
            </w:pPr>
            <w:r w:rsidRPr="005D104F">
              <w:rPr>
                <w:rFonts w:cs="Arial"/>
                <w:iCs/>
              </w:rPr>
              <w:t>Percentage of conferences attended</w:t>
            </w:r>
          </w:p>
        </w:tc>
        <w:tc>
          <w:tcPr>
            <w:tcW w:w="1334" w:type="dxa"/>
          </w:tcPr>
          <w:p w14:paraId="27708D77" w14:textId="77777777" w:rsidR="00B15BC0" w:rsidRPr="005D104F" w:rsidRDefault="00B15BC0" w:rsidP="00A90858">
            <w:pPr>
              <w:widowControl w:val="0"/>
              <w:autoSpaceDE w:val="0"/>
              <w:autoSpaceDN w:val="0"/>
              <w:adjustRightInd w:val="0"/>
              <w:spacing w:line="260" w:lineRule="atLeast"/>
              <w:jc w:val="center"/>
              <w:rPr>
                <w:rFonts w:cs="Arial"/>
                <w:iCs/>
              </w:rPr>
            </w:pPr>
            <w:r w:rsidRPr="005D104F">
              <w:rPr>
                <w:rFonts w:cs="Arial"/>
                <w:iCs/>
              </w:rPr>
              <w:t>66.0%</w:t>
            </w:r>
          </w:p>
        </w:tc>
        <w:tc>
          <w:tcPr>
            <w:tcW w:w="1334" w:type="dxa"/>
          </w:tcPr>
          <w:p w14:paraId="23EFD5CA" w14:textId="77777777" w:rsidR="00B15BC0" w:rsidRPr="005D104F" w:rsidRDefault="00B15BC0" w:rsidP="00A90858">
            <w:pPr>
              <w:widowControl w:val="0"/>
              <w:autoSpaceDE w:val="0"/>
              <w:autoSpaceDN w:val="0"/>
              <w:adjustRightInd w:val="0"/>
              <w:spacing w:line="260" w:lineRule="atLeast"/>
              <w:jc w:val="center"/>
              <w:rPr>
                <w:rFonts w:cs="Arial"/>
                <w:iCs/>
              </w:rPr>
            </w:pPr>
            <w:r w:rsidRPr="00FD0FCC">
              <w:rPr>
                <w:rFonts w:cs="Arial"/>
                <w:iCs/>
              </w:rPr>
              <w:t>60.</w:t>
            </w:r>
            <w:r>
              <w:rPr>
                <w:rFonts w:cs="Arial"/>
                <w:iCs/>
              </w:rPr>
              <w:t>6</w:t>
            </w:r>
            <w:r w:rsidRPr="00FD0FCC">
              <w:rPr>
                <w:rFonts w:cs="Arial"/>
                <w:iCs/>
              </w:rPr>
              <w:t>%</w:t>
            </w:r>
          </w:p>
        </w:tc>
      </w:tr>
    </w:tbl>
    <w:p w14:paraId="0FD81FB0" w14:textId="77777777" w:rsidR="00B15BC0" w:rsidRPr="005D104F" w:rsidRDefault="00B15BC0" w:rsidP="00B15BC0">
      <w:pPr>
        <w:widowControl w:val="0"/>
        <w:autoSpaceDE w:val="0"/>
        <w:autoSpaceDN w:val="0"/>
        <w:adjustRightInd w:val="0"/>
        <w:spacing w:before="120" w:line="260" w:lineRule="atLeast"/>
        <w:rPr>
          <w:rFonts w:cs="Arial"/>
          <w:iCs/>
          <w:szCs w:val="20"/>
        </w:rPr>
      </w:pPr>
    </w:p>
    <w:p w14:paraId="71446279" w14:textId="77777777" w:rsidR="00B15BC0" w:rsidRPr="008E5925" w:rsidRDefault="00B15BC0" w:rsidP="00E37C4C">
      <w:pPr>
        <w:pStyle w:val="Heading3"/>
      </w:pPr>
      <w:r w:rsidRPr="008E5925">
        <w:t>Notices within jurisdiction</w:t>
      </w:r>
    </w:p>
    <w:p w14:paraId="6782BD5B" w14:textId="2CBC0CF4" w:rsidR="00B15BC0" w:rsidRPr="005D104F" w:rsidRDefault="00B15BC0" w:rsidP="00B15BC0">
      <w:pPr>
        <w:rPr>
          <w:lang w:val="en-US"/>
        </w:rPr>
      </w:pPr>
      <w:r w:rsidRPr="005D104F">
        <w:rPr>
          <w:lang w:val="en-US"/>
        </w:rPr>
        <w:t>From 1 July 201</w:t>
      </w:r>
      <w:r>
        <w:rPr>
          <w:lang w:val="en-US"/>
        </w:rPr>
        <w:t>8</w:t>
      </w:r>
      <w:r w:rsidRPr="005D104F">
        <w:rPr>
          <w:lang w:val="en-US"/>
        </w:rPr>
        <w:t xml:space="preserve"> to 30 June 201</w:t>
      </w:r>
      <w:r>
        <w:rPr>
          <w:lang w:val="en-US"/>
        </w:rPr>
        <w:t>9</w:t>
      </w:r>
      <w:r w:rsidRPr="005D104F">
        <w:rPr>
          <w:lang w:val="en-US"/>
        </w:rPr>
        <w:t xml:space="preserve">, the Commission received a total </w:t>
      </w:r>
      <w:r w:rsidRPr="0040272F">
        <w:rPr>
          <w:lang w:val="en-US"/>
        </w:rPr>
        <w:t>of 8,03</w:t>
      </w:r>
      <w:r w:rsidR="006218B0">
        <w:rPr>
          <w:lang w:val="en-US"/>
        </w:rPr>
        <w:t>1</w:t>
      </w:r>
      <w:r w:rsidRPr="005D104F">
        <w:rPr>
          <w:lang w:val="en-US"/>
        </w:rPr>
        <w:t xml:space="preserve"> agency notices of </w:t>
      </w:r>
      <w:r w:rsidRPr="0040272F">
        <w:rPr>
          <w:lang w:val="en-US"/>
        </w:rPr>
        <w:t>which 5,67</w:t>
      </w:r>
      <w:r w:rsidR="006218B0">
        <w:rPr>
          <w:lang w:val="en-US"/>
        </w:rPr>
        <w:t>0</w:t>
      </w:r>
      <w:r w:rsidRPr="005D104F">
        <w:rPr>
          <w:lang w:val="en-US"/>
        </w:rPr>
        <w:t xml:space="preserve"> were in jurisdiction, comprising:</w:t>
      </w:r>
    </w:p>
    <w:p w14:paraId="1DA74093" w14:textId="77777777" w:rsidR="00B15BC0" w:rsidRPr="005D104F" w:rsidRDefault="00B15BC0" w:rsidP="00B15BC0">
      <w:pPr>
        <w:widowControl w:val="0"/>
        <w:autoSpaceDE w:val="0"/>
        <w:autoSpaceDN w:val="0"/>
        <w:adjustRightInd w:val="0"/>
        <w:rPr>
          <w:rFonts w:ascii="Helvetica" w:hAnsi="Helvetica" w:cs="Helvetica"/>
          <w:b/>
          <w:bCs/>
          <w:sz w:val="17"/>
          <w:szCs w:val="17"/>
          <w:lang w:val="en-US"/>
        </w:rPr>
      </w:pPr>
      <w:bookmarkStart w:id="7" w:name="_Hlk13213432"/>
      <w:r w:rsidRPr="005D104F">
        <w:rPr>
          <w:rFonts w:ascii="Helvetica" w:hAnsi="Helvetica" w:cs="Helvetica"/>
          <w:b/>
          <w:bCs/>
          <w:sz w:val="17"/>
          <w:szCs w:val="17"/>
          <w:lang w:val="en-US"/>
        </w:rPr>
        <w:t>Table 3: In jurisdiction notices by type and community 1 July 201</w:t>
      </w:r>
      <w:r>
        <w:rPr>
          <w:rFonts w:ascii="Helvetica" w:hAnsi="Helvetica" w:cs="Helvetica"/>
          <w:b/>
          <w:bCs/>
          <w:sz w:val="17"/>
          <w:szCs w:val="17"/>
          <w:lang w:val="en-US"/>
        </w:rPr>
        <w:t>8</w:t>
      </w:r>
      <w:r w:rsidRPr="005D104F">
        <w:rPr>
          <w:rFonts w:ascii="Helvetica" w:hAnsi="Helvetica" w:cs="Helvetica"/>
          <w:b/>
          <w:bCs/>
          <w:sz w:val="17"/>
          <w:szCs w:val="17"/>
          <w:lang w:val="en-US"/>
        </w:rPr>
        <w:t xml:space="preserve"> to 30 June 201</w:t>
      </w:r>
      <w:r>
        <w:rPr>
          <w:rFonts w:ascii="Helvetica" w:hAnsi="Helvetica" w:cs="Helvetica"/>
          <w:b/>
          <w:bCs/>
          <w:sz w:val="17"/>
          <w:szCs w:val="17"/>
          <w:lang w:val="en-US"/>
        </w:rPr>
        <w:t>9</w:t>
      </w:r>
      <w:r w:rsidRPr="005D104F">
        <w:rPr>
          <w:rFonts w:ascii="Helvetica" w:hAnsi="Helvetica" w:cs="Helvetica"/>
          <w:b/>
          <w:bCs/>
          <w:sz w:val="17"/>
          <w:szCs w:val="17"/>
          <w:lang w:val="en-US"/>
        </w:rPr>
        <w:t>.</w:t>
      </w:r>
    </w:p>
    <w:tbl>
      <w:tblPr>
        <w:tblW w:w="8222" w:type="dxa"/>
        <w:tblInd w:w="108" w:type="dxa"/>
        <w:tblLayout w:type="fixed"/>
        <w:tblLook w:val="04A0" w:firstRow="1" w:lastRow="0" w:firstColumn="1" w:lastColumn="0" w:noHBand="0" w:noVBand="1"/>
      </w:tblPr>
      <w:tblGrid>
        <w:gridCol w:w="2647"/>
        <w:gridCol w:w="930"/>
        <w:gridCol w:w="929"/>
        <w:gridCol w:w="929"/>
        <w:gridCol w:w="929"/>
        <w:gridCol w:w="929"/>
        <w:gridCol w:w="929"/>
      </w:tblGrid>
      <w:tr w:rsidR="00B15BC0" w:rsidRPr="005D104F" w14:paraId="04493A1B" w14:textId="77777777" w:rsidTr="00A90858">
        <w:trPr>
          <w:trHeight w:val="284"/>
        </w:trPr>
        <w:tc>
          <w:tcPr>
            <w:tcW w:w="2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50C30" w14:textId="77777777" w:rsidR="00B15BC0" w:rsidRPr="005D104F" w:rsidRDefault="00B15BC0" w:rsidP="00A90858">
            <w:pPr>
              <w:spacing w:after="60"/>
              <w:rPr>
                <w:rFonts w:cs="Arial"/>
                <w:b/>
                <w:bCs/>
                <w:szCs w:val="20"/>
                <w:lang w:eastAsia="en-AU"/>
              </w:rPr>
            </w:pPr>
            <w:bookmarkStart w:id="8" w:name="_Hlk13216885"/>
            <w:r w:rsidRPr="005D104F">
              <w:rPr>
                <w:rFonts w:cs="Arial"/>
                <w:b/>
                <w:bCs/>
                <w:szCs w:val="20"/>
                <w:lang w:eastAsia="en-AU"/>
              </w:rPr>
              <w:t>Type of Notice</w:t>
            </w:r>
          </w:p>
        </w:tc>
        <w:tc>
          <w:tcPr>
            <w:tcW w:w="930" w:type="dxa"/>
            <w:tcBorders>
              <w:top w:val="single" w:sz="4" w:space="0" w:color="auto"/>
              <w:left w:val="nil"/>
              <w:bottom w:val="single" w:sz="4" w:space="0" w:color="auto"/>
              <w:right w:val="single" w:sz="4" w:space="0" w:color="auto"/>
            </w:tcBorders>
            <w:shd w:val="clear" w:color="auto" w:fill="auto"/>
            <w:vAlign w:val="center"/>
            <w:hideMark/>
          </w:tcPr>
          <w:p w14:paraId="23915D8A" w14:textId="77777777" w:rsidR="00B15BC0" w:rsidRPr="005D104F" w:rsidRDefault="00B15BC0" w:rsidP="00A90858">
            <w:pPr>
              <w:spacing w:after="60"/>
              <w:jc w:val="right"/>
              <w:rPr>
                <w:rFonts w:cs="Arial"/>
                <w:b/>
                <w:bCs/>
                <w:szCs w:val="20"/>
                <w:lang w:eastAsia="en-AU"/>
              </w:rPr>
            </w:pPr>
            <w:r w:rsidRPr="005D104F">
              <w:rPr>
                <w:rFonts w:cs="Arial"/>
                <w:b/>
                <w:bCs/>
                <w:szCs w:val="20"/>
                <w:lang w:eastAsia="en-AU"/>
              </w:rPr>
              <w:t>AU</w:t>
            </w:r>
          </w:p>
        </w:tc>
        <w:tc>
          <w:tcPr>
            <w:tcW w:w="929" w:type="dxa"/>
            <w:tcBorders>
              <w:top w:val="single" w:sz="4" w:space="0" w:color="auto"/>
              <w:left w:val="nil"/>
              <w:bottom w:val="single" w:sz="4" w:space="0" w:color="auto"/>
              <w:right w:val="single" w:sz="4" w:space="0" w:color="auto"/>
            </w:tcBorders>
            <w:shd w:val="clear" w:color="auto" w:fill="auto"/>
            <w:vAlign w:val="center"/>
            <w:hideMark/>
          </w:tcPr>
          <w:p w14:paraId="1ABE3148" w14:textId="77777777" w:rsidR="00B15BC0" w:rsidRPr="005D104F" w:rsidRDefault="00B15BC0" w:rsidP="00A90858">
            <w:pPr>
              <w:spacing w:after="60"/>
              <w:jc w:val="right"/>
              <w:rPr>
                <w:rFonts w:cs="Arial"/>
                <w:b/>
                <w:bCs/>
                <w:szCs w:val="20"/>
                <w:lang w:eastAsia="en-AU"/>
              </w:rPr>
            </w:pPr>
            <w:r w:rsidRPr="005D104F">
              <w:rPr>
                <w:rFonts w:cs="Arial"/>
                <w:b/>
                <w:bCs/>
                <w:szCs w:val="20"/>
                <w:lang w:eastAsia="en-AU"/>
              </w:rPr>
              <w:t>CO</w:t>
            </w:r>
          </w:p>
        </w:tc>
        <w:tc>
          <w:tcPr>
            <w:tcW w:w="929" w:type="dxa"/>
            <w:tcBorders>
              <w:top w:val="single" w:sz="4" w:space="0" w:color="auto"/>
              <w:left w:val="nil"/>
              <w:bottom w:val="single" w:sz="4" w:space="0" w:color="auto"/>
              <w:right w:val="single" w:sz="4" w:space="0" w:color="auto"/>
            </w:tcBorders>
            <w:shd w:val="clear" w:color="auto" w:fill="auto"/>
            <w:vAlign w:val="center"/>
            <w:hideMark/>
          </w:tcPr>
          <w:p w14:paraId="0D7548D6" w14:textId="458FB87D" w:rsidR="00B15BC0" w:rsidRPr="005D104F" w:rsidRDefault="00B15BC0" w:rsidP="00A90858">
            <w:pPr>
              <w:spacing w:after="60"/>
              <w:jc w:val="right"/>
              <w:rPr>
                <w:rFonts w:cs="Arial"/>
                <w:b/>
                <w:bCs/>
                <w:szCs w:val="20"/>
                <w:lang w:eastAsia="en-AU"/>
              </w:rPr>
            </w:pPr>
            <w:r w:rsidRPr="005D104F">
              <w:rPr>
                <w:rFonts w:cs="Arial"/>
                <w:b/>
                <w:bCs/>
                <w:szCs w:val="20"/>
                <w:lang w:eastAsia="en-AU"/>
              </w:rPr>
              <w:t>DM</w:t>
            </w:r>
            <w:r w:rsidR="00BC59A9" w:rsidRPr="00BC59A9">
              <w:rPr>
                <w:rFonts w:cs="Arial"/>
                <w:b/>
                <w:bCs/>
                <w:szCs w:val="20"/>
                <w:vertAlign w:val="superscript"/>
                <w:lang w:eastAsia="en-AU"/>
              </w:rPr>
              <w:t>6</w:t>
            </w:r>
          </w:p>
        </w:tc>
        <w:tc>
          <w:tcPr>
            <w:tcW w:w="929" w:type="dxa"/>
            <w:tcBorders>
              <w:top w:val="single" w:sz="4" w:space="0" w:color="auto"/>
              <w:left w:val="nil"/>
              <w:bottom w:val="single" w:sz="4" w:space="0" w:color="auto"/>
              <w:right w:val="single" w:sz="4" w:space="0" w:color="auto"/>
            </w:tcBorders>
            <w:shd w:val="clear" w:color="auto" w:fill="auto"/>
            <w:vAlign w:val="center"/>
            <w:hideMark/>
          </w:tcPr>
          <w:p w14:paraId="6777FDA0" w14:textId="77777777" w:rsidR="00B15BC0" w:rsidRPr="005D104F" w:rsidRDefault="00B15BC0" w:rsidP="00A90858">
            <w:pPr>
              <w:spacing w:after="60"/>
              <w:jc w:val="right"/>
              <w:rPr>
                <w:rFonts w:cs="Arial"/>
                <w:b/>
                <w:bCs/>
                <w:szCs w:val="20"/>
                <w:lang w:eastAsia="en-AU"/>
              </w:rPr>
            </w:pPr>
            <w:r w:rsidRPr="005D104F">
              <w:rPr>
                <w:rFonts w:cs="Arial"/>
                <w:b/>
                <w:bCs/>
                <w:szCs w:val="20"/>
                <w:lang w:eastAsia="en-AU"/>
              </w:rPr>
              <w:t>HV</w:t>
            </w:r>
          </w:p>
        </w:tc>
        <w:tc>
          <w:tcPr>
            <w:tcW w:w="929" w:type="dxa"/>
            <w:tcBorders>
              <w:top w:val="single" w:sz="4" w:space="0" w:color="auto"/>
              <w:left w:val="nil"/>
              <w:bottom w:val="single" w:sz="4" w:space="0" w:color="auto"/>
              <w:right w:val="single" w:sz="4" w:space="0" w:color="auto"/>
            </w:tcBorders>
            <w:shd w:val="clear" w:color="auto" w:fill="auto"/>
            <w:vAlign w:val="center"/>
            <w:hideMark/>
          </w:tcPr>
          <w:p w14:paraId="0149D2B3" w14:textId="77777777" w:rsidR="00B15BC0" w:rsidRPr="005D104F" w:rsidRDefault="00B15BC0" w:rsidP="00A90858">
            <w:pPr>
              <w:spacing w:after="60"/>
              <w:jc w:val="right"/>
              <w:rPr>
                <w:rFonts w:cs="Arial"/>
                <w:b/>
                <w:bCs/>
                <w:szCs w:val="20"/>
                <w:lang w:eastAsia="en-AU"/>
              </w:rPr>
            </w:pPr>
            <w:r w:rsidRPr="005D104F">
              <w:rPr>
                <w:rFonts w:cs="Arial"/>
                <w:b/>
                <w:bCs/>
                <w:szCs w:val="20"/>
                <w:lang w:eastAsia="en-AU"/>
              </w:rPr>
              <w:t>MG</w:t>
            </w:r>
          </w:p>
        </w:tc>
        <w:tc>
          <w:tcPr>
            <w:tcW w:w="929" w:type="dxa"/>
            <w:tcBorders>
              <w:top w:val="single" w:sz="4" w:space="0" w:color="auto"/>
              <w:left w:val="nil"/>
              <w:bottom w:val="single" w:sz="4" w:space="0" w:color="auto"/>
              <w:right w:val="single" w:sz="4" w:space="0" w:color="auto"/>
            </w:tcBorders>
            <w:shd w:val="clear" w:color="auto" w:fill="auto"/>
            <w:vAlign w:val="center"/>
            <w:hideMark/>
          </w:tcPr>
          <w:p w14:paraId="0824BBE7" w14:textId="77777777" w:rsidR="00B15BC0" w:rsidRPr="005D104F" w:rsidRDefault="00B15BC0" w:rsidP="00A90858">
            <w:pPr>
              <w:spacing w:after="60"/>
              <w:jc w:val="right"/>
              <w:rPr>
                <w:rFonts w:cs="Arial"/>
                <w:b/>
                <w:bCs/>
                <w:szCs w:val="20"/>
                <w:lang w:eastAsia="en-AU"/>
              </w:rPr>
            </w:pPr>
            <w:r w:rsidRPr="005D104F">
              <w:rPr>
                <w:rFonts w:cs="Arial"/>
                <w:b/>
                <w:bCs/>
                <w:szCs w:val="20"/>
                <w:lang w:eastAsia="en-AU"/>
              </w:rPr>
              <w:t>Total</w:t>
            </w:r>
          </w:p>
        </w:tc>
      </w:tr>
      <w:tr w:rsidR="00B15BC0" w:rsidRPr="005D104F" w14:paraId="14EBBCEE" w14:textId="77777777" w:rsidTr="00A90858">
        <w:trPr>
          <w:trHeight w:val="284"/>
        </w:trPr>
        <w:tc>
          <w:tcPr>
            <w:tcW w:w="26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6CABB" w14:textId="77777777" w:rsidR="00B15BC0" w:rsidRPr="009536F5" w:rsidRDefault="00B15BC0" w:rsidP="00A90858">
            <w:pPr>
              <w:spacing w:after="60"/>
              <w:rPr>
                <w:rFonts w:cs="Arial"/>
                <w:bCs/>
                <w:szCs w:val="20"/>
                <w:lang w:eastAsia="en-AU"/>
              </w:rPr>
            </w:pPr>
            <w:r w:rsidRPr="009536F5">
              <w:rPr>
                <w:rFonts w:cs="Arial"/>
                <w:bCs/>
                <w:szCs w:val="20"/>
                <w:lang w:eastAsia="en-AU"/>
              </w:rPr>
              <w:t>Supreme Court</w:t>
            </w:r>
          </w:p>
        </w:tc>
        <w:tc>
          <w:tcPr>
            <w:tcW w:w="930" w:type="dxa"/>
            <w:tcBorders>
              <w:top w:val="single" w:sz="4" w:space="0" w:color="auto"/>
              <w:left w:val="nil"/>
              <w:bottom w:val="single" w:sz="4" w:space="0" w:color="auto"/>
              <w:right w:val="single" w:sz="4" w:space="0" w:color="auto"/>
            </w:tcBorders>
            <w:shd w:val="clear" w:color="auto" w:fill="auto"/>
            <w:vAlign w:val="center"/>
          </w:tcPr>
          <w:p w14:paraId="1EDC2A82" w14:textId="77777777" w:rsidR="00B15BC0" w:rsidRPr="008E5925" w:rsidRDefault="00B15BC0" w:rsidP="00A90858">
            <w:pPr>
              <w:spacing w:after="60"/>
              <w:jc w:val="right"/>
              <w:rPr>
                <w:rFonts w:cs="Arial"/>
                <w:bCs/>
                <w:szCs w:val="20"/>
                <w:lang w:eastAsia="en-AU"/>
              </w:rPr>
            </w:pPr>
            <w:r w:rsidRPr="008E5925">
              <w:rPr>
                <w:rFonts w:cs="Arial"/>
                <w:bCs/>
                <w:szCs w:val="20"/>
                <w:lang w:eastAsia="en-AU"/>
              </w:rPr>
              <w:t>0</w:t>
            </w:r>
          </w:p>
        </w:tc>
        <w:tc>
          <w:tcPr>
            <w:tcW w:w="929" w:type="dxa"/>
            <w:tcBorders>
              <w:top w:val="single" w:sz="4" w:space="0" w:color="auto"/>
              <w:left w:val="nil"/>
              <w:bottom w:val="single" w:sz="4" w:space="0" w:color="auto"/>
              <w:right w:val="single" w:sz="4" w:space="0" w:color="auto"/>
            </w:tcBorders>
            <w:shd w:val="clear" w:color="auto" w:fill="auto"/>
            <w:vAlign w:val="center"/>
          </w:tcPr>
          <w:p w14:paraId="7F5792C1" w14:textId="77777777" w:rsidR="00B15BC0" w:rsidRPr="008E5925" w:rsidRDefault="00B15BC0" w:rsidP="00A90858">
            <w:pPr>
              <w:spacing w:after="60"/>
              <w:jc w:val="right"/>
              <w:rPr>
                <w:rFonts w:cs="Arial"/>
                <w:bCs/>
                <w:szCs w:val="20"/>
                <w:lang w:eastAsia="en-AU"/>
              </w:rPr>
            </w:pPr>
            <w:r w:rsidRPr="008E5925">
              <w:rPr>
                <w:rFonts w:cs="Arial"/>
                <w:bCs/>
                <w:szCs w:val="20"/>
                <w:lang w:eastAsia="en-AU"/>
              </w:rPr>
              <w:t>0</w:t>
            </w:r>
          </w:p>
        </w:tc>
        <w:tc>
          <w:tcPr>
            <w:tcW w:w="929" w:type="dxa"/>
            <w:tcBorders>
              <w:top w:val="single" w:sz="4" w:space="0" w:color="auto"/>
              <w:left w:val="nil"/>
              <w:bottom w:val="single" w:sz="4" w:space="0" w:color="auto"/>
              <w:right w:val="single" w:sz="4" w:space="0" w:color="auto"/>
            </w:tcBorders>
            <w:shd w:val="clear" w:color="auto" w:fill="auto"/>
            <w:vAlign w:val="center"/>
          </w:tcPr>
          <w:p w14:paraId="5DA5F048" w14:textId="77777777" w:rsidR="00B15BC0" w:rsidRPr="008E5925" w:rsidRDefault="00B15BC0" w:rsidP="00A90858">
            <w:pPr>
              <w:spacing w:after="60"/>
              <w:jc w:val="right"/>
              <w:rPr>
                <w:rFonts w:cs="Arial"/>
                <w:bCs/>
                <w:szCs w:val="20"/>
                <w:lang w:eastAsia="en-AU"/>
              </w:rPr>
            </w:pPr>
            <w:r w:rsidRPr="008E5925">
              <w:rPr>
                <w:rFonts w:cs="Arial"/>
                <w:szCs w:val="20"/>
              </w:rPr>
              <w:t>-</w:t>
            </w:r>
            <w:r w:rsidRPr="008E5925">
              <w:rPr>
                <w:rFonts w:cs="Arial"/>
                <w:bCs/>
                <w:szCs w:val="20"/>
                <w:lang w:eastAsia="en-AU"/>
              </w:rPr>
              <w:t xml:space="preserve"> </w:t>
            </w:r>
          </w:p>
        </w:tc>
        <w:tc>
          <w:tcPr>
            <w:tcW w:w="929" w:type="dxa"/>
            <w:tcBorders>
              <w:top w:val="single" w:sz="4" w:space="0" w:color="auto"/>
              <w:left w:val="nil"/>
              <w:bottom w:val="single" w:sz="4" w:space="0" w:color="auto"/>
              <w:right w:val="single" w:sz="4" w:space="0" w:color="auto"/>
            </w:tcBorders>
            <w:shd w:val="clear" w:color="auto" w:fill="auto"/>
            <w:vAlign w:val="center"/>
          </w:tcPr>
          <w:p w14:paraId="41FFED9F" w14:textId="77777777" w:rsidR="00B15BC0" w:rsidRPr="008E5925" w:rsidRDefault="00B15BC0" w:rsidP="00A90858">
            <w:pPr>
              <w:spacing w:after="60"/>
              <w:jc w:val="right"/>
              <w:rPr>
                <w:rFonts w:cs="Arial"/>
                <w:bCs/>
                <w:szCs w:val="20"/>
                <w:lang w:eastAsia="en-AU"/>
              </w:rPr>
            </w:pPr>
            <w:r w:rsidRPr="008E5925">
              <w:rPr>
                <w:rFonts w:cs="Arial"/>
                <w:bCs/>
                <w:szCs w:val="20"/>
                <w:lang w:eastAsia="en-AU"/>
              </w:rPr>
              <w:t>0</w:t>
            </w:r>
          </w:p>
        </w:tc>
        <w:tc>
          <w:tcPr>
            <w:tcW w:w="929" w:type="dxa"/>
            <w:tcBorders>
              <w:top w:val="single" w:sz="4" w:space="0" w:color="auto"/>
              <w:left w:val="nil"/>
              <w:bottom w:val="single" w:sz="4" w:space="0" w:color="auto"/>
              <w:right w:val="single" w:sz="4" w:space="0" w:color="auto"/>
            </w:tcBorders>
            <w:shd w:val="clear" w:color="auto" w:fill="auto"/>
            <w:vAlign w:val="center"/>
          </w:tcPr>
          <w:p w14:paraId="124BC315" w14:textId="77777777" w:rsidR="00B15BC0" w:rsidRPr="008E5925" w:rsidRDefault="00B15BC0" w:rsidP="00A90858">
            <w:pPr>
              <w:spacing w:after="60"/>
              <w:jc w:val="right"/>
              <w:rPr>
                <w:rFonts w:cs="Arial"/>
                <w:bCs/>
                <w:szCs w:val="20"/>
                <w:lang w:eastAsia="en-AU"/>
              </w:rPr>
            </w:pPr>
            <w:r w:rsidRPr="008E5925">
              <w:rPr>
                <w:rFonts w:cs="Arial"/>
                <w:bCs/>
                <w:szCs w:val="20"/>
                <w:lang w:eastAsia="en-AU"/>
              </w:rPr>
              <w:t>0</w:t>
            </w:r>
          </w:p>
        </w:tc>
        <w:tc>
          <w:tcPr>
            <w:tcW w:w="929" w:type="dxa"/>
            <w:tcBorders>
              <w:top w:val="single" w:sz="4" w:space="0" w:color="auto"/>
              <w:left w:val="nil"/>
              <w:bottom w:val="single" w:sz="4" w:space="0" w:color="auto"/>
              <w:right w:val="single" w:sz="4" w:space="0" w:color="auto"/>
            </w:tcBorders>
            <w:shd w:val="clear" w:color="auto" w:fill="auto"/>
            <w:vAlign w:val="center"/>
          </w:tcPr>
          <w:p w14:paraId="7F87B9B1" w14:textId="77777777" w:rsidR="00B15BC0" w:rsidRPr="008E5925" w:rsidRDefault="00B15BC0" w:rsidP="00A90858">
            <w:pPr>
              <w:spacing w:after="60"/>
              <w:jc w:val="right"/>
              <w:rPr>
                <w:rFonts w:cs="Arial"/>
                <w:b/>
                <w:bCs/>
                <w:szCs w:val="20"/>
                <w:lang w:eastAsia="en-AU"/>
              </w:rPr>
            </w:pPr>
            <w:r w:rsidRPr="008E5925">
              <w:rPr>
                <w:rFonts w:cs="Arial"/>
                <w:b/>
                <w:bCs/>
                <w:szCs w:val="20"/>
                <w:lang w:eastAsia="en-AU"/>
              </w:rPr>
              <w:t>0</w:t>
            </w:r>
          </w:p>
        </w:tc>
      </w:tr>
      <w:tr w:rsidR="00B15BC0" w:rsidRPr="005D104F" w14:paraId="3063B04D" w14:textId="77777777" w:rsidTr="00A90858">
        <w:trPr>
          <w:trHeight w:val="284"/>
        </w:trPr>
        <w:tc>
          <w:tcPr>
            <w:tcW w:w="2647" w:type="dxa"/>
            <w:tcBorders>
              <w:top w:val="nil"/>
              <w:left w:val="single" w:sz="4" w:space="0" w:color="auto"/>
              <w:bottom w:val="single" w:sz="4" w:space="0" w:color="auto"/>
              <w:right w:val="single" w:sz="4" w:space="0" w:color="auto"/>
            </w:tcBorders>
            <w:shd w:val="clear" w:color="auto" w:fill="auto"/>
            <w:vAlign w:val="center"/>
            <w:hideMark/>
          </w:tcPr>
          <w:p w14:paraId="32BBB33B" w14:textId="77777777" w:rsidR="00B15BC0" w:rsidRPr="005D104F" w:rsidRDefault="00B15BC0" w:rsidP="00A90858">
            <w:pPr>
              <w:spacing w:after="60"/>
              <w:rPr>
                <w:rFonts w:cs="Arial"/>
                <w:bCs/>
                <w:szCs w:val="20"/>
                <w:lang w:eastAsia="en-AU"/>
              </w:rPr>
            </w:pPr>
            <w:r w:rsidRPr="005D104F">
              <w:rPr>
                <w:rFonts w:cs="Arial"/>
                <w:bCs/>
                <w:szCs w:val="20"/>
                <w:lang w:eastAsia="en-AU"/>
              </w:rPr>
              <w:t>District Court</w:t>
            </w:r>
          </w:p>
        </w:tc>
        <w:tc>
          <w:tcPr>
            <w:tcW w:w="930" w:type="dxa"/>
            <w:tcBorders>
              <w:top w:val="nil"/>
              <w:left w:val="nil"/>
              <w:bottom w:val="single" w:sz="4" w:space="0" w:color="auto"/>
              <w:right w:val="single" w:sz="4" w:space="0" w:color="auto"/>
            </w:tcBorders>
            <w:shd w:val="clear" w:color="auto" w:fill="auto"/>
          </w:tcPr>
          <w:p w14:paraId="65D79DD2" w14:textId="77777777" w:rsidR="00B15BC0" w:rsidRPr="008E5925" w:rsidRDefault="00B15BC0" w:rsidP="00A90858">
            <w:pPr>
              <w:spacing w:after="60"/>
              <w:jc w:val="right"/>
              <w:rPr>
                <w:rFonts w:cs="Arial"/>
                <w:bCs/>
                <w:szCs w:val="20"/>
                <w:lang w:eastAsia="en-AU"/>
              </w:rPr>
            </w:pPr>
            <w:r w:rsidRPr="008E5925">
              <w:rPr>
                <w:rFonts w:cs="Arial"/>
                <w:szCs w:val="20"/>
              </w:rPr>
              <w:t>13</w:t>
            </w:r>
          </w:p>
        </w:tc>
        <w:tc>
          <w:tcPr>
            <w:tcW w:w="929" w:type="dxa"/>
            <w:tcBorders>
              <w:top w:val="nil"/>
              <w:left w:val="nil"/>
              <w:bottom w:val="single" w:sz="4" w:space="0" w:color="auto"/>
              <w:right w:val="single" w:sz="4" w:space="0" w:color="auto"/>
            </w:tcBorders>
            <w:shd w:val="clear" w:color="auto" w:fill="auto"/>
          </w:tcPr>
          <w:p w14:paraId="1BCE74C2" w14:textId="77777777" w:rsidR="00B15BC0" w:rsidRPr="008E5925" w:rsidRDefault="00B15BC0" w:rsidP="00A90858">
            <w:pPr>
              <w:spacing w:after="60"/>
              <w:jc w:val="right"/>
              <w:rPr>
                <w:rFonts w:cs="Arial"/>
                <w:bCs/>
                <w:szCs w:val="20"/>
                <w:lang w:eastAsia="en-AU"/>
              </w:rPr>
            </w:pPr>
            <w:r w:rsidRPr="008E5925">
              <w:rPr>
                <w:rFonts w:cs="Arial"/>
                <w:szCs w:val="20"/>
              </w:rPr>
              <w:t>1</w:t>
            </w:r>
          </w:p>
        </w:tc>
        <w:tc>
          <w:tcPr>
            <w:tcW w:w="929" w:type="dxa"/>
            <w:tcBorders>
              <w:top w:val="nil"/>
              <w:left w:val="nil"/>
              <w:bottom w:val="single" w:sz="4" w:space="0" w:color="auto"/>
              <w:right w:val="single" w:sz="4" w:space="0" w:color="auto"/>
            </w:tcBorders>
            <w:shd w:val="clear" w:color="auto" w:fill="auto"/>
          </w:tcPr>
          <w:p w14:paraId="5A61E66E" w14:textId="77777777" w:rsidR="00B15BC0" w:rsidRPr="008E5925" w:rsidRDefault="00B15BC0" w:rsidP="00A90858">
            <w:pPr>
              <w:spacing w:after="60"/>
              <w:jc w:val="right"/>
              <w:rPr>
                <w:rFonts w:cs="Arial"/>
                <w:bCs/>
                <w:szCs w:val="20"/>
                <w:lang w:eastAsia="en-AU"/>
              </w:rPr>
            </w:pPr>
            <w:r w:rsidRPr="008E5925">
              <w:rPr>
                <w:rFonts w:cs="Arial"/>
                <w:szCs w:val="20"/>
              </w:rPr>
              <w:t xml:space="preserve">- </w:t>
            </w:r>
          </w:p>
        </w:tc>
        <w:tc>
          <w:tcPr>
            <w:tcW w:w="929" w:type="dxa"/>
            <w:tcBorders>
              <w:top w:val="nil"/>
              <w:left w:val="nil"/>
              <w:bottom w:val="single" w:sz="4" w:space="0" w:color="auto"/>
              <w:right w:val="single" w:sz="4" w:space="0" w:color="auto"/>
            </w:tcBorders>
            <w:shd w:val="clear" w:color="auto" w:fill="auto"/>
          </w:tcPr>
          <w:p w14:paraId="78D1ED63" w14:textId="77777777" w:rsidR="00B15BC0" w:rsidRPr="008E5925" w:rsidRDefault="00B15BC0" w:rsidP="00A90858">
            <w:pPr>
              <w:spacing w:after="60"/>
              <w:jc w:val="right"/>
              <w:rPr>
                <w:rFonts w:cs="Arial"/>
                <w:bCs/>
                <w:szCs w:val="20"/>
                <w:lang w:eastAsia="en-AU"/>
              </w:rPr>
            </w:pPr>
            <w:r w:rsidRPr="008E5925">
              <w:rPr>
                <w:rFonts w:cs="Arial"/>
                <w:szCs w:val="20"/>
              </w:rPr>
              <w:t>10</w:t>
            </w:r>
          </w:p>
        </w:tc>
        <w:tc>
          <w:tcPr>
            <w:tcW w:w="929" w:type="dxa"/>
            <w:tcBorders>
              <w:top w:val="nil"/>
              <w:left w:val="nil"/>
              <w:bottom w:val="single" w:sz="4" w:space="0" w:color="auto"/>
              <w:right w:val="single" w:sz="4" w:space="0" w:color="auto"/>
            </w:tcBorders>
            <w:shd w:val="clear" w:color="auto" w:fill="auto"/>
          </w:tcPr>
          <w:p w14:paraId="288CF098" w14:textId="77777777" w:rsidR="00B15BC0" w:rsidRPr="008E5925" w:rsidRDefault="00B15BC0" w:rsidP="00A90858">
            <w:pPr>
              <w:spacing w:after="60"/>
              <w:jc w:val="right"/>
              <w:rPr>
                <w:rFonts w:cs="Arial"/>
                <w:bCs/>
                <w:szCs w:val="20"/>
                <w:lang w:eastAsia="en-AU"/>
              </w:rPr>
            </w:pPr>
            <w:r w:rsidRPr="008E5925">
              <w:rPr>
                <w:rFonts w:cs="Arial"/>
                <w:szCs w:val="20"/>
              </w:rPr>
              <w:t>0</w:t>
            </w:r>
          </w:p>
        </w:tc>
        <w:tc>
          <w:tcPr>
            <w:tcW w:w="929" w:type="dxa"/>
            <w:tcBorders>
              <w:top w:val="nil"/>
              <w:left w:val="nil"/>
              <w:bottom w:val="single" w:sz="4" w:space="0" w:color="auto"/>
              <w:right w:val="single" w:sz="4" w:space="0" w:color="auto"/>
            </w:tcBorders>
            <w:shd w:val="clear" w:color="auto" w:fill="auto"/>
          </w:tcPr>
          <w:p w14:paraId="41F6B3FC" w14:textId="77777777" w:rsidR="00B15BC0" w:rsidRPr="008E5925" w:rsidRDefault="00B15BC0" w:rsidP="00A90858">
            <w:pPr>
              <w:spacing w:after="60"/>
              <w:jc w:val="right"/>
              <w:rPr>
                <w:rFonts w:cs="Arial"/>
                <w:b/>
                <w:bCs/>
                <w:szCs w:val="20"/>
                <w:lang w:eastAsia="en-AU"/>
              </w:rPr>
            </w:pPr>
            <w:r w:rsidRPr="008E5925">
              <w:rPr>
                <w:rFonts w:cs="Arial"/>
                <w:b/>
                <w:bCs/>
                <w:szCs w:val="20"/>
              </w:rPr>
              <w:t>24</w:t>
            </w:r>
          </w:p>
        </w:tc>
      </w:tr>
      <w:tr w:rsidR="00B15BC0" w:rsidRPr="005D104F" w14:paraId="3B273FE9" w14:textId="77777777" w:rsidTr="00A90858">
        <w:trPr>
          <w:trHeight w:val="284"/>
        </w:trPr>
        <w:tc>
          <w:tcPr>
            <w:tcW w:w="2647" w:type="dxa"/>
            <w:tcBorders>
              <w:top w:val="nil"/>
              <w:left w:val="single" w:sz="4" w:space="0" w:color="auto"/>
              <w:bottom w:val="single" w:sz="4" w:space="0" w:color="auto"/>
              <w:right w:val="single" w:sz="4" w:space="0" w:color="auto"/>
            </w:tcBorders>
            <w:shd w:val="clear" w:color="auto" w:fill="auto"/>
            <w:vAlign w:val="center"/>
            <w:hideMark/>
          </w:tcPr>
          <w:p w14:paraId="7B6F4712" w14:textId="77777777" w:rsidR="00B15BC0" w:rsidRPr="005D104F" w:rsidRDefault="00B15BC0" w:rsidP="00A90858">
            <w:pPr>
              <w:spacing w:after="60"/>
              <w:rPr>
                <w:rFonts w:cs="Arial"/>
                <w:bCs/>
                <w:szCs w:val="20"/>
                <w:lang w:eastAsia="en-AU"/>
              </w:rPr>
            </w:pPr>
            <w:r w:rsidRPr="005D104F">
              <w:rPr>
                <w:rFonts w:cs="Arial"/>
                <w:bCs/>
                <w:szCs w:val="20"/>
                <w:lang w:eastAsia="en-AU"/>
              </w:rPr>
              <w:t>Magistrates Court</w:t>
            </w:r>
          </w:p>
        </w:tc>
        <w:tc>
          <w:tcPr>
            <w:tcW w:w="930" w:type="dxa"/>
            <w:tcBorders>
              <w:top w:val="nil"/>
              <w:left w:val="nil"/>
              <w:bottom w:val="single" w:sz="4" w:space="0" w:color="auto"/>
              <w:right w:val="single" w:sz="4" w:space="0" w:color="auto"/>
            </w:tcBorders>
            <w:shd w:val="clear" w:color="auto" w:fill="auto"/>
          </w:tcPr>
          <w:p w14:paraId="77067A37" w14:textId="77777777" w:rsidR="00B15BC0" w:rsidRPr="008E5925" w:rsidRDefault="00B15BC0" w:rsidP="00A90858">
            <w:pPr>
              <w:spacing w:after="60"/>
              <w:jc w:val="right"/>
              <w:rPr>
                <w:rFonts w:cs="Arial"/>
                <w:bCs/>
                <w:szCs w:val="20"/>
                <w:lang w:eastAsia="en-AU"/>
              </w:rPr>
            </w:pPr>
            <w:r w:rsidRPr="008E5925">
              <w:rPr>
                <w:rFonts w:cs="Arial"/>
                <w:szCs w:val="20"/>
              </w:rPr>
              <w:t>1,019</w:t>
            </w:r>
          </w:p>
        </w:tc>
        <w:tc>
          <w:tcPr>
            <w:tcW w:w="929" w:type="dxa"/>
            <w:tcBorders>
              <w:top w:val="nil"/>
              <w:left w:val="nil"/>
              <w:bottom w:val="single" w:sz="4" w:space="0" w:color="auto"/>
              <w:right w:val="single" w:sz="4" w:space="0" w:color="auto"/>
            </w:tcBorders>
            <w:shd w:val="clear" w:color="auto" w:fill="auto"/>
          </w:tcPr>
          <w:p w14:paraId="4E8B99C6" w14:textId="77777777" w:rsidR="00B15BC0" w:rsidRPr="008E5925" w:rsidRDefault="00B15BC0" w:rsidP="00A90858">
            <w:pPr>
              <w:spacing w:after="60"/>
              <w:jc w:val="right"/>
              <w:rPr>
                <w:rFonts w:cs="Arial"/>
                <w:bCs/>
                <w:szCs w:val="20"/>
                <w:lang w:eastAsia="en-AU"/>
              </w:rPr>
            </w:pPr>
            <w:r w:rsidRPr="008E5925">
              <w:rPr>
                <w:rFonts w:cs="Arial"/>
                <w:szCs w:val="20"/>
              </w:rPr>
              <w:t>68</w:t>
            </w:r>
          </w:p>
        </w:tc>
        <w:tc>
          <w:tcPr>
            <w:tcW w:w="929" w:type="dxa"/>
            <w:tcBorders>
              <w:top w:val="nil"/>
              <w:left w:val="nil"/>
              <w:bottom w:val="single" w:sz="4" w:space="0" w:color="auto"/>
              <w:right w:val="single" w:sz="4" w:space="0" w:color="auto"/>
            </w:tcBorders>
            <w:shd w:val="clear" w:color="auto" w:fill="auto"/>
          </w:tcPr>
          <w:p w14:paraId="5C971C44" w14:textId="77777777" w:rsidR="00B15BC0" w:rsidRPr="008E5925" w:rsidRDefault="00B15BC0" w:rsidP="00A90858">
            <w:pPr>
              <w:spacing w:after="60"/>
              <w:jc w:val="right"/>
              <w:rPr>
                <w:rFonts w:cs="Arial"/>
                <w:bCs/>
                <w:szCs w:val="20"/>
                <w:lang w:eastAsia="en-AU"/>
              </w:rPr>
            </w:pPr>
            <w:r w:rsidRPr="008E5925">
              <w:rPr>
                <w:rFonts w:cs="Arial"/>
                <w:szCs w:val="20"/>
              </w:rPr>
              <w:t xml:space="preserve">- </w:t>
            </w:r>
          </w:p>
        </w:tc>
        <w:tc>
          <w:tcPr>
            <w:tcW w:w="929" w:type="dxa"/>
            <w:tcBorders>
              <w:top w:val="nil"/>
              <w:left w:val="nil"/>
              <w:bottom w:val="single" w:sz="4" w:space="0" w:color="auto"/>
              <w:right w:val="single" w:sz="4" w:space="0" w:color="auto"/>
            </w:tcBorders>
            <w:shd w:val="clear" w:color="auto" w:fill="auto"/>
          </w:tcPr>
          <w:p w14:paraId="2C2446A7" w14:textId="77777777" w:rsidR="00B15BC0" w:rsidRPr="008E5925" w:rsidRDefault="00B15BC0" w:rsidP="00A90858">
            <w:pPr>
              <w:spacing w:after="60"/>
              <w:jc w:val="right"/>
              <w:rPr>
                <w:rFonts w:cs="Arial"/>
                <w:bCs/>
                <w:szCs w:val="20"/>
                <w:lang w:eastAsia="en-AU"/>
              </w:rPr>
            </w:pPr>
            <w:r w:rsidRPr="008E5925">
              <w:rPr>
                <w:rFonts w:cs="Arial"/>
                <w:szCs w:val="20"/>
              </w:rPr>
              <w:t>276</w:t>
            </w:r>
          </w:p>
        </w:tc>
        <w:tc>
          <w:tcPr>
            <w:tcW w:w="929" w:type="dxa"/>
            <w:tcBorders>
              <w:top w:val="nil"/>
              <w:left w:val="nil"/>
              <w:bottom w:val="single" w:sz="4" w:space="0" w:color="auto"/>
              <w:right w:val="single" w:sz="4" w:space="0" w:color="auto"/>
            </w:tcBorders>
            <w:shd w:val="clear" w:color="auto" w:fill="auto"/>
          </w:tcPr>
          <w:p w14:paraId="06B7485E" w14:textId="77777777" w:rsidR="00B15BC0" w:rsidRPr="008E5925" w:rsidRDefault="00B15BC0" w:rsidP="00A90858">
            <w:pPr>
              <w:spacing w:after="60"/>
              <w:jc w:val="right"/>
              <w:rPr>
                <w:rFonts w:cs="Arial"/>
                <w:bCs/>
                <w:szCs w:val="20"/>
                <w:lang w:eastAsia="en-AU"/>
              </w:rPr>
            </w:pPr>
            <w:r w:rsidRPr="008E5925">
              <w:rPr>
                <w:rFonts w:cs="Arial"/>
                <w:szCs w:val="20"/>
              </w:rPr>
              <w:t>83</w:t>
            </w:r>
          </w:p>
        </w:tc>
        <w:tc>
          <w:tcPr>
            <w:tcW w:w="929" w:type="dxa"/>
            <w:tcBorders>
              <w:top w:val="nil"/>
              <w:left w:val="nil"/>
              <w:bottom w:val="single" w:sz="4" w:space="0" w:color="auto"/>
              <w:right w:val="single" w:sz="4" w:space="0" w:color="auto"/>
            </w:tcBorders>
            <w:shd w:val="clear" w:color="auto" w:fill="auto"/>
          </w:tcPr>
          <w:p w14:paraId="405FED81" w14:textId="77777777" w:rsidR="00B15BC0" w:rsidRPr="008E5925" w:rsidRDefault="00B15BC0" w:rsidP="00A90858">
            <w:pPr>
              <w:spacing w:after="60"/>
              <w:jc w:val="right"/>
              <w:rPr>
                <w:rFonts w:cs="Arial"/>
                <w:b/>
                <w:bCs/>
                <w:szCs w:val="20"/>
                <w:lang w:eastAsia="en-AU"/>
              </w:rPr>
            </w:pPr>
            <w:r w:rsidRPr="008E5925">
              <w:rPr>
                <w:rFonts w:cs="Arial"/>
                <w:b/>
                <w:bCs/>
                <w:szCs w:val="20"/>
              </w:rPr>
              <w:t>1,446</w:t>
            </w:r>
          </w:p>
        </w:tc>
      </w:tr>
      <w:tr w:rsidR="00B15BC0" w:rsidRPr="005D104F" w14:paraId="691F5BDF" w14:textId="77777777" w:rsidTr="00A90858">
        <w:trPr>
          <w:trHeight w:val="284"/>
        </w:trPr>
        <w:tc>
          <w:tcPr>
            <w:tcW w:w="2647" w:type="dxa"/>
            <w:tcBorders>
              <w:top w:val="nil"/>
              <w:left w:val="single" w:sz="4" w:space="0" w:color="auto"/>
              <w:bottom w:val="single" w:sz="4" w:space="0" w:color="auto"/>
              <w:right w:val="single" w:sz="4" w:space="0" w:color="auto"/>
            </w:tcBorders>
            <w:shd w:val="clear" w:color="auto" w:fill="auto"/>
            <w:vAlign w:val="center"/>
            <w:hideMark/>
          </w:tcPr>
          <w:p w14:paraId="6BCBA383" w14:textId="77777777" w:rsidR="00B15BC0" w:rsidRPr="005D104F" w:rsidRDefault="00B15BC0" w:rsidP="00A90858">
            <w:pPr>
              <w:spacing w:after="60"/>
              <w:rPr>
                <w:rFonts w:cs="Arial"/>
                <w:bCs/>
                <w:szCs w:val="20"/>
                <w:lang w:eastAsia="en-AU"/>
              </w:rPr>
            </w:pPr>
            <w:r w:rsidRPr="005D104F">
              <w:rPr>
                <w:rFonts w:cs="Arial"/>
                <w:bCs/>
                <w:szCs w:val="20"/>
                <w:lang w:eastAsia="en-AU"/>
              </w:rPr>
              <w:t>Domestic Violence Breach</w:t>
            </w:r>
          </w:p>
        </w:tc>
        <w:tc>
          <w:tcPr>
            <w:tcW w:w="930" w:type="dxa"/>
            <w:tcBorders>
              <w:top w:val="nil"/>
              <w:left w:val="nil"/>
              <w:bottom w:val="single" w:sz="4" w:space="0" w:color="auto"/>
              <w:right w:val="single" w:sz="4" w:space="0" w:color="auto"/>
            </w:tcBorders>
            <w:shd w:val="clear" w:color="auto" w:fill="auto"/>
          </w:tcPr>
          <w:p w14:paraId="7E4CB892" w14:textId="77777777" w:rsidR="00B15BC0" w:rsidRPr="008E5925" w:rsidRDefault="00B15BC0" w:rsidP="00A90858">
            <w:pPr>
              <w:spacing w:after="60"/>
              <w:jc w:val="right"/>
              <w:rPr>
                <w:rFonts w:cs="Arial"/>
                <w:bCs/>
                <w:szCs w:val="20"/>
                <w:lang w:eastAsia="en-AU"/>
              </w:rPr>
            </w:pPr>
            <w:r w:rsidRPr="008E5925">
              <w:rPr>
                <w:rFonts w:cs="Arial"/>
                <w:szCs w:val="20"/>
              </w:rPr>
              <w:t>51</w:t>
            </w:r>
          </w:p>
        </w:tc>
        <w:tc>
          <w:tcPr>
            <w:tcW w:w="929" w:type="dxa"/>
            <w:tcBorders>
              <w:top w:val="nil"/>
              <w:left w:val="nil"/>
              <w:bottom w:val="single" w:sz="4" w:space="0" w:color="auto"/>
              <w:right w:val="single" w:sz="4" w:space="0" w:color="auto"/>
            </w:tcBorders>
            <w:shd w:val="clear" w:color="auto" w:fill="auto"/>
          </w:tcPr>
          <w:p w14:paraId="6051AD1A" w14:textId="77777777" w:rsidR="00B15BC0" w:rsidRPr="008E5925" w:rsidRDefault="00B15BC0" w:rsidP="00A90858">
            <w:pPr>
              <w:spacing w:after="60"/>
              <w:jc w:val="right"/>
              <w:rPr>
                <w:rFonts w:cs="Arial"/>
                <w:bCs/>
                <w:szCs w:val="20"/>
                <w:lang w:eastAsia="en-AU"/>
              </w:rPr>
            </w:pPr>
            <w:r w:rsidRPr="008E5925">
              <w:rPr>
                <w:rFonts w:cs="Arial"/>
                <w:szCs w:val="20"/>
              </w:rPr>
              <w:t>14</w:t>
            </w:r>
          </w:p>
        </w:tc>
        <w:tc>
          <w:tcPr>
            <w:tcW w:w="929" w:type="dxa"/>
            <w:tcBorders>
              <w:top w:val="nil"/>
              <w:left w:val="nil"/>
              <w:bottom w:val="single" w:sz="4" w:space="0" w:color="auto"/>
              <w:right w:val="single" w:sz="4" w:space="0" w:color="auto"/>
            </w:tcBorders>
            <w:shd w:val="clear" w:color="auto" w:fill="auto"/>
          </w:tcPr>
          <w:p w14:paraId="386AA639" w14:textId="77777777" w:rsidR="00B15BC0" w:rsidRPr="008E5925" w:rsidRDefault="00B15BC0" w:rsidP="00A90858">
            <w:pPr>
              <w:spacing w:after="60"/>
              <w:jc w:val="right"/>
              <w:rPr>
                <w:rFonts w:cs="Arial"/>
                <w:bCs/>
                <w:szCs w:val="20"/>
                <w:lang w:eastAsia="en-AU"/>
              </w:rPr>
            </w:pPr>
            <w:r w:rsidRPr="008E5925">
              <w:rPr>
                <w:rFonts w:cs="Arial"/>
                <w:szCs w:val="20"/>
              </w:rPr>
              <w:t xml:space="preserve">- </w:t>
            </w:r>
          </w:p>
        </w:tc>
        <w:tc>
          <w:tcPr>
            <w:tcW w:w="929" w:type="dxa"/>
            <w:tcBorders>
              <w:top w:val="nil"/>
              <w:left w:val="nil"/>
              <w:bottom w:val="single" w:sz="4" w:space="0" w:color="auto"/>
              <w:right w:val="single" w:sz="4" w:space="0" w:color="auto"/>
            </w:tcBorders>
            <w:shd w:val="clear" w:color="auto" w:fill="auto"/>
          </w:tcPr>
          <w:p w14:paraId="6E77A222" w14:textId="77777777" w:rsidR="00B15BC0" w:rsidRPr="008E5925" w:rsidRDefault="00B15BC0" w:rsidP="00A90858">
            <w:pPr>
              <w:spacing w:after="60"/>
              <w:jc w:val="right"/>
              <w:rPr>
                <w:rFonts w:cs="Arial"/>
                <w:bCs/>
                <w:szCs w:val="20"/>
                <w:lang w:eastAsia="en-AU"/>
              </w:rPr>
            </w:pPr>
            <w:r w:rsidRPr="008E5925">
              <w:rPr>
                <w:rFonts w:cs="Arial"/>
                <w:szCs w:val="20"/>
              </w:rPr>
              <w:t>37</w:t>
            </w:r>
          </w:p>
        </w:tc>
        <w:tc>
          <w:tcPr>
            <w:tcW w:w="929" w:type="dxa"/>
            <w:tcBorders>
              <w:top w:val="nil"/>
              <w:left w:val="nil"/>
              <w:bottom w:val="single" w:sz="4" w:space="0" w:color="auto"/>
              <w:right w:val="single" w:sz="4" w:space="0" w:color="auto"/>
            </w:tcBorders>
            <w:shd w:val="clear" w:color="auto" w:fill="auto"/>
          </w:tcPr>
          <w:p w14:paraId="7E93F2DA" w14:textId="77777777" w:rsidR="00B15BC0" w:rsidRPr="008E5925" w:rsidRDefault="00B15BC0" w:rsidP="00A90858">
            <w:pPr>
              <w:spacing w:after="60"/>
              <w:jc w:val="right"/>
              <w:rPr>
                <w:rFonts w:cs="Arial"/>
                <w:bCs/>
                <w:szCs w:val="20"/>
                <w:lang w:eastAsia="en-AU"/>
              </w:rPr>
            </w:pPr>
            <w:r w:rsidRPr="008E5925">
              <w:rPr>
                <w:rFonts w:cs="Arial"/>
                <w:szCs w:val="20"/>
              </w:rPr>
              <w:t>9</w:t>
            </w:r>
          </w:p>
        </w:tc>
        <w:tc>
          <w:tcPr>
            <w:tcW w:w="929" w:type="dxa"/>
            <w:tcBorders>
              <w:top w:val="nil"/>
              <w:left w:val="nil"/>
              <w:bottom w:val="single" w:sz="4" w:space="0" w:color="auto"/>
              <w:right w:val="single" w:sz="4" w:space="0" w:color="auto"/>
            </w:tcBorders>
            <w:shd w:val="clear" w:color="auto" w:fill="auto"/>
          </w:tcPr>
          <w:p w14:paraId="0CD882D2" w14:textId="77777777" w:rsidR="00B15BC0" w:rsidRPr="008E5925" w:rsidRDefault="00B15BC0" w:rsidP="00A90858">
            <w:pPr>
              <w:spacing w:after="60"/>
              <w:jc w:val="right"/>
              <w:rPr>
                <w:rFonts w:cs="Arial"/>
                <w:b/>
                <w:bCs/>
                <w:szCs w:val="20"/>
                <w:lang w:eastAsia="en-AU"/>
              </w:rPr>
            </w:pPr>
            <w:r w:rsidRPr="008E5925">
              <w:rPr>
                <w:rFonts w:cs="Arial"/>
                <w:b/>
                <w:bCs/>
                <w:szCs w:val="20"/>
              </w:rPr>
              <w:t>111</w:t>
            </w:r>
          </w:p>
        </w:tc>
      </w:tr>
      <w:tr w:rsidR="00B15BC0" w:rsidRPr="005D104F" w14:paraId="64EBC1CD" w14:textId="77777777" w:rsidTr="00A90858">
        <w:trPr>
          <w:trHeight w:val="284"/>
        </w:trPr>
        <w:tc>
          <w:tcPr>
            <w:tcW w:w="2647" w:type="dxa"/>
            <w:tcBorders>
              <w:top w:val="nil"/>
              <w:left w:val="single" w:sz="4" w:space="0" w:color="auto"/>
              <w:bottom w:val="single" w:sz="4" w:space="0" w:color="auto"/>
              <w:right w:val="single" w:sz="4" w:space="0" w:color="auto"/>
            </w:tcBorders>
            <w:shd w:val="clear" w:color="auto" w:fill="auto"/>
            <w:vAlign w:val="center"/>
            <w:hideMark/>
          </w:tcPr>
          <w:p w14:paraId="731472F1" w14:textId="77777777" w:rsidR="00B15BC0" w:rsidRPr="005D104F" w:rsidRDefault="00B15BC0" w:rsidP="00A90858">
            <w:pPr>
              <w:spacing w:after="60"/>
              <w:rPr>
                <w:rFonts w:cs="Arial"/>
                <w:bCs/>
                <w:szCs w:val="20"/>
                <w:lang w:eastAsia="en-AU"/>
              </w:rPr>
            </w:pPr>
            <w:r w:rsidRPr="005D104F">
              <w:rPr>
                <w:rFonts w:cs="Arial"/>
                <w:bCs/>
                <w:szCs w:val="20"/>
                <w:lang w:eastAsia="en-AU"/>
              </w:rPr>
              <w:t>Domestic Violence Order</w:t>
            </w:r>
          </w:p>
        </w:tc>
        <w:tc>
          <w:tcPr>
            <w:tcW w:w="930" w:type="dxa"/>
            <w:tcBorders>
              <w:top w:val="nil"/>
              <w:left w:val="nil"/>
              <w:bottom w:val="single" w:sz="4" w:space="0" w:color="auto"/>
              <w:right w:val="single" w:sz="4" w:space="0" w:color="auto"/>
            </w:tcBorders>
            <w:shd w:val="clear" w:color="auto" w:fill="auto"/>
          </w:tcPr>
          <w:p w14:paraId="728A8E32" w14:textId="77777777" w:rsidR="00B15BC0" w:rsidRPr="008E5925" w:rsidRDefault="00B15BC0" w:rsidP="00A90858">
            <w:pPr>
              <w:spacing w:after="60"/>
              <w:jc w:val="right"/>
              <w:rPr>
                <w:rFonts w:cs="Arial"/>
                <w:bCs/>
                <w:szCs w:val="20"/>
                <w:lang w:eastAsia="en-AU"/>
              </w:rPr>
            </w:pPr>
            <w:r w:rsidRPr="008E5925">
              <w:rPr>
                <w:rFonts w:cs="Arial"/>
                <w:szCs w:val="20"/>
              </w:rPr>
              <w:t>106</w:t>
            </w:r>
          </w:p>
        </w:tc>
        <w:tc>
          <w:tcPr>
            <w:tcW w:w="929" w:type="dxa"/>
            <w:tcBorders>
              <w:top w:val="nil"/>
              <w:left w:val="nil"/>
              <w:bottom w:val="single" w:sz="4" w:space="0" w:color="auto"/>
              <w:right w:val="single" w:sz="4" w:space="0" w:color="auto"/>
            </w:tcBorders>
            <w:shd w:val="clear" w:color="auto" w:fill="auto"/>
          </w:tcPr>
          <w:p w14:paraId="487DFDBD" w14:textId="77777777" w:rsidR="00B15BC0" w:rsidRPr="008E5925" w:rsidRDefault="00B15BC0" w:rsidP="00A90858">
            <w:pPr>
              <w:spacing w:after="60"/>
              <w:jc w:val="right"/>
              <w:rPr>
                <w:rFonts w:cs="Arial"/>
                <w:bCs/>
                <w:szCs w:val="20"/>
                <w:lang w:eastAsia="en-AU"/>
              </w:rPr>
            </w:pPr>
            <w:r w:rsidRPr="008E5925">
              <w:rPr>
                <w:rFonts w:cs="Arial"/>
                <w:szCs w:val="20"/>
              </w:rPr>
              <w:t>20</w:t>
            </w:r>
          </w:p>
        </w:tc>
        <w:tc>
          <w:tcPr>
            <w:tcW w:w="929" w:type="dxa"/>
            <w:tcBorders>
              <w:top w:val="nil"/>
              <w:left w:val="nil"/>
              <w:bottom w:val="single" w:sz="4" w:space="0" w:color="auto"/>
              <w:right w:val="single" w:sz="4" w:space="0" w:color="auto"/>
            </w:tcBorders>
            <w:shd w:val="clear" w:color="auto" w:fill="auto"/>
          </w:tcPr>
          <w:p w14:paraId="247C12F4" w14:textId="77777777" w:rsidR="00B15BC0" w:rsidRPr="008E5925" w:rsidRDefault="00B15BC0" w:rsidP="00A90858">
            <w:pPr>
              <w:spacing w:after="60"/>
              <w:jc w:val="right"/>
              <w:rPr>
                <w:rFonts w:cs="Arial"/>
                <w:bCs/>
                <w:szCs w:val="20"/>
                <w:lang w:eastAsia="en-AU"/>
              </w:rPr>
            </w:pPr>
            <w:r w:rsidRPr="008E5925">
              <w:rPr>
                <w:rFonts w:cs="Arial"/>
                <w:szCs w:val="20"/>
              </w:rPr>
              <w:t xml:space="preserve">- </w:t>
            </w:r>
          </w:p>
        </w:tc>
        <w:tc>
          <w:tcPr>
            <w:tcW w:w="929" w:type="dxa"/>
            <w:tcBorders>
              <w:top w:val="nil"/>
              <w:left w:val="nil"/>
              <w:bottom w:val="single" w:sz="4" w:space="0" w:color="auto"/>
              <w:right w:val="single" w:sz="4" w:space="0" w:color="auto"/>
            </w:tcBorders>
            <w:shd w:val="clear" w:color="auto" w:fill="auto"/>
          </w:tcPr>
          <w:p w14:paraId="46EFE592" w14:textId="77777777" w:rsidR="00B15BC0" w:rsidRPr="008E5925" w:rsidRDefault="00B15BC0" w:rsidP="00A90858">
            <w:pPr>
              <w:spacing w:after="60"/>
              <w:jc w:val="right"/>
              <w:rPr>
                <w:rFonts w:cs="Arial"/>
                <w:bCs/>
                <w:szCs w:val="20"/>
                <w:lang w:eastAsia="en-AU"/>
              </w:rPr>
            </w:pPr>
            <w:r w:rsidRPr="008E5925">
              <w:rPr>
                <w:rFonts w:cs="Arial"/>
                <w:szCs w:val="20"/>
              </w:rPr>
              <w:t>73</w:t>
            </w:r>
          </w:p>
        </w:tc>
        <w:tc>
          <w:tcPr>
            <w:tcW w:w="929" w:type="dxa"/>
            <w:tcBorders>
              <w:top w:val="nil"/>
              <w:left w:val="nil"/>
              <w:bottom w:val="single" w:sz="4" w:space="0" w:color="auto"/>
              <w:right w:val="single" w:sz="4" w:space="0" w:color="auto"/>
            </w:tcBorders>
            <w:shd w:val="clear" w:color="auto" w:fill="auto"/>
          </w:tcPr>
          <w:p w14:paraId="7C46DE17" w14:textId="77777777" w:rsidR="00B15BC0" w:rsidRPr="008E5925" w:rsidRDefault="00B15BC0" w:rsidP="00A90858">
            <w:pPr>
              <w:spacing w:after="60"/>
              <w:jc w:val="right"/>
              <w:rPr>
                <w:rFonts w:cs="Arial"/>
                <w:bCs/>
                <w:szCs w:val="20"/>
                <w:lang w:eastAsia="en-AU"/>
              </w:rPr>
            </w:pPr>
            <w:r w:rsidRPr="008E5925">
              <w:rPr>
                <w:rFonts w:cs="Arial"/>
                <w:szCs w:val="20"/>
              </w:rPr>
              <w:t>19</w:t>
            </w:r>
          </w:p>
        </w:tc>
        <w:tc>
          <w:tcPr>
            <w:tcW w:w="929" w:type="dxa"/>
            <w:tcBorders>
              <w:top w:val="nil"/>
              <w:left w:val="nil"/>
              <w:bottom w:val="single" w:sz="4" w:space="0" w:color="auto"/>
              <w:right w:val="single" w:sz="4" w:space="0" w:color="auto"/>
            </w:tcBorders>
            <w:shd w:val="clear" w:color="auto" w:fill="auto"/>
          </w:tcPr>
          <w:p w14:paraId="45C30035" w14:textId="77777777" w:rsidR="00B15BC0" w:rsidRPr="008E5925" w:rsidRDefault="00B15BC0" w:rsidP="00A90858">
            <w:pPr>
              <w:spacing w:after="60"/>
              <w:jc w:val="right"/>
              <w:rPr>
                <w:rFonts w:cs="Arial"/>
                <w:b/>
                <w:bCs/>
                <w:szCs w:val="20"/>
                <w:lang w:eastAsia="en-AU"/>
              </w:rPr>
            </w:pPr>
            <w:r w:rsidRPr="008E5925">
              <w:rPr>
                <w:rFonts w:cs="Arial"/>
                <w:b/>
                <w:bCs/>
                <w:szCs w:val="20"/>
              </w:rPr>
              <w:t>218</w:t>
            </w:r>
          </w:p>
        </w:tc>
      </w:tr>
      <w:tr w:rsidR="00B15BC0" w:rsidRPr="005D104F" w14:paraId="1356BFCB" w14:textId="77777777" w:rsidTr="00A90858">
        <w:trPr>
          <w:trHeight w:val="284"/>
        </w:trPr>
        <w:tc>
          <w:tcPr>
            <w:tcW w:w="2647" w:type="dxa"/>
            <w:tcBorders>
              <w:top w:val="nil"/>
              <w:left w:val="single" w:sz="4" w:space="0" w:color="auto"/>
              <w:bottom w:val="single" w:sz="4" w:space="0" w:color="auto"/>
              <w:right w:val="single" w:sz="4" w:space="0" w:color="auto"/>
            </w:tcBorders>
            <w:shd w:val="clear" w:color="auto" w:fill="auto"/>
            <w:vAlign w:val="center"/>
            <w:hideMark/>
          </w:tcPr>
          <w:p w14:paraId="4376B96D" w14:textId="77777777" w:rsidR="00B15BC0" w:rsidRPr="005D104F" w:rsidRDefault="00B15BC0" w:rsidP="00A90858">
            <w:pPr>
              <w:spacing w:after="60"/>
              <w:rPr>
                <w:rFonts w:cs="Arial"/>
                <w:bCs/>
                <w:szCs w:val="20"/>
                <w:lang w:eastAsia="en-AU"/>
              </w:rPr>
            </w:pPr>
            <w:r w:rsidRPr="005D104F">
              <w:rPr>
                <w:rFonts w:cs="Arial"/>
                <w:bCs/>
                <w:szCs w:val="20"/>
                <w:lang w:eastAsia="en-AU"/>
              </w:rPr>
              <w:t>School Attendance</w:t>
            </w:r>
          </w:p>
        </w:tc>
        <w:tc>
          <w:tcPr>
            <w:tcW w:w="930" w:type="dxa"/>
            <w:tcBorders>
              <w:top w:val="nil"/>
              <w:left w:val="nil"/>
              <w:bottom w:val="single" w:sz="4" w:space="0" w:color="auto"/>
              <w:right w:val="single" w:sz="4" w:space="0" w:color="auto"/>
            </w:tcBorders>
            <w:shd w:val="clear" w:color="auto" w:fill="auto"/>
          </w:tcPr>
          <w:p w14:paraId="3CB47047" w14:textId="77777777" w:rsidR="00B15BC0" w:rsidRPr="008E5925" w:rsidRDefault="00B15BC0" w:rsidP="00A90858">
            <w:pPr>
              <w:spacing w:after="60"/>
              <w:jc w:val="right"/>
              <w:rPr>
                <w:rFonts w:cs="Arial"/>
                <w:bCs/>
                <w:szCs w:val="20"/>
                <w:lang w:eastAsia="en-AU"/>
              </w:rPr>
            </w:pPr>
            <w:r w:rsidRPr="008E5925">
              <w:rPr>
                <w:rFonts w:cs="Arial"/>
                <w:szCs w:val="20"/>
              </w:rPr>
              <w:t>1,252</w:t>
            </w:r>
          </w:p>
        </w:tc>
        <w:tc>
          <w:tcPr>
            <w:tcW w:w="929" w:type="dxa"/>
            <w:tcBorders>
              <w:top w:val="nil"/>
              <w:left w:val="nil"/>
              <w:bottom w:val="single" w:sz="4" w:space="0" w:color="auto"/>
              <w:right w:val="single" w:sz="4" w:space="0" w:color="auto"/>
            </w:tcBorders>
            <w:shd w:val="clear" w:color="auto" w:fill="auto"/>
          </w:tcPr>
          <w:p w14:paraId="714419EC" w14:textId="77777777" w:rsidR="00B15BC0" w:rsidRPr="008E5925" w:rsidRDefault="00B15BC0" w:rsidP="00A90858">
            <w:pPr>
              <w:spacing w:after="60"/>
              <w:jc w:val="right"/>
              <w:rPr>
                <w:rFonts w:cs="Arial"/>
                <w:bCs/>
                <w:szCs w:val="20"/>
                <w:lang w:eastAsia="en-AU"/>
              </w:rPr>
            </w:pPr>
            <w:r w:rsidRPr="008E5925">
              <w:rPr>
                <w:rFonts w:cs="Arial"/>
                <w:szCs w:val="20"/>
              </w:rPr>
              <w:t>101</w:t>
            </w:r>
          </w:p>
        </w:tc>
        <w:tc>
          <w:tcPr>
            <w:tcW w:w="929" w:type="dxa"/>
            <w:tcBorders>
              <w:top w:val="nil"/>
              <w:left w:val="nil"/>
              <w:bottom w:val="single" w:sz="4" w:space="0" w:color="auto"/>
              <w:right w:val="single" w:sz="4" w:space="0" w:color="auto"/>
            </w:tcBorders>
            <w:shd w:val="clear" w:color="auto" w:fill="auto"/>
          </w:tcPr>
          <w:p w14:paraId="5CA37389" w14:textId="4549B638" w:rsidR="00B15BC0" w:rsidRPr="008E5925" w:rsidRDefault="00B15BC0" w:rsidP="00A90858">
            <w:pPr>
              <w:spacing w:after="60"/>
              <w:jc w:val="right"/>
              <w:rPr>
                <w:rFonts w:cs="Arial"/>
                <w:bCs/>
                <w:szCs w:val="20"/>
                <w:lang w:eastAsia="en-AU"/>
              </w:rPr>
            </w:pPr>
            <w:r w:rsidRPr="008E5925">
              <w:rPr>
                <w:rFonts w:cs="Arial"/>
                <w:szCs w:val="20"/>
              </w:rPr>
              <w:t>1,57</w:t>
            </w:r>
            <w:r w:rsidR="006218B0">
              <w:rPr>
                <w:rFonts w:cs="Arial"/>
                <w:szCs w:val="20"/>
              </w:rPr>
              <w:t>2</w:t>
            </w:r>
          </w:p>
        </w:tc>
        <w:tc>
          <w:tcPr>
            <w:tcW w:w="929" w:type="dxa"/>
            <w:tcBorders>
              <w:top w:val="nil"/>
              <w:left w:val="nil"/>
              <w:bottom w:val="single" w:sz="4" w:space="0" w:color="auto"/>
              <w:right w:val="single" w:sz="4" w:space="0" w:color="auto"/>
            </w:tcBorders>
            <w:shd w:val="clear" w:color="auto" w:fill="auto"/>
          </w:tcPr>
          <w:p w14:paraId="059431E7" w14:textId="77777777" w:rsidR="00B15BC0" w:rsidRPr="008E5925" w:rsidRDefault="00B15BC0" w:rsidP="00A90858">
            <w:pPr>
              <w:spacing w:after="60"/>
              <w:jc w:val="right"/>
              <w:rPr>
                <w:rFonts w:cs="Arial"/>
                <w:bCs/>
                <w:szCs w:val="20"/>
                <w:lang w:eastAsia="en-AU"/>
              </w:rPr>
            </w:pPr>
            <w:r w:rsidRPr="008E5925">
              <w:rPr>
                <w:rFonts w:cs="Arial"/>
                <w:szCs w:val="20"/>
              </w:rPr>
              <w:t>661</w:t>
            </w:r>
          </w:p>
        </w:tc>
        <w:tc>
          <w:tcPr>
            <w:tcW w:w="929" w:type="dxa"/>
            <w:tcBorders>
              <w:top w:val="nil"/>
              <w:left w:val="nil"/>
              <w:bottom w:val="single" w:sz="4" w:space="0" w:color="auto"/>
              <w:right w:val="single" w:sz="4" w:space="0" w:color="auto"/>
            </w:tcBorders>
            <w:shd w:val="clear" w:color="auto" w:fill="auto"/>
          </w:tcPr>
          <w:p w14:paraId="214B2A4F" w14:textId="77777777" w:rsidR="00B15BC0" w:rsidRPr="008E5925" w:rsidRDefault="00B15BC0" w:rsidP="00A90858">
            <w:pPr>
              <w:spacing w:after="60"/>
              <w:jc w:val="right"/>
              <w:rPr>
                <w:rFonts w:cs="Arial"/>
                <w:bCs/>
                <w:szCs w:val="20"/>
                <w:lang w:eastAsia="en-AU"/>
              </w:rPr>
            </w:pPr>
            <w:r w:rsidRPr="008E5925">
              <w:rPr>
                <w:rFonts w:cs="Arial"/>
                <w:szCs w:val="20"/>
              </w:rPr>
              <w:t>80</w:t>
            </w:r>
          </w:p>
        </w:tc>
        <w:tc>
          <w:tcPr>
            <w:tcW w:w="929" w:type="dxa"/>
            <w:tcBorders>
              <w:top w:val="nil"/>
              <w:left w:val="nil"/>
              <w:bottom w:val="single" w:sz="4" w:space="0" w:color="auto"/>
              <w:right w:val="single" w:sz="4" w:space="0" w:color="auto"/>
            </w:tcBorders>
            <w:shd w:val="clear" w:color="auto" w:fill="auto"/>
          </w:tcPr>
          <w:p w14:paraId="5BA2E5CD" w14:textId="375F702D" w:rsidR="00B15BC0" w:rsidRPr="008E5925" w:rsidRDefault="00B15BC0" w:rsidP="00A90858">
            <w:pPr>
              <w:spacing w:after="60"/>
              <w:jc w:val="right"/>
              <w:rPr>
                <w:rFonts w:cs="Arial"/>
                <w:b/>
                <w:bCs/>
                <w:szCs w:val="20"/>
                <w:lang w:eastAsia="en-AU"/>
              </w:rPr>
            </w:pPr>
            <w:r w:rsidRPr="008E5925">
              <w:rPr>
                <w:rFonts w:cs="Arial"/>
                <w:b/>
                <w:bCs/>
                <w:szCs w:val="20"/>
              </w:rPr>
              <w:t>3,66</w:t>
            </w:r>
            <w:r w:rsidR="006218B0">
              <w:rPr>
                <w:rFonts w:cs="Arial"/>
                <w:b/>
                <w:bCs/>
                <w:szCs w:val="20"/>
              </w:rPr>
              <w:t>6</w:t>
            </w:r>
          </w:p>
        </w:tc>
      </w:tr>
      <w:tr w:rsidR="00B15BC0" w:rsidRPr="005D104F" w14:paraId="5D0B2F85" w14:textId="77777777" w:rsidTr="00A90858">
        <w:trPr>
          <w:trHeight w:val="284"/>
        </w:trPr>
        <w:tc>
          <w:tcPr>
            <w:tcW w:w="2647" w:type="dxa"/>
            <w:tcBorders>
              <w:top w:val="nil"/>
              <w:left w:val="single" w:sz="4" w:space="0" w:color="auto"/>
              <w:bottom w:val="single" w:sz="4" w:space="0" w:color="auto"/>
              <w:right w:val="single" w:sz="4" w:space="0" w:color="auto"/>
            </w:tcBorders>
            <w:shd w:val="clear" w:color="auto" w:fill="auto"/>
            <w:vAlign w:val="center"/>
            <w:hideMark/>
          </w:tcPr>
          <w:p w14:paraId="02088BD1" w14:textId="77777777" w:rsidR="00B15BC0" w:rsidRPr="005D104F" w:rsidRDefault="00B15BC0" w:rsidP="00A90858">
            <w:pPr>
              <w:spacing w:after="60"/>
              <w:rPr>
                <w:rFonts w:cs="Arial"/>
                <w:bCs/>
                <w:szCs w:val="20"/>
                <w:lang w:eastAsia="en-AU"/>
              </w:rPr>
            </w:pPr>
            <w:r w:rsidRPr="005D104F">
              <w:rPr>
                <w:rFonts w:cs="Arial"/>
                <w:bCs/>
                <w:szCs w:val="20"/>
                <w:lang w:eastAsia="en-AU"/>
              </w:rPr>
              <w:t>School Enrolment</w:t>
            </w:r>
          </w:p>
        </w:tc>
        <w:tc>
          <w:tcPr>
            <w:tcW w:w="930" w:type="dxa"/>
            <w:tcBorders>
              <w:top w:val="nil"/>
              <w:left w:val="nil"/>
              <w:bottom w:val="single" w:sz="4" w:space="0" w:color="auto"/>
              <w:right w:val="single" w:sz="4" w:space="0" w:color="auto"/>
            </w:tcBorders>
            <w:shd w:val="clear" w:color="auto" w:fill="auto"/>
          </w:tcPr>
          <w:p w14:paraId="1CE885D4" w14:textId="77777777" w:rsidR="00B15BC0" w:rsidRPr="008E5925" w:rsidRDefault="00B15BC0" w:rsidP="00A90858">
            <w:pPr>
              <w:spacing w:after="60"/>
              <w:jc w:val="right"/>
              <w:rPr>
                <w:rFonts w:cs="Arial"/>
                <w:bCs/>
                <w:szCs w:val="20"/>
                <w:lang w:eastAsia="en-AU"/>
              </w:rPr>
            </w:pPr>
            <w:r w:rsidRPr="008E5925">
              <w:rPr>
                <w:rFonts w:cs="Arial"/>
                <w:szCs w:val="20"/>
              </w:rPr>
              <w:t>6</w:t>
            </w:r>
          </w:p>
        </w:tc>
        <w:tc>
          <w:tcPr>
            <w:tcW w:w="929" w:type="dxa"/>
            <w:tcBorders>
              <w:top w:val="nil"/>
              <w:left w:val="nil"/>
              <w:bottom w:val="single" w:sz="4" w:space="0" w:color="auto"/>
              <w:right w:val="single" w:sz="4" w:space="0" w:color="auto"/>
            </w:tcBorders>
            <w:shd w:val="clear" w:color="auto" w:fill="auto"/>
          </w:tcPr>
          <w:p w14:paraId="1F62D2A3" w14:textId="77777777" w:rsidR="00B15BC0" w:rsidRPr="008E5925" w:rsidRDefault="00B15BC0" w:rsidP="00A90858">
            <w:pPr>
              <w:spacing w:after="60"/>
              <w:jc w:val="right"/>
              <w:rPr>
                <w:rFonts w:cs="Arial"/>
                <w:bCs/>
                <w:szCs w:val="20"/>
                <w:lang w:eastAsia="en-AU"/>
              </w:rPr>
            </w:pPr>
            <w:r w:rsidRPr="008E5925">
              <w:rPr>
                <w:rFonts w:cs="Arial"/>
                <w:szCs w:val="20"/>
              </w:rPr>
              <w:t>1</w:t>
            </w:r>
          </w:p>
        </w:tc>
        <w:tc>
          <w:tcPr>
            <w:tcW w:w="929" w:type="dxa"/>
            <w:tcBorders>
              <w:top w:val="nil"/>
              <w:left w:val="nil"/>
              <w:bottom w:val="single" w:sz="4" w:space="0" w:color="auto"/>
              <w:right w:val="single" w:sz="4" w:space="0" w:color="auto"/>
            </w:tcBorders>
            <w:shd w:val="clear" w:color="auto" w:fill="auto"/>
          </w:tcPr>
          <w:p w14:paraId="2D377FAC" w14:textId="77777777" w:rsidR="00B15BC0" w:rsidRPr="008E5925" w:rsidRDefault="00B15BC0" w:rsidP="00A90858">
            <w:pPr>
              <w:spacing w:after="60"/>
              <w:jc w:val="right"/>
              <w:rPr>
                <w:rFonts w:cs="Arial"/>
                <w:bCs/>
                <w:szCs w:val="20"/>
                <w:lang w:eastAsia="en-AU"/>
              </w:rPr>
            </w:pPr>
            <w:r w:rsidRPr="008E5925">
              <w:rPr>
                <w:rFonts w:cs="Arial"/>
                <w:szCs w:val="20"/>
              </w:rPr>
              <w:t>5</w:t>
            </w:r>
          </w:p>
        </w:tc>
        <w:tc>
          <w:tcPr>
            <w:tcW w:w="929" w:type="dxa"/>
            <w:tcBorders>
              <w:top w:val="nil"/>
              <w:left w:val="nil"/>
              <w:bottom w:val="single" w:sz="4" w:space="0" w:color="auto"/>
              <w:right w:val="single" w:sz="4" w:space="0" w:color="auto"/>
            </w:tcBorders>
            <w:shd w:val="clear" w:color="auto" w:fill="auto"/>
          </w:tcPr>
          <w:p w14:paraId="4529B5C3" w14:textId="77777777" w:rsidR="00B15BC0" w:rsidRPr="008E5925" w:rsidRDefault="00B15BC0" w:rsidP="00A90858">
            <w:pPr>
              <w:spacing w:after="60"/>
              <w:jc w:val="right"/>
              <w:rPr>
                <w:rFonts w:cs="Arial"/>
                <w:bCs/>
                <w:szCs w:val="20"/>
                <w:lang w:eastAsia="en-AU"/>
              </w:rPr>
            </w:pPr>
            <w:r w:rsidRPr="008E5925">
              <w:rPr>
                <w:rFonts w:cs="Arial"/>
                <w:szCs w:val="20"/>
              </w:rPr>
              <w:t>1</w:t>
            </w:r>
          </w:p>
        </w:tc>
        <w:tc>
          <w:tcPr>
            <w:tcW w:w="929" w:type="dxa"/>
            <w:tcBorders>
              <w:top w:val="nil"/>
              <w:left w:val="nil"/>
              <w:bottom w:val="single" w:sz="4" w:space="0" w:color="auto"/>
              <w:right w:val="single" w:sz="4" w:space="0" w:color="auto"/>
            </w:tcBorders>
            <w:shd w:val="clear" w:color="auto" w:fill="auto"/>
          </w:tcPr>
          <w:p w14:paraId="6C2ED03B" w14:textId="77777777" w:rsidR="00B15BC0" w:rsidRPr="008E5925" w:rsidRDefault="00B15BC0" w:rsidP="00A90858">
            <w:pPr>
              <w:spacing w:after="60"/>
              <w:jc w:val="right"/>
              <w:rPr>
                <w:rFonts w:cs="Arial"/>
                <w:bCs/>
                <w:szCs w:val="20"/>
                <w:lang w:eastAsia="en-AU"/>
              </w:rPr>
            </w:pPr>
            <w:r w:rsidRPr="008E5925">
              <w:rPr>
                <w:rFonts w:cs="Arial"/>
                <w:szCs w:val="20"/>
              </w:rPr>
              <w:t>2</w:t>
            </w:r>
          </w:p>
        </w:tc>
        <w:tc>
          <w:tcPr>
            <w:tcW w:w="929" w:type="dxa"/>
            <w:tcBorders>
              <w:top w:val="nil"/>
              <w:left w:val="nil"/>
              <w:bottom w:val="single" w:sz="4" w:space="0" w:color="auto"/>
              <w:right w:val="single" w:sz="4" w:space="0" w:color="auto"/>
            </w:tcBorders>
            <w:shd w:val="clear" w:color="auto" w:fill="auto"/>
          </w:tcPr>
          <w:p w14:paraId="5AF751D5" w14:textId="77777777" w:rsidR="00B15BC0" w:rsidRPr="008E5925" w:rsidRDefault="00B15BC0" w:rsidP="00A90858">
            <w:pPr>
              <w:spacing w:after="60"/>
              <w:jc w:val="right"/>
              <w:rPr>
                <w:rFonts w:cs="Arial"/>
                <w:b/>
                <w:bCs/>
                <w:szCs w:val="20"/>
                <w:lang w:eastAsia="en-AU"/>
              </w:rPr>
            </w:pPr>
            <w:r w:rsidRPr="008E5925">
              <w:rPr>
                <w:rFonts w:cs="Arial"/>
                <w:b/>
                <w:bCs/>
                <w:szCs w:val="20"/>
              </w:rPr>
              <w:t>15</w:t>
            </w:r>
          </w:p>
        </w:tc>
      </w:tr>
      <w:tr w:rsidR="00B15BC0" w:rsidRPr="005D104F" w14:paraId="38289920" w14:textId="77777777" w:rsidTr="00A90858">
        <w:trPr>
          <w:trHeight w:val="284"/>
        </w:trPr>
        <w:tc>
          <w:tcPr>
            <w:tcW w:w="2647" w:type="dxa"/>
            <w:tcBorders>
              <w:top w:val="nil"/>
              <w:left w:val="single" w:sz="4" w:space="0" w:color="auto"/>
              <w:bottom w:val="single" w:sz="4" w:space="0" w:color="auto"/>
              <w:right w:val="single" w:sz="4" w:space="0" w:color="auto"/>
            </w:tcBorders>
            <w:shd w:val="clear" w:color="auto" w:fill="auto"/>
            <w:vAlign w:val="center"/>
            <w:hideMark/>
          </w:tcPr>
          <w:p w14:paraId="112AE4AD" w14:textId="77777777" w:rsidR="00B15BC0" w:rsidRPr="005D104F" w:rsidRDefault="00B15BC0" w:rsidP="00A90858">
            <w:pPr>
              <w:spacing w:after="60"/>
              <w:rPr>
                <w:rFonts w:cs="Arial"/>
                <w:bCs/>
                <w:szCs w:val="20"/>
                <w:lang w:eastAsia="en-AU"/>
              </w:rPr>
            </w:pPr>
            <w:r w:rsidRPr="005D104F">
              <w:rPr>
                <w:rFonts w:cs="Arial"/>
                <w:bCs/>
                <w:szCs w:val="20"/>
                <w:lang w:eastAsia="en-AU"/>
              </w:rPr>
              <w:t>Child Safety and Welfare</w:t>
            </w:r>
          </w:p>
        </w:tc>
        <w:tc>
          <w:tcPr>
            <w:tcW w:w="930" w:type="dxa"/>
            <w:tcBorders>
              <w:top w:val="nil"/>
              <w:left w:val="nil"/>
              <w:bottom w:val="single" w:sz="4" w:space="0" w:color="auto"/>
              <w:right w:val="single" w:sz="4" w:space="0" w:color="auto"/>
            </w:tcBorders>
            <w:shd w:val="clear" w:color="auto" w:fill="auto"/>
          </w:tcPr>
          <w:p w14:paraId="35936EC8" w14:textId="77777777" w:rsidR="00B15BC0" w:rsidRPr="008E5925" w:rsidRDefault="00B15BC0" w:rsidP="00A90858">
            <w:pPr>
              <w:spacing w:after="60"/>
              <w:jc w:val="right"/>
              <w:rPr>
                <w:rFonts w:cs="Arial"/>
                <w:bCs/>
                <w:szCs w:val="20"/>
                <w:lang w:eastAsia="en-AU"/>
              </w:rPr>
            </w:pPr>
            <w:r w:rsidRPr="008E5925">
              <w:rPr>
                <w:rFonts w:cs="Arial"/>
                <w:szCs w:val="20"/>
              </w:rPr>
              <w:t>93</w:t>
            </w:r>
          </w:p>
        </w:tc>
        <w:tc>
          <w:tcPr>
            <w:tcW w:w="929" w:type="dxa"/>
            <w:tcBorders>
              <w:top w:val="nil"/>
              <w:left w:val="nil"/>
              <w:bottom w:val="single" w:sz="4" w:space="0" w:color="auto"/>
              <w:right w:val="single" w:sz="4" w:space="0" w:color="auto"/>
            </w:tcBorders>
            <w:shd w:val="clear" w:color="auto" w:fill="auto"/>
          </w:tcPr>
          <w:p w14:paraId="740DAF64" w14:textId="77777777" w:rsidR="00B15BC0" w:rsidRPr="008E5925" w:rsidRDefault="00B15BC0" w:rsidP="00A90858">
            <w:pPr>
              <w:spacing w:after="60"/>
              <w:jc w:val="right"/>
              <w:rPr>
                <w:rFonts w:cs="Arial"/>
                <w:bCs/>
                <w:szCs w:val="20"/>
                <w:lang w:eastAsia="en-AU"/>
              </w:rPr>
            </w:pPr>
            <w:r w:rsidRPr="008E5925">
              <w:rPr>
                <w:rFonts w:cs="Arial"/>
                <w:szCs w:val="20"/>
              </w:rPr>
              <w:t>12</w:t>
            </w:r>
          </w:p>
        </w:tc>
        <w:tc>
          <w:tcPr>
            <w:tcW w:w="929" w:type="dxa"/>
            <w:tcBorders>
              <w:top w:val="nil"/>
              <w:left w:val="nil"/>
              <w:bottom w:val="single" w:sz="4" w:space="0" w:color="auto"/>
              <w:right w:val="single" w:sz="4" w:space="0" w:color="auto"/>
            </w:tcBorders>
            <w:shd w:val="clear" w:color="auto" w:fill="auto"/>
          </w:tcPr>
          <w:p w14:paraId="4C0E8D22" w14:textId="77777777" w:rsidR="00B15BC0" w:rsidRPr="008E5925" w:rsidRDefault="00B15BC0" w:rsidP="00A90858">
            <w:pPr>
              <w:spacing w:after="60"/>
              <w:jc w:val="right"/>
              <w:rPr>
                <w:rFonts w:cs="Arial"/>
                <w:bCs/>
                <w:szCs w:val="20"/>
                <w:lang w:eastAsia="en-AU"/>
              </w:rPr>
            </w:pPr>
            <w:r w:rsidRPr="008E5925">
              <w:rPr>
                <w:rFonts w:cs="Arial"/>
                <w:szCs w:val="20"/>
              </w:rPr>
              <w:t>8</w:t>
            </w:r>
          </w:p>
        </w:tc>
        <w:tc>
          <w:tcPr>
            <w:tcW w:w="929" w:type="dxa"/>
            <w:tcBorders>
              <w:top w:val="nil"/>
              <w:left w:val="nil"/>
              <w:bottom w:val="single" w:sz="4" w:space="0" w:color="auto"/>
              <w:right w:val="single" w:sz="4" w:space="0" w:color="auto"/>
            </w:tcBorders>
            <w:shd w:val="clear" w:color="auto" w:fill="auto"/>
          </w:tcPr>
          <w:p w14:paraId="65492A4A" w14:textId="77777777" w:rsidR="00B15BC0" w:rsidRPr="008E5925" w:rsidRDefault="00B15BC0" w:rsidP="00A90858">
            <w:pPr>
              <w:spacing w:after="60"/>
              <w:jc w:val="right"/>
              <w:rPr>
                <w:rFonts w:cs="Arial"/>
                <w:bCs/>
                <w:szCs w:val="20"/>
                <w:lang w:eastAsia="en-AU"/>
              </w:rPr>
            </w:pPr>
            <w:r w:rsidRPr="008E5925">
              <w:rPr>
                <w:rFonts w:cs="Arial"/>
                <w:szCs w:val="20"/>
              </w:rPr>
              <w:t>58</w:t>
            </w:r>
          </w:p>
        </w:tc>
        <w:tc>
          <w:tcPr>
            <w:tcW w:w="929" w:type="dxa"/>
            <w:tcBorders>
              <w:top w:val="nil"/>
              <w:left w:val="nil"/>
              <w:bottom w:val="single" w:sz="4" w:space="0" w:color="auto"/>
              <w:right w:val="single" w:sz="4" w:space="0" w:color="auto"/>
            </w:tcBorders>
            <w:shd w:val="clear" w:color="auto" w:fill="auto"/>
          </w:tcPr>
          <w:p w14:paraId="42E84A06" w14:textId="77777777" w:rsidR="00B15BC0" w:rsidRPr="008E5925" w:rsidRDefault="00B15BC0" w:rsidP="00A90858">
            <w:pPr>
              <w:spacing w:after="60"/>
              <w:jc w:val="right"/>
              <w:rPr>
                <w:rFonts w:cs="Arial"/>
                <w:bCs/>
                <w:szCs w:val="20"/>
                <w:lang w:eastAsia="en-AU"/>
              </w:rPr>
            </w:pPr>
            <w:r w:rsidRPr="008E5925">
              <w:rPr>
                <w:rFonts w:cs="Arial"/>
                <w:szCs w:val="20"/>
              </w:rPr>
              <w:t>6</w:t>
            </w:r>
          </w:p>
        </w:tc>
        <w:tc>
          <w:tcPr>
            <w:tcW w:w="929" w:type="dxa"/>
            <w:tcBorders>
              <w:top w:val="nil"/>
              <w:left w:val="nil"/>
              <w:bottom w:val="single" w:sz="4" w:space="0" w:color="auto"/>
              <w:right w:val="single" w:sz="4" w:space="0" w:color="auto"/>
            </w:tcBorders>
            <w:shd w:val="clear" w:color="auto" w:fill="auto"/>
          </w:tcPr>
          <w:p w14:paraId="646CACA8" w14:textId="77777777" w:rsidR="00B15BC0" w:rsidRPr="008E5925" w:rsidRDefault="00B15BC0" w:rsidP="00A90858">
            <w:pPr>
              <w:spacing w:after="60"/>
              <w:jc w:val="right"/>
              <w:rPr>
                <w:rFonts w:cs="Arial"/>
                <w:b/>
                <w:bCs/>
                <w:szCs w:val="20"/>
                <w:lang w:eastAsia="en-AU"/>
              </w:rPr>
            </w:pPr>
            <w:r w:rsidRPr="008E5925">
              <w:rPr>
                <w:rFonts w:cs="Arial"/>
                <w:b/>
                <w:bCs/>
                <w:szCs w:val="20"/>
              </w:rPr>
              <w:t>177</w:t>
            </w:r>
          </w:p>
        </w:tc>
      </w:tr>
      <w:tr w:rsidR="00B15BC0" w:rsidRPr="005D104F" w14:paraId="323ED4A0" w14:textId="77777777" w:rsidTr="00A90858">
        <w:trPr>
          <w:trHeight w:val="284"/>
        </w:trPr>
        <w:tc>
          <w:tcPr>
            <w:tcW w:w="2647" w:type="dxa"/>
            <w:tcBorders>
              <w:top w:val="nil"/>
              <w:left w:val="single" w:sz="4" w:space="0" w:color="auto"/>
              <w:bottom w:val="single" w:sz="4" w:space="0" w:color="auto"/>
              <w:right w:val="single" w:sz="4" w:space="0" w:color="auto"/>
            </w:tcBorders>
            <w:shd w:val="clear" w:color="auto" w:fill="auto"/>
            <w:vAlign w:val="center"/>
            <w:hideMark/>
          </w:tcPr>
          <w:p w14:paraId="08873047" w14:textId="77777777" w:rsidR="00B15BC0" w:rsidRPr="005D104F" w:rsidRDefault="00B15BC0" w:rsidP="00A90858">
            <w:pPr>
              <w:spacing w:after="60"/>
              <w:rPr>
                <w:rFonts w:cs="Arial"/>
                <w:bCs/>
                <w:szCs w:val="20"/>
                <w:lang w:eastAsia="en-AU"/>
              </w:rPr>
            </w:pPr>
            <w:r w:rsidRPr="005D104F">
              <w:rPr>
                <w:rFonts w:cs="Arial"/>
                <w:bCs/>
                <w:szCs w:val="20"/>
                <w:lang w:eastAsia="en-AU"/>
              </w:rPr>
              <w:t>Housing Tenancy</w:t>
            </w:r>
          </w:p>
        </w:tc>
        <w:tc>
          <w:tcPr>
            <w:tcW w:w="930" w:type="dxa"/>
            <w:tcBorders>
              <w:top w:val="nil"/>
              <w:left w:val="nil"/>
              <w:bottom w:val="single" w:sz="4" w:space="0" w:color="auto"/>
              <w:right w:val="single" w:sz="4" w:space="0" w:color="auto"/>
            </w:tcBorders>
            <w:shd w:val="clear" w:color="auto" w:fill="auto"/>
          </w:tcPr>
          <w:p w14:paraId="4553CA7E" w14:textId="77777777" w:rsidR="00B15BC0" w:rsidRPr="008E5925" w:rsidRDefault="00B15BC0" w:rsidP="00A90858">
            <w:pPr>
              <w:spacing w:after="60"/>
              <w:jc w:val="right"/>
              <w:rPr>
                <w:rFonts w:cs="Arial"/>
                <w:bCs/>
                <w:szCs w:val="20"/>
                <w:lang w:eastAsia="en-AU"/>
              </w:rPr>
            </w:pPr>
            <w:r w:rsidRPr="008E5925">
              <w:rPr>
                <w:rFonts w:cs="Arial"/>
                <w:szCs w:val="20"/>
              </w:rPr>
              <w:t>0</w:t>
            </w:r>
          </w:p>
        </w:tc>
        <w:tc>
          <w:tcPr>
            <w:tcW w:w="929" w:type="dxa"/>
            <w:tcBorders>
              <w:top w:val="nil"/>
              <w:left w:val="nil"/>
              <w:bottom w:val="single" w:sz="4" w:space="0" w:color="auto"/>
              <w:right w:val="single" w:sz="4" w:space="0" w:color="auto"/>
            </w:tcBorders>
            <w:shd w:val="clear" w:color="auto" w:fill="auto"/>
          </w:tcPr>
          <w:p w14:paraId="3A8C0E2E" w14:textId="77777777" w:rsidR="00B15BC0" w:rsidRPr="008E5925" w:rsidRDefault="00B15BC0" w:rsidP="00A90858">
            <w:pPr>
              <w:spacing w:after="60"/>
              <w:jc w:val="right"/>
              <w:rPr>
                <w:rFonts w:cs="Arial"/>
                <w:bCs/>
                <w:szCs w:val="20"/>
                <w:lang w:eastAsia="en-AU"/>
              </w:rPr>
            </w:pPr>
            <w:r w:rsidRPr="008E5925">
              <w:rPr>
                <w:rFonts w:cs="Arial"/>
                <w:szCs w:val="20"/>
              </w:rPr>
              <w:t>0</w:t>
            </w:r>
          </w:p>
        </w:tc>
        <w:tc>
          <w:tcPr>
            <w:tcW w:w="929" w:type="dxa"/>
            <w:tcBorders>
              <w:top w:val="nil"/>
              <w:left w:val="nil"/>
              <w:bottom w:val="single" w:sz="4" w:space="0" w:color="auto"/>
              <w:right w:val="single" w:sz="4" w:space="0" w:color="auto"/>
            </w:tcBorders>
            <w:shd w:val="clear" w:color="auto" w:fill="auto"/>
          </w:tcPr>
          <w:p w14:paraId="2A08BC5A" w14:textId="77777777" w:rsidR="00B15BC0" w:rsidRPr="008E5925" w:rsidRDefault="00B15BC0" w:rsidP="00A90858">
            <w:pPr>
              <w:spacing w:after="60"/>
              <w:jc w:val="right"/>
              <w:rPr>
                <w:rFonts w:cs="Arial"/>
                <w:bCs/>
                <w:szCs w:val="20"/>
                <w:lang w:eastAsia="en-AU"/>
              </w:rPr>
            </w:pPr>
            <w:r w:rsidRPr="008E5925">
              <w:rPr>
                <w:rFonts w:cs="Arial"/>
                <w:szCs w:val="20"/>
              </w:rPr>
              <w:t xml:space="preserve">- </w:t>
            </w:r>
          </w:p>
        </w:tc>
        <w:tc>
          <w:tcPr>
            <w:tcW w:w="929" w:type="dxa"/>
            <w:tcBorders>
              <w:top w:val="nil"/>
              <w:left w:val="nil"/>
              <w:bottom w:val="single" w:sz="4" w:space="0" w:color="auto"/>
              <w:right w:val="single" w:sz="4" w:space="0" w:color="auto"/>
            </w:tcBorders>
            <w:shd w:val="clear" w:color="auto" w:fill="auto"/>
          </w:tcPr>
          <w:p w14:paraId="2C2E80AB" w14:textId="77777777" w:rsidR="00B15BC0" w:rsidRPr="008E5925" w:rsidRDefault="00B15BC0" w:rsidP="00A90858">
            <w:pPr>
              <w:spacing w:after="60"/>
              <w:jc w:val="right"/>
              <w:rPr>
                <w:rFonts w:cs="Arial"/>
                <w:bCs/>
                <w:szCs w:val="20"/>
                <w:lang w:eastAsia="en-AU"/>
              </w:rPr>
            </w:pPr>
            <w:r w:rsidRPr="008E5925">
              <w:rPr>
                <w:rFonts w:cs="Arial"/>
                <w:szCs w:val="20"/>
              </w:rPr>
              <w:t>4</w:t>
            </w:r>
          </w:p>
        </w:tc>
        <w:tc>
          <w:tcPr>
            <w:tcW w:w="929" w:type="dxa"/>
            <w:tcBorders>
              <w:top w:val="nil"/>
              <w:left w:val="nil"/>
              <w:bottom w:val="single" w:sz="4" w:space="0" w:color="auto"/>
              <w:right w:val="single" w:sz="4" w:space="0" w:color="auto"/>
            </w:tcBorders>
            <w:shd w:val="clear" w:color="auto" w:fill="auto"/>
          </w:tcPr>
          <w:p w14:paraId="0F0AEDE6" w14:textId="77777777" w:rsidR="00B15BC0" w:rsidRPr="008E5925" w:rsidRDefault="00B15BC0" w:rsidP="00A90858">
            <w:pPr>
              <w:spacing w:after="60"/>
              <w:jc w:val="right"/>
              <w:rPr>
                <w:rFonts w:cs="Arial"/>
                <w:bCs/>
                <w:szCs w:val="20"/>
                <w:lang w:eastAsia="en-AU"/>
              </w:rPr>
            </w:pPr>
            <w:r w:rsidRPr="008E5925">
              <w:rPr>
                <w:rFonts w:cs="Arial"/>
                <w:szCs w:val="20"/>
              </w:rPr>
              <w:t>9</w:t>
            </w:r>
          </w:p>
        </w:tc>
        <w:tc>
          <w:tcPr>
            <w:tcW w:w="929" w:type="dxa"/>
            <w:tcBorders>
              <w:top w:val="nil"/>
              <w:left w:val="nil"/>
              <w:bottom w:val="single" w:sz="4" w:space="0" w:color="auto"/>
              <w:right w:val="single" w:sz="4" w:space="0" w:color="auto"/>
            </w:tcBorders>
            <w:shd w:val="clear" w:color="auto" w:fill="auto"/>
          </w:tcPr>
          <w:p w14:paraId="315558DD" w14:textId="77777777" w:rsidR="00B15BC0" w:rsidRPr="008E5925" w:rsidRDefault="00B15BC0" w:rsidP="00A90858">
            <w:pPr>
              <w:spacing w:after="60"/>
              <w:jc w:val="right"/>
              <w:rPr>
                <w:rFonts w:cs="Arial"/>
                <w:b/>
                <w:bCs/>
                <w:szCs w:val="20"/>
                <w:lang w:eastAsia="en-AU"/>
              </w:rPr>
            </w:pPr>
            <w:r w:rsidRPr="008E5925">
              <w:rPr>
                <w:rFonts w:cs="Arial"/>
                <w:b/>
                <w:bCs/>
                <w:szCs w:val="20"/>
              </w:rPr>
              <w:t>13</w:t>
            </w:r>
          </w:p>
        </w:tc>
      </w:tr>
      <w:tr w:rsidR="00B15BC0" w:rsidRPr="005D104F" w14:paraId="16CE3045" w14:textId="77777777" w:rsidTr="00A90858">
        <w:trPr>
          <w:trHeight w:val="284"/>
        </w:trPr>
        <w:tc>
          <w:tcPr>
            <w:tcW w:w="2647" w:type="dxa"/>
            <w:tcBorders>
              <w:top w:val="nil"/>
              <w:left w:val="single" w:sz="4" w:space="0" w:color="auto"/>
              <w:bottom w:val="single" w:sz="4" w:space="0" w:color="auto"/>
              <w:right w:val="single" w:sz="4" w:space="0" w:color="auto"/>
            </w:tcBorders>
            <w:shd w:val="clear" w:color="auto" w:fill="auto"/>
            <w:vAlign w:val="center"/>
            <w:hideMark/>
          </w:tcPr>
          <w:p w14:paraId="2F6FDCC3" w14:textId="77777777" w:rsidR="00B15BC0" w:rsidRPr="005D104F" w:rsidRDefault="00B15BC0" w:rsidP="00A90858">
            <w:pPr>
              <w:spacing w:after="60"/>
              <w:rPr>
                <w:rFonts w:cs="Arial"/>
                <w:b/>
                <w:bCs/>
                <w:szCs w:val="20"/>
                <w:lang w:eastAsia="en-AU"/>
              </w:rPr>
            </w:pPr>
            <w:r w:rsidRPr="005D104F">
              <w:rPr>
                <w:rFonts w:cs="Arial"/>
                <w:b/>
                <w:bCs/>
                <w:szCs w:val="20"/>
                <w:lang w:eastAsia="en-AU"/>
              </w:rPr>
              <w:t>Total</w:t>
            </w:r>
          </w:p>
        </w:tc>
        <w:tc>
          <w:tcPr>
            <w:tcW w:w="930" w:type="dxa"/>
            <w:tcBorders>
              <w:top w:val="nil"/>
              <w:left w:val="nil"/>
              <w:bottom w:val="single" w:sz="4" w:space="0" w:color="auto"/>
              <w:right w:val="single" w:sz="4" w:space="0" w:color="auto"/>
            </w:tcBorders>
            <w:shd w:val="clear" w:color="auto" w:fill="auto"/>
          </w:tcPr>
          <w:p w14:paraId="7174E81F" w14:textId="77777777" w:rsidR="00B15BC0" w:rsidRPr="008E5925" w:rsidRDefault="00B15BC0" w:rsidP="00A90858">
            <w:pPr>
              <w:spacing w:after="60"/>
              <w:jc w:val="right"/>
              <w:rPr>
                <w:rFonts w:cs="Arial"/>
                <w:b/>
                <w:bCs/>
                <w:szCs w:val="20"/>
                <w:lang w:eastAsia="en-AU"/>
              </w:rPr>
            </w:pPr>
            <w:r w:rsidRPr="008E5925">
              <w:rPr>
                <w:rFonts w:cs="Arial"/>
                <w:b/>
                <w:bCs/>
                <w:szCs w:val="20"/>
              </w:rPr>
              <w:t>2,540</w:t>
            </w:r>
          </w:p>
        </w:tc>
        <w:tc>
          <w:tcPr>
            <w:tcW w:w="929" w:type="dxa"/>
            <w:tcBorders>
              <w:top w:val="nil"/>
              <w:left w:val="nil"/>
              <w:bottom w:val="single" w:sz="4" w:space="0" w:color="auto"/>
              <w:right w:val="single" w:sz="4" w:space="0" w:color="auto"/>
            </w:tcBorders>
            <w:shd w:val="clear" w:color="auto" w:fill="auto"/>
          </w:tcPr>
          <w:p w14:paraId="2CF9F1D0" w14:textId="77777777" w:rsidR="00B15BC0" w:rsidRPr="008E5925" w:rsidRDefault="00B15BC0" w:rsidP="00A90858">
            <w:pPr>
              <w:spacing w:after="60"/>
              <w:jc w:val="right"/>
              <w:rPr>
                <w:rFonts w:cs="Arial"/>
                <w:b/>
                <w:bCs/>
                <w:szCs w:val="20"/>
                <w:lang w:eastAsia="en-AU"/>
              </w:rPr>
            </w:pPr>
            <w:r w:rsidRPr="008E5925">
              <w:rPr>
                <w:rFonts w:cs="Arial"/>
                <w:b/>
                <w:bCs/>
                <w:szCs w:val="20"/>
              </w:rPr>
              <w:t>217</w:t>
            </w:r>
          </w:p>
        </w:tc>
        <w:tc>
          <w:tcPr>
            <w:tcW w:w="929" w:type="dxa"/>
            <w:tcBorders>
              <w:top w:val="nil"/>
              <w:left w:val="nil"/>
              <w:bottom w:val="single" w:sz="4" w:space="0" w:color="auto"/>
              <w:right w:val="single" w:sz="4" w:space="0" w:color="auto"/>
            </w:tcBorders>
            <w:shd w:val="clear" w:color="auto" w:fill="auto"/>
          </w:tcPr>
          <w:p w14:paraId="0BBE787B" w14:textId="37E06A6C" w:rsidR="00B15BC0" w:rsidRPr="008E5925" w:rsidRDefault="00B15BC0" w:rsidP="00A90858">
            <w:pPr>
              <w:spacing w:after="60"/>
              <w:jc w:val="right"/>
              <w:rPr>
                <w:rFonts w:cs="Arial"/>
                <w:b/>
                <w:bCs/>
                <w:szCs w:val="20"/>
                <w:lang w:eastAsia="en-AU"/>
              </w:rPr>
            </w:pPr>
            <w:r w:rsidRPr="008E5925">
              <w:rPr>
                <w:rFonts w:cs="Arial"/>
                <w:b/>
                <w:bCs/>
                <w:szCs w:val="20"/>
              </w:rPr>
              <w:t>1,58</w:t>
            </w:r>
            <w:r w:rsidR="006218B0">
              <w:rPr>
                <w:rFonts w:cs="Arial"/>
                <w:b/>
                <w:bCs/>
                <w:szCs w:val="20"/>
              </w:rPr>
              <w:t>5</w:t>
            </w:r>
          </w:p>
        </w:tc>
        <w:tc>
          <w:tcPr>
            <w:tcW w:w="929" w:type="dxa"/>
            <w:tcBorders>
              <w:top w:val="nil"/>
              <w:left w:val="nil"/>
              <w:bottom w:val="single" w:sz="4" w:space="0" w:color="auto"/>
              <w:right w:val="single" w:sz="4" w:space="0" w:color="auto"/>
            </w:tcBorders>
            <w:shd w:val="clear" w:color="auto" w:fill="auto"/>
          </w:tcPr>
          <w:p w14:paraId="2520B7D7" w14:textId="77777777" w:rsidR="00B15BC0" w:rsidRPr="008E5925" w:rsidRDefault="00B15BC0" w:rsidP="00A90858">
            <w:pPr>
              <w:spacing w:after="60"/>
              <w:jc w:val="right"/>
              <w:rPr>
                <w:rFonts w:cs="Arial"/>
                <w:b/>
                <w:bCs/>
                <w:szCs w:val="20"/>
                <w:lang w:eastAsia="en-AU"/>
              </w:rPr>
            </w:pPr>
            <w:r w:rsidRPr="008E5925">
              <w:rPr>
                <w:rFonts w:cs="Arial"/>
                <w:b/>
                <w:bCs/>
                <w:szCs w:val="20"/>
              </w:rPr>
              <w:t>1,120</w:t>
            </w:r>
          </w:p>
        </w:tc>
        <w:tc>
          <w:tcPr>
            <w:tcW w:w="929" w:type="dxa"/>
            <w:tcBorders>
              <w:top w:val="nil"/>
              <w:left w:val="nil"/>
              <w:bottom w:val="single" w:sz="4" w:space="0" w:color="auto"/>
              <w:right w:val="single" w:sz="4" w:space="0" w:color="auto"/>
            </w:tcBorders>
            <w:shd w:val="clear" w:color="auto" w:fill="auto"/>
          </w:tcPr>
          <w:p w14:paraId="73396C93" w14:textId="77777777" w:rsidR="00B15BC0" w:rsidRPr="008E5925" w:rsidRDefault="00B15BC0" w:rsidP="00A90858">
            <w:pPr>
              <w:spacing w:after="60"/>
              <w:jc w:val="right"/>
              <w:rPr>
                <w:rFonts w:cs="Arial"/>
                <w:b/>
                <w:bCs/>
                <w:szCs w:val="20"/>
                <w:lang w:eastAsia="en-AU"/>
              </w:rPr>
            </w:pPr>
            <w:r w:rsidRPr="008E5925">
              <w:rPr>
                <w:rFonts w:cs="Arial"/>
                <w:b/>
                <w:bCs/>
                <w:szCs w:val="20"/>
              </w:rPr>
              <w:t>208</w:t>
            </w:r>
          </w:p>
        </w:tc>
        <w:tc>
          <w:tcPr>
            <w:tcW w:w="929" w:type="dxa"/>
            <w:tcBorders>
              <w:top w:val="nil"/>
              <w:left w:val="nil"/>
              <w:bottom w:val="single" w:sz="4" w:space="0" w:color="auto"/>
              <w:right w:val="single" w:sz="4" w:space="0" w:color="auto"/>
            </w:tcBorders>
            <w:shd w:val="clear" w:color="auto" w:fill="auto"/>
          </w:tcPr>
          <w:p w14:paraId="7D072974" w14:textId="635F3800" w:rsidR="00B15BC0" w:rsidRPr="008E5925" w:rsidRDefault="00B15BC0" w:rsidP="00A90858">
            <w:pPr>
              <w:spacing w:after="60"/>
              <w:jc w:val="right"/>
              <w:rPr>
                <w:rFonts w:cs="Arial"/>
                <w:b/>
                <w:bCs/>
                <w:szCs w:val="20"/>
                <w:lang w:eastAsia="en-AU"/>
              </w:rPr>
            </w:pPr>
            <w:r w:rsidRPr="008E5925">
              <w:rPr>
                <w:rFonts w:cs="Arial"/>
                <w:b/>
                <w:bCs/>
                <w:szCs w:val="20"/>
              </w:rPr>
              <w:t>5,67</w:t>
            </w:r>
            <w:r w:rsidR="006218B0">
              <w:rPr>
                <w:rFonts w:cs="Arial"/>
                <w:b/>
                <w:bCs/>
                <w:szCs w:val="20"/>
              </w:rPr>
              <w:t>0</w:t>
            </w:r>
          </w:p>
        </w:tc>
      </w:tr>
    </w:tbl>
    <w:bookmarkEnd w:id="7"/>
    <w:bookmarkEnd w:id="8"/>
    <w:p w14:paraId="333EB52A" w14:textId="36A726FE" w:rsidR="00BC59A9" w:rsidRPr="006E3328" w:rsidRDefault="00BC59A9" w:rsidP="00AF1774">
      <w:pPr>
        <w:tabs>
          <w:tab w:val="left" w:pos="340"/>
          <w:tab w:val="right" w:pos="7160"/>
          <w:tab w:val="right" w:pos="8620"/>
          <w:tab w:val="right" w:pos="9840"/>
          <w:tab w:val="right" w:pos="10240"/>
        </w:tabs>
        <w:suppressAutoHyphens/>
        <w:autoSpaceDE w:val="0"/>
        <w:autoSpaceDN w:val="0"/>
        <w:adjustRightInd w:val="0"/>
        <w:spacing w:before="120" w:line="260" w:lineRule="atLeast"/>
        <w:ind w:right="567"/>
        <w:textAlignment w:val="center"/>
        <w:rPr>
          <w:rFonts w:cs="Arial"/>
          <w:spacing w:val="-2"/>
          <w:sz w:val="16"/>
          <w:szCs w:val="16"/>
          <w:lang w:val="en-US"/>
        </w:rPr>
      </w:pPr>
      <w:r w:rsidRPr="006E3328">
        <w:rPr>
          <w:rFonts w:cs="Arial"/>
          <w:spacing w:val="-2"/>
          <w:sz w:val="16"/>
          <w:szCs w:val="16"/>
          <w:lang w:val="en-US"/>
        </w:rPr>
        <w:t>6. Agency notices for the community of Doomadgee are presently received from the Department of Education and the Department of Child Safety, Youth and Women only.</w:t>
      </w:r>
    </w:p>
    <w:p w14:paraId="7F1E748B" w14:textId="729E0550" w:rsidR="00B15BC0" w:rsidRPr="005D104F" w:rsidRDefault="00B15BC0" w:rsidP="0086460B">
      <w:pPr>
        <w:spacing w:before="240"/>
        <w:jc w:val="both"/>
      </w:pPr>
      <w:r w:rsidRPr="005D104F">
        <w:t xml:space="preserve">Aurukun </w:t>
      </w:r>
      <w:r w:rsidRPr="0033023A">
        <w:t>accounted for 44.</w:t>
      </w:r>
      <w:r>
        <w:t>8</w:t>
      </w:r>
      <w:r w:rsidR="00AF3745">
        <w:t>0</w:t>
      </w:r>
      <w:r w:rsidRPr="0033023A">
        <w:t xml:space="preserve"> percent of the total notices that were in jurisdiction, Doomadgee accounted for 2</w:t>
      </w:r>
      <w:r w:rsidR="008E65CA">
        <w:t>7.95</w:t>
      </w:r>
      <w:r w:rsidRPr="0033023A">
        <w:t xml:space="preserve"> percent, Hope Vale accounted for 19.7</w:t>
      </w:r>
      <w:r w:rsidR="008E65CA">
        <w:t>5</w:t>
      </w:r>
      <w:r w:rsidRPr="0033023A">
        <w:t xml:space="preserve"> percent, Coen accounted for 3.8</w:t>
      </w:r>
      <w:r w:rsidR="008E65CA">
        <w:t>3</w:t>
      </w:r>
      <w:r w:rsidRPr="0033023A">
        <w:t xml:space="preserve"> percent and Mossman Gorge accounted for 3.</w:t>
      </w:r>
      <w:r w:rsidR="008E65CA">
        <w:t>6</w:t>
      </w:r>
      <w:r w:rsidRPr="0033023A">
        <w:t>7 percent.</w:t>
      </w:r>
    </w:p>
    <w:p w14:paraId="4E6A0283" w14:textId="77777777" w:rsidR="00B15BC0" w:rsidRDefault="00B15BC0" w:rsidP="00B15BC0">
      <w:pPr>
        <w:spacing w:after="200" w:line="276" w:lineRule="auto"/>
        <w:rPr>
          <w:rFonts w:ascii="Helvetica" w:hAnsi="Helvetica" w:cs="Helvetica"/>
          <w:b/>
          <w:bCs/>
          <w:sz w:val="17"/>
          <w:szCs w:val="17"/>
          <w:lang w:val="en-US"/>
        </w:rPr>
      </w:pPr>
      <w:r>
        <w:rPr>
          <w:rFonts w:ascii="Helvetica" w:hAnsi="Helvetica" w:cs="Helvetica"/>
          <w:b/>
          <w:bCs/>
          <w:sz w:val="17"/>
          <w:szCs w:val="17"/>
          <w:lang w:val="en-US"/>
        </w:rPr>
        <w:br w:type="page"/>
      </w:r>
    </w:p>
    <w:p w14:paraId="53EF4BE8" w14:textId="77777777" w:rsidR="00B15BC0" w:rsidRPr="005D104F" w:rsidRDefault="00B15BC0" w:rsidP="00B15BC0">
      <w:r w:rsidRPr="005D104F">
        <w:rPr>
          <w:rFonts w:ascii="Helvetica" w:hAnsi="Helvetica" w:cs="Helvetica"/>
          <w:b/>
          <w:bCs/>
          <w:sz w:val="17"/>
          <w:szCs w:val="17"/>
          <w:lang w:val="en-US"/>
        </w:rPr>
        <w:lastRenderedPageBreak/>
        <w:t>Table 4: In jurisdiction notices by type and quarter 1 July 201</w:t>
      </w:r>
      <w:r>
        <w:rPr>
          <w:rFonts w:ascii="Helvetica" w:hAnsi="Helvetica" w:cs="Helvetica"/>
          <w:b/>
          <w:bCs/>
          <w:sz w:val="17"/>
          <w:szCs w:val="17"/>
          <w:lang w:val="en-US"/>
        </w:rPr>
        <w:t>8</w:t>
      </w:r>
      <w:r w:rsidRPr="005D104F">
        <w:rPr>
          <w:rFonts w:ascii="Helvetica" w:hAnsi="Helvetica" w:cs="Helvetica"/>
          <w:b/>
          <w:bCs/>
          <w:sz w:val="17"/>
          <w:szCs w:val="17"/>
          <w:lang w:val="en-US"/>
        </w:rPr>
        <w:t xml:space="preserve"> to 30 June 201</w:t>
      </w:r>
      <w:r>
        <w:rPr>
          <w:rFonts w:ascii="Helvetica" w:hAnsi="Helvetica" w:cs="Helvetica"/>
          <w:b/>
          <w:bCs/>
          <w:sz w:val="17"/>
          <w:szCs w:val="17"/>
          <w:lang w:val="en-US"/>
        </w:rPr>
        <w:t>9</w:t>
      </w:r>
      <w:r w:rsidRPr="005D104F">
        <w:rPr>
          <w:rFonts w:ascii="Helvetica" w:hAnsi="Helvetica" w:cs="Helvetica"/>
          <w:b/>
          <w:bCs/>
          <w:sz w:val="17"/>
          <w:szCs w:val="17"/>
          <w:lang w:val="en-US"/>
        </w:rPr>
        <w:t>.</w:t>
      </w:r>
    </w:p>
    <w:tbl>
      <w:tblPr>
        <w:tblW w:w="7654" w:type="dxa"/>
        <w:tblInd w:w="108" w:type="dxa"/>
        <w:tblLook w:val="04A0" w:firstRow="1" w:lastRow="0" w:firstColumn="1" w:lastColumn="0" w:noHBand="0" w:noVBand="1"/>
      </w:tblPr>
      <w:tblGrid>
        <w:gridCol w:w="2694"/>
        <w:gridCol w:w="992"/>
        <w:gridCol w:w="992"/>
        <w:gridCol w:w="992"/>
        <w:gridCol w:w="992"/>
        <w:gridCol w:w="992"/>
      </w:tblGrid>
      <w:tr w:rsidR="00B15BC0" w:rsidRPr="005D104F" w14:paraId="596B265C" w14:textId="77777777" w:rsidTr="00A90858">
        <w:trPr>
          <w:trHeight w:val="480"/>
        </w:trPr>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1E3FE7D6" w14:textId="77777777" w:rsidR="00B15BC0" w:rsidRPr="005D104F" w:rsidRDefault="00B15BC0" w:rsidP="00A90858">
            <w:pPr>
              <w:spacing w:after="60"/>
              <w:rPr>
                <w:rFonts w:cs="Arial"/>
                <w:b/>
                <w:bCs/>
                <w:szCs w:val="20"/>
                <w:lang w:eastAsia="en-AU"/>
              </w:rPr>
            </w:pPr>
            <w:r w:rsidRPr="005D104F">
              <w:rPr>
                <w:rFonts w:cs="Arial"/>
                <w:b/>
                <w:bCs/>
                <w:szCs w:val="20"/>
                <w:lang w:eastAsia="en-AU"/>
              </w:rPr>
              <w:t>Type of Notice</w:t>
            </w:r>
          </w:p>
        </w:tc>
        <w:tc>
          <w:tcPr>
            <w:tcW w:w="992" w:type="dxa"/>
            <w:tcBorders>
              <w:top w:val="single" w:sz="4" w:space="0" w:color="auto"/>
              <w:left w:val="nil"/>
              <w:bottom w:val="single" w:sz="4" w:space="0" w:color="auto"/>
              <w:right w:val="single" w:sz="4" w:space="0" w:color="auto"/>
            </w:tcBorders>
            <w:shd w:val="clear" w:color="auto" w:fill="auto"/>
            <w:hideMark/>
          </w:tcPr>
          <w:p w14:paraId="14ADCD71" w14:textId="77777777" w:rsidR="00B15BC0" w:rsidRPr="005D104F" w:rsidRDefault="00B15BC0" w:rsidP="00A90858">
            <w:pPr>
              <w:spacing w:after="60"/>
              <w:jc w:val="right"/>
              <w:rPr>
                <w:rFonts w:cs="Arial"/>
                <w:b/>
                <w:bCs/>
                <w:szCs w:val="20"/>
                <w:lang w:eastAsia="en-AU"/>
              </w:rPr>
            </w:pPr>
            <w:proofErr w:type="spellStart"/>
            <w:r w:rsidRPr="005D104F">
              <w:rPr>
                <w:rFonts w:cs="Arial"/>
                <w:b/>
                <w:bCs/>
                <w:szCs w:val="20"/>
                <w:lang w:eastAsia="en-AU"/>
              </w:rPr>
              <w:t>Qtr</w:t>
            </w:r>
            <w:proofErr w:type="spellEnd"/>
            <w:r w:rsidRPr="005D104F">
              <w:rPr>
                <w:rFonts w:cs="Arial"/>
                <w:b/>
                <w:bCs/>
                <w:szCs w:val="20"/>
                <w:lang w:eastAsia="en-AU"/>
              </w:rPr>
              <w:t xml:space="preserve"> </w:t>
            </w:r>
            <w:r>
              <w:rPr>
                <w:rFonts w:cs="Arial"/>
                <w:b/>
                <w:bCs/>
                <w:szCs w:val="20"/>
                <w:lang w:eastAsia="en-AU"/>
              </w:rPr>
              <w:t>41</w:t>
            </w:r>
          </w:p>
        </w:tc>
        <w:tc>
          <w:tcPr>
            <w:tcW w:w="992" w:type="dxa"/>
            <w:tcBorders>
              <w:top w:val="single" w:sz="4" w:space="0" w:color="auto"/>
              <w:left w:val="nil"/>
              <w:bottom w:val="single" w:sz="4" w:space="0" w:color="auto"/>
              <w:right w:val="single" w:sz="4" w:space="0" w:color="auto"/>
            </w:tcBorders>
            <w:shd w:val="clear" w:color="auto" w:fill="auto"/>
            <w:hideMark/>
          </w:tcPr>
          <w:p w14:paraId="6AAF3394" w14:textId="77777777" w:rsidR="00B15BC0" w:rsidRPr="005D104F" w:rsidRDefault="00B15BC0" w:rsidP="00A90858">
            <w:pPr>
              <w:spacing w:after="60"/>
              <w:jc w:val="right"/>
              <w:rPr>
                <w:rFonts w:cs="Arial"/>
                <w:b/>
                <w:bCs/>
                <w:szCs w:val="20"/>
                <w:lang w:eastAsia="en-AU"/>
              </w:rPr>
            </w:pPr>
            <w:proofErr w:type="spellStart"/>
            <w:r w:rsidRPr="005D104F">
              <w:rPr>
                <w:rFonts w:cs="Arial"/>
                <w:b/>
                <w:bCs/>
                <w:szCs w:val="20"/>
                <w:lang w:eastAsia="en-AU"/>
              </w:rPr>
              <w:t>Qtr</w:t>
            </w:r>
            <w:proofErr w:type="spellEnd"/>
            <w:r w:rsidRPr="005D104F">
              <w:rPr>
                <w:rFonts w:cs="Arial"/>
                <w:b/>
                <w:bCs/>
                <w:szCs w:val="20"/>
                <w:lang w:eastAsia="en-AU"/>
              </w:rPr>
              <w:t xml:space="preserve"> </w:t>
            </w:r>
            <w:r>
              <w:rPr>
                <w:rFonts w:cs="Arial"/>
                <w:b/>
                <w:bCs/>
                <w:szCs w:val="20"/>
                <w:lang w:eastAsia="en-AU"/>
              </w:rPr>
              <w:t>42</w:t>
            </w:r>
          </w:p>
        </w:tc>
        <w:tc>
          <w:tcPr>
            <w:tcW w:w="992" w:type="dxa"/>
            <w:tcBorders>
              <w:top w:val="single" w:sz="4" w:space="0" w:color="auto"/>
              <w:left w:val="nil"/>
              <w:bottom w:val="single" w:sz="4" w:space="0" w:color="auto"/>
              <w:right w:val="single" w:sz="4" w:space="0" w:color="auto"/>
            </w:tcBorders>
            <w:shd w:val="clear" w:color="auto" w:fill="auto"/>
            <w:hideMark/>
          </w:tcPr>
          <w:p w14:paraId="5E5A9233" w14:textId="77777777" w:rsidR="00B15BC0" w:rsidRPr="005D104F" w:rsidRDefault="00B15BC0" w:rsidP="00A90858">
            <w:pPr>
              <w:spacing w:after="60"/>
              <w:jc w:val="right"/>
              <w:rPr>
                <w:rFonts w:cs="Arial"/>
                <w:b/>
                <w:bCs/>
                <w:szCs w:val="20"/>
                <w:lang w:eastAsia="en-AU"/>
              </w:rPr>
            </w:pPr>
            <w:proofErr w:type="spellStart"/>
            <w:r w:rsidRPr="005D104F">
              <w:rPr>
                <w:rFonts w:cs="Arial"/>
                <w:b/>
                <w:bCs/>
                <w:szCs w:val="20"/>
                <w:lang w:eastAsia="en-AU"/>
              </w:rPr>
              <w:t>Qtr</w:t>
            </w:r>
            <w:proofErr w:type="spellEnd"/>
            <w:r w:rsidRPr="005D104F">
              <w:rPr>
                <w:rFonts w:cs="Arial"/>
                <w:b/>
                <w:bCs/>
                <w:szCs w:val="20"/>
                <w:lang w:eastAsia="en-AU"/>
              </w:rPr>
              <w:t xml:space="preserve"> </w:t>
            </w:r>
            <w:r>
              <w:rPr>
                <w:rFonts w:cs="Arial"/>
                <w:b/>
                <w:bCs/>
                <w:szCs w:val="20"/>
                <w:lang w:eastAsia="en-AU"/>
              </w:rPr>
              <w:t>43</w:t>
            </w:r>
          </w:p>
        </w:tc>
        <w:tc>
          <w:tcPr>
            <w:tcW w:w="992" w:type="dxa"/>
            <w:tcBorders>
              <w:top w:val="single" w:sz="4" w:space="0" w:color="auto"/>
              <w:left w:val="nil"/>
              <w:bottom w:val="single" w:sz="4" w:space="0" w:color="auto"/>
              <w:right w:val="single" w:sz="4" w:space="0" w:color="auto"/>
            </w:tcBorders>
            <w:shd w:val="clear" w:color="auto" w:fill="auto"/>
            <w:hideMark/>
          </w:tcPr>
          <w:p w14:paraId="53A79BC6" w14:textId="77777777" w:rsidR="00B15BC0" w:rsidRPr="005D104F" w:rsidRDefault="00B15BC0" w:rsidP="00A90858">
            <w:pPr>
              <w:spacing w:after="60"/>
              <w:jc w:val="right"/>
              <w:rPr>
                <w:rFonts w:cs="Arial"/>
                <w:b/>
                <w:bCs/>
                <w:szCs w:val="20"/>
                <w:lang w:eastAsia="en-AU"/>
              </w:rPr>
            </w:pPr>
            <w:proofErr w:type="spellStart"/>
            <w:r w:rsidRPr="005D104F">
              <w:rPr>
                <w:rFonts w:cs="Arial"/>
                <w:b/>
                <w:bCs/>
                <w:szCs w:val="20"/>
                <w:lang w:eastAsia="en-AU"/>
              </w:rPr>
              <w:t>Qtr</w:t>
            </w:r>
            <w:proofErr w:type="spellEnd"/>
            <w:r w:rsidRPr="005D104F">
              <w:rPr>
                <w:rFonts w:cs="Arial"/>
                <w:b/>
                <w:bCs/>
                <w:szCs w:val="20"/>
                <w:lang w:eastAsia="en-AU"/>
              </w:rPr>
              <w:t xml:space="preserve"> </w:t>
            </w:r>
            <w:r>
              <w:rPr>
                <w:rFonts w:cs="Arial"/>
                <w:b/>
                <w:bCs/>
                <w:szCs w:val="20"/>
                <w:lang w:eastAsia="en-AU"/>
              </w:rPr>
              <w:t>44</w:t>
            </w:r>
          </w:p>
        </w:tc>
        <w:tc>
          <w:tcPr>
            <w:tcW w:w="992" w:type="dxa"/>
            <w:tcBorders>
              <w:top w:val="single" w:sz="4" w:space="0" w:color="auto"/>
              <w:left w:val="nil"/>
              <w:bottom w:val="single" w:sz="4" w:space="0" w:color="auto"/>
              <w:right w:val="single" w:sz="4" w:space="0" w:color="auto"/>
            </w:tcBorders>
          </w:tcPr>
          <w:p w14:paraId="600FCE53" w14:textId="77777777" w:rsidR="00B15BC0" w:rsidRPr="005D104F" w:rsidRDefault="00B15BC0" w:rsidP="00A90858">
            <w:pPr>
              <w:spacing w:after="60"/>
              <w:jc w:val="right"/>
              <w:rPr>
                <w:rFonts w:cs="Arial"/>
                <w:b/>
                <w:bCs/>
                <w:szCs w:val="20"/>
                <w:lang w:eastAsia="en-AU"/>
              </w:rPr>
            </w:pPr>
            <w:r w:rsidRPr="005D104F">
              <w:rPr>
                <w:rFonts w:cs="Arial"/>
                <w:b/>
                <w:bCs/>
                <w:szCs w:val="20"/>
                <w:lang w:eastAsia="en-AU"/>
              </w:rPr>
              <w:t>Total</w:t>
            </w:r>
          </w:p>
        </w:tc>
      </w:tr>
      <w:tr w:rsidR="00B15BC0" w:rsidRPr="005D104F" w14:paraId="650F4871" w14:textId="77777777" w:rsidTr="00A90858">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7EAB79F3" w14:textId="77777777" w:rsidR="00B15BC0" w:rsidRPr="00B453DC" w:rsidRDefault="00B15BC0" w:rsidP="00A90858">
            <w:pPr>
              <w:spacing w:after="60"/>
              <w:rPr>
                <w:rFonts w:cs="Arial"/>
                <w:bCs/>
                <w:szCs w:val="20"/>
                <w:lang w:eastAsia="en-AU"/>
              </w:rPr>
            </w:pPr>
            <w:r w:rsidRPr="00B453DC">
              <w:rPr>
                <w:rFonts w:cs="Arial"/>
                <w:bCs/>
                <w:szCs w:val="20"/>
                <w:lang w:eastAsia="en-AU"/>
              </w:rPr>
              <w:t>Supreme Court</w:t>
            </w:r>
          </w:p>
        </w:tc>
        <w:tc>
          <w:tcPr>
            <w:tcW w:w="992" w:type="dxa"/>
            <w:tcBorders>
              <w:top w:val="single" w:sz="4" w:space="0" w:color="auto"/>
              <w:left w:val="nil"/>
              <w:bottom w:val="single" w:sz="4" w:space="0" w:color="auto"/>
              <w:right w:val="single" w:sz="4" w:space="0" w:color="auto"/>
            </w:tcBorders>
            <w:shd w:val="clear" w:color="auto" w:fill="auto"/>
          </w:tcPr>
          <w:p w14:paraId="13725A03" w14:textId="77777777" w:rsidR="00B15BC0" w:rsidRPr="008E5925" w:rsidRDefault="00B15BC0" w:rsidP="00A90858">
            <w:pPr>
              <w:spacing w:after="60"/>
              <w:jc w:val="right"/>
              <w:rPr>
                <w:rFonts w:cs="Arial"/>
                <w:bCs/>
                <w:szCs w:val="20"/>
                <w:lang w:eastAsia="en-AU"/>
              </w:rPr>
            </w:pPr>
            <w:r w:rsidRPr="008E5925">
              <w:rPr>
                <w:rFonts w:cs="Arial"/>
                <w:bCs/>
                <w:szCs w:val="20"/>
                <w:lang w:eastAsia="en-AU"/>
              </w:rPr>
              <w:t>0</w:t>
            </w:r>
          </w:p>
        </w:tc>
        <w:tc>
          <w:tcPr>
            <w:tcW w:w="992" w:type="dxa"/>
            <w:tcBorders>
              <w:top w:val="single" w:sz="4" w:space="0" w:color="auto"/>
              <w:left w:val="nil"/>
              <w:bottom w:val="single" w:sz="4" w:space="0" w:color="auto"/>
              <w:right w:val="single" w:sz="4" w:space="0" w:color="auto"/>
            </w:tcBorders>
            <w:shd w:val="clear" w:color="auto" w:fill="auto"/>
          </w:tcPr>
          <w:p w14:paraId="24F3ECF3" w14:textId="77777777" w:rsidR="00B15BC0" w:rsidRPr="008E5925" w:rsidRDefault="00B15BC0" w:rsidP="00A90858">
            <w:pPr>
              <w:spacing w:after="60"/>
              <w:jc w:val="right"/>
              <w:rPr>
                <w:rFonts w:cs="Arial"/>
                <w:bCs/>
                <w:szCs w:val="20"/>
                <w:lang w:eastAsia="en-AU"/>
              </w:rPr>
            </w:pPr>
            <w:r w:rsidRPr="008E5925">
              <w:rPr>
                <w:rFonts w:cs="Arial"/>
                <w:bCs/>
                <w:szCs w:val="20"/>
                <w:lang w:eastAsia="en-AU"/>
              </w:rPr>
              <w:t>0</w:t>
            </w:r>
          </w:p>
        </w:tc>
        <w:tc>
          <w:tcPr>
            <w:tcW w:w="992" w:type="dxa"/>
            <w:tcBorders>
              <w:top w:val="single" w:sz="4" w:space="0" w:color="auto"/>
              <w:left w:val="nil"/>
              <w:bottom w:val="single" w:sz="4" w:space="0" w:color="auto"/>
              <w:right w:val="single" w:sz="4" w:space="0" w:color="auto"/>
            </w:tcBorders>
            <w:shd w:val="clear" w:color="auto" w:fill="auto"/>
          </w:tcPr>
          <w:p w14:paraId="3CD5E12C" w14:textId="77777777" w:rsidR="00B15BC0" w:rsidRPr="008E5925" w:rsidRDefault="00B15BC0" w:rsidP="00A90858">
            <w:pPr>
              <w:spacing w:after="60"/>
              <w:jc w:val="right"/>
              <w:rPr>
                <w:rFonts w:cs="Arial"/>
                <w:bCs/>
                <w:szCs w:val="20"/>
                <w:lang w:eastAsia="en-AU"/>
              </w:rPr>
            </w:pPr>
            <w:r w:rsidRPr="008E5925">
              <w:rPr>
                <w:rFonts w:cs="Arial"/>
                <w:bCs/>
                <w:szCs w:val="20"/>
                <w:lang w:eastAsia="en-AU"/>
              </w:rPr>
              <w:t>0</w:t>
            </w:r>
          </w:p>
        </w:tc>
        <w:tc>
          <w:tcPr>
            <w:tcW w:w="992" w:type="dxa"/>
            <w:tcBorders>
              <w:top w:val="single" w:sz="4" w:space="0" w:color="auto"/>
              <w:left w:val="nil"/>
              <w:bottom w:val="single" w:sz="4" w:space="0" w:color="auto"/>
              <w:right w:val="single" w:sz="4" w:space="0" w:color="auto"/>
            </w:tcBorders>
            <w:shd w:val="clear" w:color="auto" w:fill="auto"/>
          </w:tcPr>
          <w:p w14:paraId="742C25FB" w14:textId="77777777" w:rsidR="00B15BC0" w:rsidRPr="008E5925" w:rsidRDefault="00B15BC0" w:rsidP="00A90858">
            <w:pPr>
              <w:spacing w:after="60"/>
              <w:jc w:val="right"/>
              <w:rPr>
                <w:rFonts w:cs="Arial"/>
                <w:bCs/>
                <w:szCs w:val="20"/>
                <w:lang w:eastAsia="en-AU"/>
              </w:rPr>
            </w:pPr>
            <w:r w:rsidRPr="008E5925">
              <w:rPr>
                <w:rFonts w:cs="Arial"/>
                <w:bCs/>
                <w:szCs w:val="20"/>
                <w:lang w:eastAsia="en-AU"/>
              </w:rPr>
              <w:t>0</w:t>
            </w:r>
          </w:p>
        </w:tc>
        <w:tc>
          <w:tcPr>
            <w:tcW w:w="992" w:type="dxa"/>
            <w:tcBorders>
              <w:top w:val="single" w:sz="4" w:space="0" w:color="auto"/>
              <w:left w:val="nil"/>
              <w:bottom w:val="single" w:sz="4" w:space="0" w:color="auto"/>
              <w:right w:val="single" w:sz="4" w:space="0" w:color="auto"/>
            </w:tcBorders>
          </w:tcPr>
          <w:p w14:paraId="5CB9F595" w14:textId="77777777" w:rsidR="00B15BC0" w:rsidRPr="008E5925" w:rsidRDefault="00B15BC0" w:rsidP="00A90858">
            <w:pPr>
              <w:spacing w:after="60"/>
              <w:jc w:val="right"/>
              <w:rPr>
                <w:rFonts w:cs="Arial"/>
                <w:b/>
                <w:bCs/>
                <w:szCs w:val="20"/>
                <w:lang w:eastAsia="en-AU"/>
              </w:rPr>
            </w:pPr>
            <w:r w:rsidRPr="008E5925">
              <w:rPr>
                <w:rFonts w:cs="Arial"/>
                <w:b/>
                <w:bCs/>
                <w:szCs w:val="20"/>
                <w:lang w:eastAsia="en-AU"/>
              </w:rPr>
              <w:t>0</w:t>
            </w:r>
          </w:p>
        </w:tc>
      </w:tr>
      <w:tr w:rsidR="00B15BC0" w:rsidRPr="005D104F" w14:paraId="387F399B" w14:textId="77777777" w:rsidTr="00A90858">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165B05CC" w14:textId="77777777" w:rsidR="00B15BC0" w:rsidRPr="005D104F" w:rsidRDefault="00B15BC0" w:rsidP="00A90858">
            <w:pPr>
              <w:spacing w:after="60"/>
              <w:rPr>
                <w:rFonts w:cs="Arial"/>
                <w:szCs w:val="20"/>
                <w:lang w:eastAsia="en-AU"/>
              </w:rPr>
            </w:pPr>
            <w:r w:rsidRPr="005D104F">
              <w:rPr>
                <w:rFonts w:cs="Arial"/>
                <w:szCs w:val="20"/>
                <w:lang w:eastAsia="en-AU"/>
              </w:rPr>
              <w:t>District Court</w:t>
            </w:r>
          </w:p>
        </w:tc>
        <w:tc>
          <w:tcPr>
            <w:tcW w:w="992" w:type="dxa"/>
            <w:tcBorders>
              <w:top w:val="nil"/>
              <w:left w:val="nil"/>
              <w:bottom w:val="single" w:sz="4" w:space="0" w:color="auto"/>
              <w:right w:val="single" w:sz="4" w:space="0" w:color="auto"/>
            </w:tcBorders>
            <w:shd w:val="clear" w:color="auto" w:fill="auto"/>
          </w:tcPr>
          <w:p w14:paraId="3CFA286B" w14:textId="77777777" w:rsidR="00B15BC0" w:rsidRPr="008E5925" w:rsidRDefault="00B15BC0" w:rsidP="00A90858">
            <w:pPr>
              <w:spacing w:after="60"/>
              <w:jc w:val="right"/>
              <w:rPr>
                <w:rFonts w:cs="Arial"/>
                <w:szCs w:val="20"/>
                <w:lang w:eastAsia="en-AU"/>
              </w:rPr>
            </w:pPr>
            <w:r w:rsidRPr="008E5925">
              <w:rPr>
                <w:rFonts w:cs="Arial"/>
                <w:szCs w:val="20"/>
              </w:rPr>
              <w:t>4</w:t>
            </w:r>
          </w:p>
        </w:tc>
        <w:tc>
          <w:tcPr>
            <w:tcW w:w="992" w:type="dxa"/>
            <w:tcBorders>
              <w:top w:val="nil"/>
              <w:left w:val="nil"/>
              <w:bottom w:val="single" w:sz="4" w:space="0" w:color="auto"/>
              <w:right w:val="single" w:sz="4" w:space="0" w:color="auto"/>
            </w:tcBorders>
            <w:shd w:val="clear" w:color="auto" w:fill="auto"/>
          </w:tcPr>
          <w:p w14:paraId="63ED6B62" w14:textId="77777777" w:rsidR="00B15BC0" w:rsidRPr="008E5925" w:rsidRDefault="00B15BC0" w:rsidP="00A90858">
            <w:pPr>
              <w:spacing w:after="60"/>
              <w:jc w:val="right"/>
              <w:rPr>
                <w:rFonts w:cs="Arial"/>
                <w:szCs w:val="20"/>
                <w:lang w:eastAsia="en-AU"/>
              </w:rPr>
            </w:pPr>
            <w:r w:rsidRPr="008E5925">
              <w:rPr>
                <w:rFonts w:cs="Arial"/>
                <w:szCs w:val="20"/>
              </w:rPr>
              <w:t>1</w:t>
            </w:r>
          </w:p>
        </w:tc>
        <w:tc>
          <w:tcPr>
            <w:tcW w:w="992" w:type="dxa"/>
            <w:tcBorders>
              <w:top w:val="nil"/>
              <w:left w:val="nil"/>
              <w:bottom w:val="single" w:sz="4" w:space="0" w:color="auto"/>
              <w:right w:val="single" w:sz="4" w:space="0" w:color="auto"/>
            </w:tcBorders>
            <w:shd w:val="clear" w:color="auto" w:fill="auto"/>
          </w:tcPr>
          <w:p w14:paraId="263D78A1" w14:textId="77777777" w:rsidR="00B15BC0" w:rsidRPr="008E5925" w:rsidRDefault="00B15BC0" w:rsidP="00A90858">
            <w:pPr>
              <w:spacing w:after="60"/>
              <w:jc w:val="right"/>
              <w:rPr>
                <w:rFonts w:cs="Arial"/>
                <w:szCs w:val="20"/>
                <w:lang w:eastAsia="en-AU"/>
              </w:rPr>
            </w:pPr>
            <w:r w:rsidRPr="008E5925">
              <w:rPr>
                <w:rFonts w:cs="Arial"/>
                <w:szCs w:val="20"/>
              </w:rPr>
              <w:t>7</w:t>
            </w:r>
          </w:p>
        </w:tc>
        <w:tc>
          <w:tcPr>
            <w:tcW w:w="992" w:type="dxa"/>
            <w:tcBorders>
              <w:top w:val="nil"/>
              <w:left w:val="nil"/>
              <w:bottom w:val="single" w:sz="4" w:space="0" w:color="auto"/>
              <w:right w:val="single" w:sz="4" w:space="0" w:color="auto"/>
            </w:tcBorders>
            <w:shd w:val="clear" w:color="auto" w:fill="auto"/>
          </w:tcPr>
          <w:p w14:paraId="1F496CCA" w14:textId="77777777" w:rsidR="00B15BC0" w:rsidRPr="008E5925" w:rsidRDefault="00B15BC0" w:rsidP="00A90858">
            <w:pPr>
              <w:spacing w:after="60"/>
              <w:jc w:val="right"/>
              <w:rPr>
                <w:rFonts w:cs="Arial"/>
                <w:szCs w:val="20"/>
                <w:lang w:eastAsia="en-AU"/>
              </w:rPr>
            </w:pPr>
            <w:r w:rsidRPr="008E5925">
              <w:rPr>
                <w:rFonts w:cs="Arial"/>
                <w:szCs w:val="20"/>
              </w:rPr>
              <w:t>12</w:t>
            </w:r>
          </w:p>
        </w:tc>
        <w:tc>
          <w:tcPr>
            <w:tcW w:w="992" w:type="dxa"/>
            <w:tcBorders>
              <w:top w:val="nil"/>
              <w:left w:val="nil"/>
              <w:bottom w:val="single" w:sz="4" w:space="0" w:color="auto"/>
              <w:right w:val="single" w:sz="4" w:space="0" w:color="auto"/>
            </w:tcBorders>
          </w:tcPr>
          <w:p w14:paraId="5EDF52FA" w14:textId="77777777" w:rsidR="00B15BC0" w:rsidRPr="008E5925" w:rsidRDefault="00B15BC0" w:rsidP="00A90858">
            <w:pPr>
              <w:spacing w:after="60"/>
              <w:jc w:val="right"/>
              <w:rPr>
                <w:rFonts w:cs="Arial"/>
                <w:b/>
                <w:szCs w:val="20"/>
                <w:lang w:eastAsia="en-AU"/>
              </w:rPr>
            </w:pPr>
            <w:r w:rsidRPr="008E5925">
              <w:rPr>
                <w:rFonts w:cs="Arial"/>
                <w:b/>
                <w:bCs/>
                <w:szCs w:val="20"/>
              </w:rPr>
              <w:t>24</w:t>
            </w:r>
          </w:p>
        </w:tc>
      </w:tr>
      <w:tr w:rsidR="00B15BC0" w:rsidRPr="005D104F" w14:paraId="33617D83" w14:textId="77777777" w:rsidTr="00A90858">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03D1C1A9" w14:textId="77777777" w:rsidR="00B15BC0" w:rsidRPr="005D104F" w:rsidRDefault="00B15BC0" w:rsidP="00A90858">
            <w:pPr>
              <w:spacing w:after="60"/>
              <w:rPr>
                <w:rFonts w:cs="Arial"/>
                <w:szCs w:val="20"/>
                <w:lang w:eastAsia="en-AU"/>
              </w:rPr>
            </w:pPr>
            <w:r w:rsidRPr="005D104F">
              <w:rPr>
                <w:rFonts w:cs="Arial"/>
                <w:szCs w:val="20"/>
                <w:lang w:eastAsia="en-AU"/>
              </w:rPr>
              <w:t>Magistrates Court</w:t>
            </w:r>
          </w:p>
        </w:tc>
        <w:tc>
          <w:tcPr>
            <w:tcW w:w="992" w:type="dxa"/>
            <w:tcBorders>
              <w:top w:val="nil"/>
              <w:left w:val="nil"/>
              <w:bottom w:val="single" w:sz="4" w:space="0" w:color="auto"/>
              <w:right w:val="single" w:sz="4" w:space="0" w:color="auto"/>
            </w:tcBorders>
            <w:shd w:val="clear" w:color="auto" w:fill="auto"/>
          </w:tcPr>
          <w:p w14:paraId="20FF1569" w14:textId="77777777" w:rsidR="00B15BC0" w:rsidRPr="008E5925" w:rsidRDefault="00B15BC0" w:rsidP="00A90858">
            <w:pPr>
              <w:spacing w:after="60"/>
              <w:jc w:val="right"/>
              <w:rPr>
                <w:rFonts w:cs="Arial"/>
                <w:szCs w:val="20"/>
                <w:lang w:eastAsia="en-AU"/>
              </w:rPr>
            </w:pPr>
            <w:r w:rsidRPr="008E5925">
              <w:rPr>
                <w:rFonts w:cs="Arial"/>
                <w:szCs w:val="20"/>
              </w:rPr>
              <w:t>417</w:t>
            </w:r>
          </w:p>
        </w:tc>
        <w:tc>
          <w:tcPr>
            <w:tcW w:w="992" w:type="dxa"/>
            <w:tcBorders>
              <w:top w:val="nil"/>
              <w:left w:val="nil"/>
              <w:bottom w:val="single" w:sz="4" w:space="0" w:color="auto"/>
              <w:right w:val="single" w:sz="4" w:space="0" w:color="auto"/>
            </w:tcBorders>
            <w:shd w:val="clear" w:color="auto" w:fill="auto"/>
          </w:tcPr>
          <w:p w14:paraId="74E52CA4" w14:textId="77777777" w:rsidR="00B15BC0" w:rsidRPr="008E5925" w:rsidRDefault="00B15BC0" w:rsidP="00A90858">
            <w:pPr>
              <w:spacing w:after="60"/>
              <w:jc w:val="right"/>
              <w:rPr>
                <w:rFonts w:cs="Arial"/>
                <w:szCs w:val="20"/>
                <w:lang w:eastAsia="en-AU"/>
              </w:rPr>
            </w:pPr>
            <w:r w:rsidRPr="008E5925">
              <w:rPr>
                <w:rFonts w:cs="Arial"/>
                <w:szCs w:val="20"/>
              </w:rPr>
              <w:t>404</w:t>
            </w:r>
          </w:p>
        </w:tc>
        <w:tc>
          <w:tcPr>
            <w:tcW w:w="992" w:type="dxa"/>
            <w:tcBorders>
              <w:top w:val="nil"/>
              <w:left w:val="nil"/>
              <w:bottom w:val="single" w:sz="4" w:space="0" w:color="auto"/>
              <w:right w:val="single" w:sz="4" w:space="0" w:color="auto"/>
            </w:tcBorders>
            <w:shd w:val="clear" w:color="auto" w:fill="auto"/>
          </w:tcPr>
          <w:p w14:paraId="16EE8512" w14:textId="77777777" w:rsidR="00B15BC0" w:rsidRPr="008E5925" w:rsidRDefault="00B15BC0" w:rsidP="00A90858">
            <w:pPr>
              <w:spacing w:after="60"/>
              <w:jc w:val="right"/>
              <w:rPr>
                <w:rFonts w:cs="Arial"/>
                <w:szCs w:val="20"/>
                <w:lang w:eastAsia="en-AU"/>
              </w:rPr>
            </w:pPr>
            <w:r w:rsidRPr="008E5925">
              <w:rPr>
                <w:rFonts w:cs="Arial"/>
                <w:szCs w:val="20"/>
              </w:rPr>
              <w:t>379</w:t>
            </w:r>
          </w:p>
        </w:tc>
        <w:tc>
          <w:tcPr>
            <w:tcW w:w="992" w:type="dxa"/>
            <w:tcBorders>
              <w:top w:val="nil"/>
              <w:left w:val="nil"/>
              <w:bottom w:val="single" w:sz="4" w:space="0" w:color="auto"/>
              <w:right w:val="single" w:sz="4" w:space="0" w:color="auto"/>
            </w:tcBorders>
            <w:shd w:val="clear" w:color="auto" w:fill="auto"/>
          </w:tcPr>
          <w:p w14:paraId="5773AFD2" w14:textId="77777777" w:rsidR="00B15BC0" w:rsidRPr="008E5925" w:rsidRDefault="00B15BC0" w:rsidP="00A90858">
            <w:pPr>
              <w:spacing w:after="60"/>
              <w:jc w:val="right"/>
              <w:rPr>
                <w:rFonts w:cs="Arial"/>
                <w:szCs w:val="20"/>
                <w:lang w:eastAsia="en-AU"/>
              </w:rPr>
            </w:pPr>
            <w:r w:rsidRPr="008E5925">
              <w:rPr>
                <w:rFonts w:cs="Arial"/>
                <w:szCs w:val="20"/>
              </w:rPr>
              <w:t>246</w:t>
            </w:r>
          </w:p>
        </w:tc>
        <w:tc>
          <w:tcPr>
            <w:tcW w:w="992" w:type="dxa"/>
            <w:tcBorders>
              <w:top w:val="nil"/>
              <w:left w:val="nil"/>
              <w:bottom w:val="single" w:sz="4" w:space="0" w:color="auto"/>
              <w:right w:val="single" w:sz="4" w:space="0" w:color="auto"/>
            </w:tcBorders>
          </w:tcPr>
          <w:p w14:paraId="0C2CF28B" w14:textId="77777777" w:rsidR="00B15BC0" w:rsidRPr="008E5925" w:rsidRDefault="00B15BC0" w:rsidP="00A90858">
            <w:pPr>
              <w:spacing w:after="60"/>
              <w:jc w:val="right"/>
              <w:rPr>
                <w:rFonts w:cs="Arial"/>
                <w:b/>
                <w:szCs w:val="20"/>
                <w:lang w:eastAsia="en-AU"/>
              </w:rPr>
            </w:pPr>
            <w:r w:rsidRPr="008E5925">
              <w:rPr>
                <w:rFonts w:cs="Arial"/>
                <w:b/>
                <w:bCs/>
                <w:szCs w:val="20"/>
              </w:rPr>
              <w:t>1,446</w:t>
            </w:r>
          </w:p>
        </w:tc>
      </w:tr>
      <w:tr w:rsidR="00B15BC0" w:rsidRPr="005D104F" w14:paraId="280863FE" w14:textId="77777777" w:rsidTr="00A90858">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3E18DB37" w14:textId="77777777" w:rsidR="00B15BC0" w:rsidRPr="005D104F" w:rsidRDefault="00B15BC0" w:rsidP="00A90858">
            <w:pPr>
              <w:spacing w:after="60"/>
              <w:rPr>
                <w:rFonts w:cs="Arial"/>
                <w:szCs w:val="20"/>
                <w:lang w:eastAsia="en-AU"/>
              </w:rPr>
            </w:pPr>
            <w:r w:rsidRPr="005D104F">
              <w:rPr>
                <w:rFonts w:cs="Arial"/>
                <w:szCs w:val="20"/>
                <w:lang w:eastAsia="en-AU"/>
              </w:rPr>
              <w:t>Domestic Violence Breach</w:t>
            </w:r>
          </w:p>
        </w:tc>
        <w:tc>
          <w:tcPr>
            <w:tcW w:w="992" w:type="dxa"/>
            <w:tcBorders>
              <w:top w:val="nil"/>
              <w:left w:val="nil"/>
              <w:bottom w:val="single" w:sz="4" w:space="0" w:color="auto"/>
              <w:right w:val="single" w:sz="4" w:space="0" w:color="auto"/>
            </w:tcBorders>
            <w:shd w:val="clear" w:color="auto" w:fill="auto"/>
          </w:tcPr>
          <w:p w14:paraId="5A9E918A" w14:textId="77777777" w:rsidR="00B15BC0" w:rsidRPr="008E5925" w:rsidRDefault="00B15BC0" w:rsidP="00A90858">
            <w:pPr>
              <w:spacing w:after="60"/>
              <w:jc w:val="right"/>
              <w:rPr>
                <w:rFonts w:cs="Arial"/>
                <w:szCs w:val="20"/>
                <w:lang w:eastAsia="en-AU"/>
              </w:rPr>
            </w:pPr>
            <w:r w:rsidRPr="008E5925">
              <w:rPr>
                <w:rFonts w:cs="Arial"/>
                <w:szCs w:val="20"/>
              </w:rPr>
              <w:t>42</w:t>
            </w:r>
          </w:p>
        </w:tc>
        <w:tc>
          <w:tcPr>
            <w:tcW w:w="992" w:type="dxa"/>
            <w:tcBorders>
              <w:top w:val="nil"/>
              <w:left w:val="nil"/>
              <w:bottom w:val="single" w:sz="4" w:space="0" w:color="auto"/>
              <w:right w:val="single" w:sz="4" w:space="0" w:color="auto"/>
            </w:tcBorders>
            <w:shd w:val="clear" w:color="auto" w:fill="auto"/>
          </w:tcPr>
          <w:p w14:paraId="10423CB1" w14:textId="77777777" w:rsidR="00B15BC0" w:rsidRPr="008E5925" w:rsidRDefault="00B15BC0" w:rsidP="00A90858">
            <w:pPr>
              <w:spacing w:after="60"/>
              <w:jc w:val="right"/>
              <w:rPr>
                <w:rFonts w:cs="Arial"/>
                <w:szCs w:val="20"/>
                <w:lang w:eastAsia="en-AU"/>
              </w:rPr>
            </w:pPr>
            <w:r w:rsidRPr="008E5925">
              <w:rPr>
                <w:rFonts w:cs="Arial"/>
                <w:szCs w:val="20"/>
              </w:rPr>
              <w:t>21</w:t>
            </w:r>
          </w:p>
        </w:tc>
        <w:tc>
          <w:tcPr>
            <w:tcW w:w="992" w:type="dxa"/>
            <w:tcBorders>
              <w:top w:val="nil"/>
              <w:left w:val="nil"/>
              <w:bottom w:val="single" w:sz="4" w:space="0" w:color="auto"/>
              <w:right w:val="single" w:sz="4" w:space="0" w:color="auto"/>
            </w:tcBorders>
            <w:shd w:val="clear" w:color="auto" w:fill="auto"/>
          </w:tcPr>
          <w:p w14:paraId="581F18CF" w14:textId="77777777" w:rsidR="00B15BC0" w:rsidRPr="008E5925" w:rsidRDefault="00B15BC0" w:rsidP="00A90858">
            <w:pPr>
              <w:spacing w:after="60"/>
              <w:jc w:val="right"/>
              <w:rPr>
                <w:rFonts w:cs="Arial"/>
                <w:szCs w:val="20"/>
                <w:lang w:eastAsia="en-AU"/>
              </w:rPr>
            </w:pPr>
            <w:r w:rsidRPr="008E5925">
              <w:rPr>
                <w:rFonts w:cs="Arial"/>
                <w:szCs w:val="20"/>
              </w:rPr>
              <w:t>34</w:t>
            </w:r>
          </w:p>
        </w:tc>
        <w:tc>
          <w:tcPr>
            <w:tcW w:w="992" w:type="dxa"/>
            <w:tcBorders>
              <w:top w:val="nil"/>
              <w:left w:val="nil"/>
              <w:bottom w:val="single" w:sz="4" w:space="0" w:color="auto"/>
              <w:right w:val="single" w:sz="4" w:space="0" w:color="auto"/>
            </w:tcBorders>
            <w:shd w:val="clear" w:color="auto" w:fill="auto"/>
          </w:tcPr>
          <w:p w14:paraId="3C07941E" w14:textId="77777777" w:rsidR="00B15BC0" w:rsidRPr="008E5925" w:rsidRDefault="00B15BC0" w:rsidP="00A90858">
            <w:pPr>
              <w:spacing w:after="60"/>
              <w:jc w:val="right"/>
              <w:rPr>
                <w:rFonts w:cs="Arial"/>
                <w:szCs w:val="20"/>
                <w:lang w:eastAsia="en-AU"/>
              </w:rPr>
            </w:pPr>
            <w:r w:rsidRPr="008E5925">
              <w:rPr>
                <w:rFonts w:cs="Arial"/>
                <w:szCs w:val="20"/>
              </w:rPr>
              <w:t>14</w:t>
            </w:r>
          </w:p>
        </w:tc>
        <w:tc>
          <w:tcPr>
            <w:tcW w:w="992" w:type="dxa"/>
            <w:tcBorders>
              <w:top w:val="nil"/>
              <w:left w:val="nil"/>
              <w:bottom w:val="single" w:sz="4" w:space="0" w:color="auto"/>
              <w:right w:val="single" w:sz="4" w:space="0" w:color="auto"/>
            </w:tcBorders>
          </w:tcPr>
          <w:p w14:paraId="09CA115A" w14:textId="77777777" w:rsidR="00B15BC0" w:rsidRPr="008E5925" w:rsidRDefault="00B15BC0" w:rsidP="00A90858">
            <w:pPr>
              <w:spacing w:after="60"/>
              <w:jc w:val="right"/>
              <w:rPr>
                <w:rFonts w:cs="Arial"/>
                <w:b/>
                <w:szCs w:val="20"/>
                <w:lang w:eastAsia="en-AU"/>
              </w:rPr>
            </w:pPr>
            <w:r w:rsidRPr="008E5925">
              <w:rPr>
                <w:rFonts w:cs="Arial"/>
                <w:b/>
                <w:bCs/>
                <w:szCs w:val="20"/>
              </w:rPr>
              <w:t>111</w:t>
            </w:r>
          </w:p>
        </w:tc>
      </w:tr>
      <w:tr w:rsidR="00B15BC0" w:rsidRPr="005D104F" w14:paraId="07F2DE05" w14:textId="77777777" w:rsidTr="00A90858">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64F0C6E3" w14:textId="77777777" w:rsidR="00B15BC0" w:rsidRPr="005D104F" w:rsidRDefault="00B15BC0" w:rsidP="00A90858">
            <w:pPr>
              <w:spacing w:after="60"/>
              <w:rPr>
                <w:rFonts w:cs="Arial"/>
                <w:szCs w:val="20"/>
                <w:lang w:eastAsia="en-AU"/>
              </w:rPr>
            </w:pPr>
            <w:r w:rsidRPr="005D104F">
              <w:rPr>
                <w:rFonts w:cs="Arial"/>
                <w:szCs w:val="20"/>
                <w:lang w:eastAsia="en-AU"/>
              </w:rPr>
              <w:t>Domestic Violence Order</w:t>
            </w:r>
          </w:p>
        </w:tc>
        <w:tc>
          <w:tcPr>
            <w:tcW w:w="992" w:type="dxa"/>
            <w:tcBorders>
              <w:top w:val="nil"/>
              <w:left w:val="nil"/>
              <w:bottom w:val="single" w:sz="4" w:space="0" w:color="auto"/>
              <w:right w:val="single" w:sz="4" w:space="0" w:color="auto"/>
            </w:tcBorders>
            <w:shd w:val="clear" w:color="auto" w:fill="auto"/>
          </w:tcPr>
          <w:p w14:paraId="040AD47A" w14:textId="77777777" w:rsidR="00B15BC0" w:rsidRPr="008E5925" w:rsidRDefault="00B15BC0" w:rsidP="00A90858">
            <w:pPr>
              <w:spacing w:after="60"/>
              <w:jc w:val="right"/>
              <w:rPr>
                <w:rFonts w:cs="Arial"/>
                <w:szCs w:val="20"/>
                <w:lang w:eastAsia="en-AU"/>
              </w:rPr>
            </w:pPr>
            <w:r w:rsidRPr="008E5925">
              <w:rPr>
                <w:rFonts w:cs="Arial"/>
                <w:szCs w:val="20"/>
              </w:rPr>
              <w:t>48</w:t>
            </w:r>
          </w:p>
        </w:tc>
        <w:tc>
          <w:tcPr>
            <w:tcW w:w="992" w:type="dxa"/>
            <w:tcBorders>
              <w:top w:val="nil"/>
              <w:left w:val="nil"/>
              <w:bottom w:val="single" w:sz="4" w:space="0" w:color="auto"/>
              <w:right w:val="single" w:sz="4" w:space="0" w:color="auto"/>
            </w:tcBorders>
            <w:shd w:val="clear" w:color="auto" w:fill="auto"/>
          </w:tcPr>
          <w:p w14:paraId="2E85EFEA" w14:textId="77777777" w:rsidR="00B15BC0" w:rsidRPr="008E5925" w:rsidRDefault="00B15BC0" w:rsidP="00A90858">
            <w:pPr>
              <w:spacing w:after="60"/>
              <w:jc w:val="right"/>
              <w:rPr>
                <w:rFonts w:cs="Arial"/>
                <w:szCs w:val="20"/>
                <w:lang w:eastAsia="en-AU"/>
              </w:rPr>
            </w:pPr>
            <w:r w:rsidRPr="008E5925">
              <w:rPr>
                <w:rFonts w:cs="Arial"/>
                <w:szCs w:val="20"/>
              </w:rPr>
              <w:t>52</w:t>
            </w:r>
          </w:p>
        </w:tc>
        <w:tc>
          <w:tcPr>
            <w:tcW w:w="992" w:type="dxa"/>
            <w:tcBorders>
              <w:top w:val="nil"/>
              <w:left w:val="nil"/>
              <w:bottom w:val="single" w:sz="4" w:space="0" w:color="auto"/>
              <w:right w:val="single" w:sz="4" w:space="0" w:color="auto"/>
            </w:tcBorders>
            <w:shd w:val="clear" w:color="auto" w:fill="auto"/>
          </w:tcPr>
          <w:p w14:paraId="6351A232" w14:textId="77777777" w:rsidR="00B15BC0" w:rsidRPr="008E5925" w:rsidRDefault="00B15BC0" w:rsidP="00A90858">
            <w:pPr>
              <w:spacing w:after="60"/>
              <w:jc w:val="right"/>
              <w:rPr>
                <w:rFonts w:cs="Arial"/>
                <w:szCs w:val="20"/>
                <w:lang w:eastAsia="en-AU"/>
              </w:rPr>
            </w:pPr>
            <w:r w:rsidRPr="008E5925">
              <w:rPr>
                <w:rFonts w:cs="Arial"/>
                <w:szCs w:val="20"/>
              </w:rPr>
              <w:t>46</w:t>
            </w:r>
          </w:p>
        </w:tc>
        <w:tc>
          <w:tcPr>
            <w:tcW w:w="992" w:type="dxa"/>
            <w:tcBorders>
              <w:top w:val="nil"/>
              <w:left w:val="nil"/>
              <w:bottom w:val="single" w:sz="4" w:space="0" w:color="auto"/>
              <w:right w:val="single" w:sz="4" w:space="0" w:color="auto"/>
            </w:tcBorders>
            <w:shd w:val="clear" w:color="auto" w:fill="auto"/>
          </w:tcPr>
          <w:p w14:paraId="4DC84F39" w14:textId="77777777" w:rsidR="00B15BC0" w:rsidRPr="008E5925" w:rsidRDefault="00B15BC0" w:rsidP="00A90858">
            <w:pPr>
              <w:spacing w:after="60"/>
              <w:jc w:val="right"/>
              <w:rPr>
                <w:rFonts w:cs="Arial"/>
                <w:szCs w:val="20"/>
                <w:lang w:eastAsia="en-AU"/>
              </w:rPr>
            </w:pPr>
            <w:r w:rsidRPr="008E5925">
              <w:rPr>
                <w:rFonts w:cs="Arial"/>
                <w:szCs w:val="20"/>
              </w:rPr>
              <w:t>72</w:t>
            </w:r>
          </w:p>
        </w:tc>
        <w:tc>
          <w:tcPr>
            <w:tcW w:w="992" w:type="dxa"/>
            <w:tcBorders>
              <w:top w:val="nil"/>
              <w:left w:val="nil"/>
              <w:bottom w:val="single" w:sz="4" w:space="0" w:color="auto"/>
              <w:right w:val="single" w:sz="4" w:space="0" w:color="auto"/>
            </w:tcBorders>
          </w:tcPr>
          <w:p w14:paraId="18942F9A" w14:textId="77777777" w:rsidR="00B15BC0" w:rsidRPr="008E5925" w:rsidRDefault="00B15BC0" w:rsidP="00A90858">
            <w:pPr>
              <w:spacing w:after="60"/>
              <w:jc w:val="right"/>
              <w:rPr>
                <w:rFonts w:cs="Arial"/>
                <w:b/>
                <w:szCs w:val="20"/>
                <w:lang w:eastAsia="en-AU"/>
              </w:rPr>
            </w:pPr>
            <w:r w:rsidRPr="008E5925">
              <w:rPr>
                <w:rFonts w:cs="Arial"/>
                <w:b/>
                <w:bCs/>
                <w:szCs w:val="20"/>
              </w:rPr>
              <w:t>218</w:t>
            </w:r>
          </w:p>
        </w:tc>
      </w:tr>
      <w:tr w:rsidR="00B15BC0" w:rsidRPr="005D104F" w14:paraId="757A4276" w14:textId="77777777" w:rsidTr="00A90858">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0B3C2CB4" w14:textId="77777777" w:rsidR="00B15BC0" w:rsidRPr="005D104F" w:rsidRDefault="00B15BC0" w:rsidP="00A90858">
            <w:pPr>
              <w:spacing w:after="60"/>
              <w:rPr>
                <w:rFonts w:cs="Arial"/>
                <w:szCs w:val="20"/>
                <w:lang w:eastAsia="en-AU"/>
              </w:rPr>
            </w:pPr>
            <w:r w:rsidRPr="005D104F">
              <w:rPr>
                <w:rFonts w:cs="Arial"/>
                <w:szCs w:val="20"/>
                <w:lang w:eastAsia="en-AU"/>
              </w:rPr>
              <w:t>School Attendance</w:t>
            </w:r>
          </w:p>
        </w:tc>
        <w:tc>
          <w:tcPr>
            <w:tcW w:w="992" w:type="dxa"/>
            <w:tcBorders>
              <w:top w:val="nil"/>
              <w:left w:val="nil"/>
              <w:bottom w:val="single" w:sz="4" w:space="0" w:color="auto"/>
              <w:right w:val="single" w:sz="4" w:space="0" w:color="auto"/>
            </w:tcBorders>
            <w:shd w:val="clear" w:color="auto" w:fill="auto"/>
          </w:tcPr>
          <w:p w14:paraId="1E8BA26D" w14:textId="77777777" w:rsidR="00B15BC0" w:rsidRPr="008E5925" w:rsidRDefault="00B15BC0" w:rsidP="00A90858">
            <w:pPr>
              <w:spacing w:after="60"/>
              <w:jc w:val="right"/>
              <w:rPr>
                <w:rFonts w:cs="Arial"/>
                <w:szCs w:val="20"/>
                <w:lang w:eastAsia="en-AU"/>
              </w:rPr>
            </w:pPr>
            <w:r w:rsidRPr="008E5925">
              <w:rPr>
                <w:rFonts w:cs="Arial"/>
                <w:szCs w:val="20"/>
              </w:rPr>
              <w:t>961</w:t>
            </w:r>
          </w:p>
        </w:tc>
        <w:tc>
          <w:tcPr>
            <w:tcW w:w="992" w:type="dxa"/>
            <w:tcBorders>
              <w:top w:val="nil"/>
              <w:left w:val="nil"/>
              <w:bottom w:val="single" w:sz="4" w:space="0" w:color="auto"/>
              <w:right w:val="single" w:sz="4" w:space="0" w:color="auto"/>
            </w:tcBorders>
            <w:shd w:val="clear" w:color="auto" w:fill="auto"/>
          </w:tcPr>
          <w:p w14:paraId="6DE2E971" w14:textId="77777777" w:rsidR="00B15BC0" w:rsidRPr="008E5925" w:rsidRDefault="00B15BC0" w:rsidP="00A90858">
            <w:pPr>
              <w:spacing w:after="60"/>
              <w:jc w:val="right"/>
              <w:rPr>
                <w:rFonts w:cs="Arial"/>
                <w:szCs w:val="20"/>
                <w:lang w:eastAsia="en-AU"/>
              </w:rPr>
            </w:pPr>
            <w:r w:rsidRPr="008E5925">
              <w:rPr>
                <w:rFonts w:cs="Arial"/>
                <w:szCs w:val="20"/>
              </w:rPr>
              <w:t>901</w:t>
            </w:r>
          </w:p>
        </w:tc>
        <w:tc>
          <w:tcPr>
            <w:tcW w:w="992" w:type="dxa"/>
            <w:tcBorders>
              <w:top w:val="nil"/>
              <w:left w:val="nil"/>
              <w:bottom w:val="single" w:sz="4" w:space="0" w:color="auto"/>
              <w:right w:val="single" w:sz="4" w:space="0" w:color="auto"/>
            </w:tcBorders>
            <w:shd w:val="clear" w:color="auto" w:fill="auto"/>
          </w:tcPr>
          <w:p w14:paraId="35227695" w14:textId="77777777" w:rsidR="00B15BC0" w:rsidRPr="008E5925" w:rsidRDefault="00B15BC0" w:rsidP="00A90858">
            <w:pPr>
              <w:spacing w:after="60"/>
              <w:jc w:val="right"/>
              <w:rPr>
                <w:rFonts w:cs="Arial"/>
                <w:szCs w:val="20"/>
                <w:lang w:eastAsia="en-AU"/>
              </w:rPr>
            </w:pPr>
            <w:r w:rsidRPr="008E5925">
              <w:rPr>
                <w:rFonts w:cs="Arial"/>
                <w:szCs w:val="20"/>
              </w:rPr>
              <w:t>813</w:t>
            </w:r>
          </w:p>
        </w:tc>
        <w:tc>
          <w:tcPr>
            <w:tcW w:w="992" w:type="dxa"/>
            <w:tcBorders>
              <w:top w:val="nil"/>
              <w:left w:val="nil"/>
              <w:bottom w:val="single" w:sz="4" w:space="0" w:color="auto"/>
              <w:right w:val="single" w:sz="4" w:space="0" w:color="auto"/>
            </w:tcBorders>
            <w:shd w:val="clear" w:color="auto" w:fill="auto"/>
          </w:tcPr>
          <w:p w14:paraId="062C0694" w14:textId="7FEC95A6" w:rsidR="00B15BC0" w:rsidRPr="008E5925" w:rsidRDefault="00B15BC0" w:rsidP="00A90858">
            <w:pPr>
              <w:spacing w:after="60"/>
              <w:jc w:val="right"/>
              <w:rPr>
                <w:rFonts w:cs="Arial"/>
                <w:szCs w:val="20"/>
                <w:lang w:eastAsia="en-AU"/>
              </w:rPr>
            </w:pPr>
            <w:r w:rsidRPr="008E5925">
              <w:rPr>
                <w:rFonts w:cs="Arial"/>
                <w:szCs w:val="20"/>
              </w:rPr>
              <w:t>99</w:t>
            </w:r>
            <w:r w:rsidR="006218B0">
              <w:rPr>
                <w:rFonts w:cs="Arial"/>
                <w:szCs w:val="20"/>
              </w:rPr>
              <w:t>1</w:t>
            </w:r>
          </w:p>
        </w:tc>
        <w:tc>
          <w:tcPr>
            <w:tcW w:w="992" w:type="dxa"/>
            <w:tcBorders>
              <w:top w:val="nil"/>
              <w:left w:val="nil"/>
              <w:bottom w:val="single" w:sz="4" w:space="0" w:color="auto"/>
              <w:right w:val="single" w:sz="4" w:space="0" w:color="auto"/>
            </w:tcBorders>
          </w:tcPr>
          <w:p w14:paraId="62050413" w14:textId="3235F392" w:rsidR="00B15BC0" w:rsidRPr="008E5925" w:rsidRDefault="00B15BC0" w:rsidP="00A90858">
            <w:pPr>
              <w:spacing w:after="60"/>
              <w:jc w:val="right"/>
              <w:rPr>
                <w:rFonts w:cs="Arial"/>
                <w:b/>
                <w:szCs w:val="20"/>
                <w:lang w:eastAsia="en-AU"/>
              </w:rPr>
            </w:pPr>
            <w:r w:rsidRPr="008E5925">
              <w:rPr>
                <w:rFonts w:cs="Arial"/>
                <w:b/>
                <w:bCs/>
                <w:szCs w:val="20"/>
              </w:rPr>
              <w:t>3,66</w:t>
            </w:r>
            <w:r w:rsidR="006218B0">
              <w:rPr>
                <w:rFonts w:cs="Arial"/>
                <w:b/>
                <w:bCs/>
                <w:szCs w:val="20"/>
              </w:rPr>
              <w:t>6</w:t>
            </w:r>
          </w:p>
        </w:tc>
      </w:tr>
      <w:tr w:rsidR="00B15BC0" w:rsidRPr="005D104F" w14:paraId="7F32C1E8" w14:textId="77777777" w:rsidTr="00A90858">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6E54A8D8" w14:textId="77777777" w:rsidR="00B15BC0" w:rsidRPr="005D104F" w:rsidRDefault="00B15BC0" w:rsidP="00A90858">
            <w:pPr>
              <w:spacing w:after="60"/>
              <w:rPr>
                <w:rFonts w:cs="Arial"/>
                <w:szCs w:val="20"/>
                <w:lang w:eastAsia="en-AU"/>
              </w:rPr>
            </w:pPr>
            <w:r w:rsidRPr="005D104F">
              <w:rPr>
                <w:rFonts w:cs="Arial"/>
                <w:szCs w:val="20"/>
                <w:lang w:eastAsia="en-AU"/>
              </w:rPr>
              <w:t>School Enrolment</w:t>
            </w:r>
          </w:p>
        </w:tc>
        <w:tc>
          <w:tcPr>
            <w:tcW w:w="992" w:type="dxa"/>
            <w:tcBorders>
              <w:top w:val="nil"/>
              <w:left w:val="nil"/>
              <w:bottom w:val="single" w:sz="4" w:space="0" w:color="auto"/>
              <w:right w:val="single" w:sz="4" w:space="0" w:color="auto"/>
            </w:tcBorders>
            <w:shd w:val="clear" w:color="auto" w:fill="auto"/>
          </w:tcPr>
          <w:p w14:paraId="40DE4999" w14:textId="77777777" w:rsidR="00B15BC0" w:rsidRPr="008E5925" w:rsidRDefault="00B15BC0" w:rsidP="00A90858">
            <w:pPr>
              <w:spacing w:after="60"/>
              <w:jc w:val="right"/>
              <w:rPr>
                <w:rFonts w:cs="Arial"/>
                <w:szCs w:val="20"/>
                <w:lang w:eastAsia="en-AU"/>
              </w:rPr>
            </w:pPr>
            <w:r w:rsidRPr="008E5925">
              <w:rPr>
                <w:rFonts w:cs="Arial"/>
                <w:szCs w:val="20"/>
              </w:rPr>
              <w:t>8</w:t>
            </w:r>
          </w:p>
        </w:tc>
        <w:tc>
          <w:tcPr>
            <w:tcW w:w="992" w:type="dxa"/>
            <w:tcBorders>
              <w:top w:val="nil"/>
              <w:left w:val="nil"/>
              <w:bottom w:val="single" w:sz="4" w:space="0" w:color="auto"/>
              <w:right w:val="single" w:sz="4" w:space="0" w:color="auto"/>
            </w:tcBorders>
            <w:shd w:val="clear" w:color="auto" w:fill="auto"/>
          </w:tcPr>
          <w:p w14:paraId="2ABA5869" w14:textId="77777777" w:rsidR="00B15BC0" w:rsidRPr="008E5925" w:rsidRDefault="00B15BC0" w:rsidP="00A90858">
            <w:pPr>
              <w:spacing w:after="60"/>
              <w:jc w:val="right"/>
              <w:rPr>
                <w:rFonts w:cs="Arial"/>
                <w:szCs w:val="20"/>
                <w:lang w:eastAsia="en-AU"/>
              </w:rPr>
            </w:pPr>
            <w:r w:rsidRPr="008E5925">
              <w:rPr>
                <w:rFonts w:cs="Arial"/>
                <w:szCs w:val="20"/>
              </w:rPr>
              <w:t>5</w:t>
            </w:r>
          </w:p>
        </w:tc>
        <w:tc>
          <w:tcPr>
            <w:tcW w:w="992" w:type="dxa"/>
            <w:tcBorders>
              <w:top w:val="nil"/>
              <w:left w:val="nil"/>
              <w:bottom w:val="single" w:sz="4" w:space="0" w:color="auto"/>
              <w:right w:val="single" w:sz="4" w:space="0" w:color="auto"/>
            </w:tcBorders>
            <w:shd w:val="clear" w:color="auto" w:fill="auto"/>
          </w:tcPr>
          <w:p w14:paraId="49DE8837" w14:textId="77777777" w:rsidR="00B15BC0" w:rsidRPr="008E5925" w:rsidRDefault="00B15BC0" w:rsidP="00A90858">
            <w:pPr>
              <w:spacing w:after="60"/>
              <w:jc w:val="right"/>
              <w:rPr>
                <w:rFonts w:cs="Arial"/>
                <w:szCs w:val="20"/>
                <w:lang w:eastAsia="en-AU"/>
              </w:rPr>
            </w:pPr>
            <w:r w:rsidRPr="008E5925">
              <w:rPr>
                <w:rFonts w:cs="Arial"/>
                <w:szCs w:val="20"/>
              </w:rPr>
              <w:t>0</w:t>
            </w:r>
          </w:p>
        </w:tc>
        <w:tc>
          <w:tcPr>
            <w:tcW w:w="992" w:type="dxa"/>
            <w:tcBorders>
              <w:top w:val="nil"/>
              <w:left w:val="nil"/>
              <w:bottom w:val="single" w:sz="4" w:space="0" w:color="auto"/>
              <w:right w:val="single" w:sz="4" w:space="0" w:color="auto"/>
            </w:tcBorders>
            <w:shd w:val="clear" w:color="auto" w:fill="auto"/>
          </w:tcPr>
          <w:p w14:paraId="791C782C" w14:textId="77777777" w:rsidR="00B15BC0" w:rsidRPr="008E5925" w:rsidRDefault="00B15BC0" w:rsidP="00A90858">
            <w:pPr>
              <w:spacing w:after="60"/>
              <w:jc w:val="right"/>
              <w:rPr>
                <w:rFonts w:cs="Arial"/>
                <w:szCs w:val="20"/>
                <w:lang w:eastAsia="en-AU"/>
              </w:rPr>
            </w:pPr>
            <w:r w:rsidRPr="008E5925">
              <w:rPr>
                <w:rFonts w:cs="Arial"/>
                <w:szCs w:val="20"/>
              </w:rPr>
              <w:t>2</w:t>
            </w:r>
          </w:p>
        </w:tc>
        <w:tc>
          <w:tcPr>
            <w:tcW w:w="992" w:type="dxa"/>
            <w:tcBorders>
              <w:top w:val="nil"/>
              <w:left w:val="nil"/>
              <w:bottom w:val="single" w:sz="4" w:space="0" w:color="auto"/>
              <w:right w:val="single" w:sz="4" w:space="0" w:color="auto"/>
            </w:tcBorders>
          </w:tcPr>
          <w:p w14:paraId="543B3A27" w14:textId="77777777" w:rsidR="00B15BC0" w:rsidRPr="008E5925" w:rsidRDefault="00B15BC0" w:rsidP="00A90858">
            <w:pPr>
              <w:spacing w:after="60"/>
              <w:jc w:val="right"/>
              <w:rPr>
                <w:rFonts w:cs="Arial"/>
                <w:b/>
                <w:szCs w:val="20"/>
                <w:lang w:eastAsia="en-AU"/>
              </w:rPr>
            </w:pPr>
            <w:r w:rsidRPr="008E5925">
              <w:rPr>
                <w:rFonts w:cs="Arial"/>
                <w:b/>
                <w:bCs/>
                <w:szCs w:val="20"/>
              </w:rPr>
              <w:t>15</w:t>
            </w:r>
          </w:p>
        </w:tc>
      </w:tr>
      <w:tr w:rsidR="00B15BC0" w:rsidRPr="005D104F" w14:paraId="21AC7B8A" w14:textId="77777777" w:rsidTr="00A90858">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5945D605" w14:textId="77777777" w:rsidR="00B15BC0" w:rsidRPr="005D104F" w:rsidRDefault="00B15BC0" w:rsidP="00A90858">
            <w:pPr>
              <w:spacing w:after="60"/>
              <w:rPr>
                <w:rFonts w:cs="Arial"/>
                <w:szCs w:val="20"/>
                <w:lang w:eastAsia="en-AU"/>
              </w:rPr>
            </w:pPr>
            <w:r w:rsidRPr="005D104F">
              <w:rPr>
                <w:rFonts w:cs="Arial"/>
                <w:szCs w:val="20"/>
                <w:lang w:eastAsia="en-AU"/>
              </w:rPr>
              <w:t>Child Safety and Welfare</w:t>
            </w:r>
          </w:p>
        </w:tc>
        <w:tc>
          <w:tcPr>
            <w:tcW w:w="992" w:type="dxa"/>
            <w:tcBorders>
              <w:top w:val="nil"/>
              <w:left w:val="nil"/>
              <w:bottom w:val="single" w:sz="4" w:space="0" w:color="auto"/>
              <w:right w:val="single" w:sz="4" w:space="0" w:color="auto"/>
            </w:tcBorders>
            <w:shd w:val="clear" w:color="auto" w:fill="auto"/>
          </w:tcPr>
          <w:p w14:paraId="673057A7" w14:textId="77777777" w:rsidR="00B15BC0" w:rsidRPr="008E5925" w:rsidRDefault="00B15BC0" w:rsidP="00A90858">
            <w:pPr>
              <w:spacing w:after="60"/>
              <w:jc w:val="right"/>
              <w:rPr>
                <w:rFonts w:cs="Arial"/>
                <w:szCs w:val="20"/>
                <w:lang w:eastAsia="en-AU"/>
              </w:rPr>
            </w:pPr>
            <w:r w:rsidRPr="008E5925">
              <w:rPr>
                <w:rFonts w:cs="Arial"/>
                <w:szCs w:val="20"/>
              </w:rPr>
              <w:t>48</w:t>
            </w:r>
          </w:p>
        </w:tc>
        <w:tc>
          <w:tcPr>
            <w:tcW w:w="992" w:type="dxa"/>
            <w:tcBorders>
              <w:top w:val="nil"/>
              <w:left w:val="nil"/>
              <w:bottom w:val="single" w:sz="4" w:space="0" w:color="auto"/>
              <w:right w:val="single" w:sz="4" w:space="0" w:color="auto"/>
            </w:tcBorders>
            <w:shd w:val="clear" w:color="auto" w:fill="auto"/>
          </w:tcPr>
          <w:p w14:paraId="449F99B4" w14:textId="77777777" w:rsidR="00B15BC0" w:rsidRPr="008E5925" w:rsidRDefault="00B15BC0" w:rsidP="00A90858">
            <w:pPr>
              <w:spacing w:after="60"/>
              <w:jc w:val="right"/>
              <w:rPr>
                <w:rFonts w:cs="Arial"/>
                <w:szCs w:val="20"/>
                <w:lang w:eastAsia="en-AU"/>
              </w:rPr>
            </w:pPr>
            <w:r w:rsidRPr="008E5925">
              <w:rPr>
                <w:rFonts w:cs="Arial"/>
                <w:szCs w:val="20"/>
              </w:rPr>
              <w:t>37</w:t>
            </w:r>
          </w:p>
        </w:tc>
        <w:tc>
          <w:tcPr>
            <w:tcW w:w="992" w:type="dxa"/>
            <w:tcBorders>
              <w:top w:val="nil"/>
              <w:left w:val="nil"/>
              <w:bottom w:val="single" w:sz="4" w:space="0" w:color="auto"/>
              <w:right w:val="single" w:sz="4" w:space="0" w:color="auto"/>
            </w:tcBorders>
            <w:shd w:val="clear" w:color="auto" w:fill="auto"/>
          </w:tcPr>
          <w:p w14:paraId="39D867C8" w14:textId="77777777" w:rsidR="00B15BC0" w:rsidRPr="008E5925" w:rsidRDefault="00B15BC0" w:rsidP="00A90858">
            <w:pPr>
              <w:spacing w:after="60"/>
              <w:jc w:val="right"/>
              <w:rPr>
                <w:rFonts w:cs="Arial"/>
                <w:szCs w:val="20"/>
                <w:lang w:eastAsia="en-AU"/>
              </w:rPr>
            </w:pPr>
            <w:r w:rsidRPr="008E5925">
              <w:rPr>
                <w:rFonts w:cs="Arial"/>
                <w:szCs w:val="20"/>
              </w:rPr>
              <w:t>34</w:t>
            </w:r>
          </w:p>
        </w:tc>
        <w:tc>
          <w:tcPr>
            <w:tcW w:w="992" w:type="dxa"/>
            <w:tcBorders>
              <w:top w:val="nil"/>
              <w:left w:val="nil"/>
              <w:bottom w:val="single" w:sz="4" w:space="0" w:color="auto"/>
              <w:right w:val="single" w:sz="4" w:space="0" w:color="auto"/>
            </w:tcBorders>
            <w:shd w:val="clear" w:color="auto" w:fill="auto"/>
          </w:tcPr>
          <w:p w14:paraId="3E1231E2" w14:textId="77777777" w:rsidR="00B15BC0" w:rsidRPr="008E5925" w:rsidRDefault="00B15BC0" w:rsidP="00A90858">
            <w:pPr>
              <w:spacing w:after="60"/>
              <w:jc w:val="right"/>
              <w:rPr>
                <w:rFonts w:cs="Arial"/>
                <w:szCs w:val="20"/>
                <w:lang w:eastAsia="en-AU"/>
              </w:rPr>
            </w:pPr>
            <w:r w:rsidRPr="008E5925">
              <w:rPr>
                <w:rFonts w:cs="Arial"/>
                <w:szCs w:val="20"/>
              </w:rPr>
              <w:t>58</w:t>
            </w:r>
          </w:p>
        </w:tc>
        <w:tc>
          <w:tcPr>
            <w:tcW w:w="992" w:type="dxa"/>
            <w:tcBorders>
              <w:top w:val="nil"/>
              <w:left w:val="nil"/>
              <w:bottom w:val="single" w:sz="4" w:space="0" w:color="auto"/>
              <w:right w:val="single" w:sz="4" w:space="0" w:color="auto"/>
            </w:tcBorders>
          </w:tcPr>
          <w:p w14:paraId="5B1076DA" w14:textId="77777777" w:rsidR="00B15BC0" w:rsidRPr="008E5925" w:rsidRDefault="00B15BC0" w:rsidP="00A90858">
            <w:pPr>
              <w:spacing w:after="60"/>
              <w:jc w:val="right"/>
              <w:rPr>
                <w:rFonts w:cs="Arial"/>
                <w:b/>
                <w:szCs w:val="20"/>
                <w:lang w:eastAsia="en-AU"/>
              </w:rPr>
            </w:pPr>
            <w:r w:rsidRPr="008E5925">
              <w:rPr>
                <w:rFonts w:cs="Arial"/>
                <w:b/>
                <w:bCs/>
                <w:szCs w:val="20"/>
              </w:rPr>
              <w:t>177</w:t>
            </w:r>
          </w:p>
        </w:tc>
      </w:tr>
      <w:tr w:rsidR="00B15BC0" w:rsidRPr="005D104F" w14:paraId="17BCB018" w14:textId="77777777" w:rsidTr="00A90858">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710C17A6" w14:textId="77777777" w:rsidR="00B15BC0" w:rsidRPr="005D104F" w:rsidRDefault="00B15BC0" w:rsidP="00A90858">
            <w:pPr>
              <w:spacing w:after="60"/>
              <w:rPr>
                <w:rFonts w:cs="Arial"/>
                <w:szCs w:val="20"/>
                <w:lang w:eastAsia="en-AU"/>
              </w:rPr>
            </w:pPr>
            <w:r w:rsidRPr="005D104F">
              <w:rPr>
                <w:rFonts w:cs="Arial"/>
                <w:szCs w:val="20"/>
                <w:lang w:eastAsia="en-AU"/>
              </w:rPr>
              <w:t>Housing Tenancy</w:t>
            </w:r>
          </w:p>
        </w:tc>
        <w:tc>
          <w:tcPr>
            <w:tcW w:w="992" w:type="dxa"/>
            <w:tcBorders>
              <w:top w:val="nil"/>
              <w:left w:val="nil"/>
              <w:bottom w:val="single" w:sz="4" w:space="0" w:color="auto"/>
              <w:right w:val="single" w:sz="4" w:space="0" w:color="auto"/>
            </w:tcBorders>
            <w:shd w:val="clear" w:color="auto" w:fill="auto"/>
          </w:tcPr>
          <w:p w14:paraId="77F4362F" w14:textId="77777777" w:rsidR="00B15BC0" w:rsidRPr="008E5925" w:rsidRDefault="00B15BC0" w:rsidP="00A90858">
            <w:pPr>
              <w:spacing w:after="60"/>
              <w:jc w:val="right"/>
              <w:rPr>
                <w:rFonts w:cs="Arial"/>
                <w:szCs w:val="20"/>
                <w:lang w:eastAsia="en-AU"/>
              </w:rPr>
            </w:pPr>
            <w:r w:rsidRPr="008E5925">
              <w:rPr>
                <w:rFonts w:cs="Arial"/>
                <w:szCs w:val="20"/>
              </w:rPr>
              <w:t>4</w:t>
            </w:r>
          </w:p>
        </w:tc>
        <w:tc>
          <w:tcPr>
            <w:tcW w:w="992" w:type="dxa"/>
            <w:tcBorders>
              <w:top w:val="nil"/>
              <w:left w:val="nil"/>
              <w:bottom w:val="single" w:sz="4" w:space="0" w:color="auto"/>
              <w:right w:val="single" w:sz="4" w:space="0" w:color="auto"/>
            </w:tcBorders>
            <w:shd w:val="clear" w:color="auto" w:fill="auto"/>
          </w:tcPr>
          <w:p w14:paraId="6ECFA514" w14:textId="77777777" w:rsidR="00B15BC0" w:rsidRPr="008E5925" w:rsidRDefault="00B15BC0" w:rsidP="00A90858">
            <w:pPr>
              <w:spacing w:after="60"/>
              <w:jc w:val="right"/>
              <w:rPr>
                <w:rFonts w:cs="Arial"/>
                <w:szCs w:val="20"/>
                <w:lang w:eastAsia="en-AU"/>
              </w:rPr>
            </w:pPr>
            <w:r w:rsidRPr="008E5925">
              <w:rPr>
                <w:rFonts w:cs="Arial"/>
                <w:szCs w:val="20"/>
              </w:rPr>
              <w:t>4</w:t>
            </w:r>
          </w:p>
        </w:tc>
        <w:tc>
          <w:tcPr>
            <w:tcW w:w="992" w:type="dxa"/>
            <w:tcBorders>
              <w:top w:val="nil"/>
              <w:left w:val="nil"/>
              <w:bottom w:val="single" w:sz="4" w:space="0" w:color="auto"/>
              <w:right w:val="single" w:sz="4" w:space="0" w:color="auto"/>
            </w:tcBorders>
            <w:shd w:val="clear" w:color="auto" w:fill="auto"/>
          </w:tcPr>
          <w:p w14:paraId="2EFCE1C9" w14:textId="77777777" w:rsidR="00B15BC0" w:rsidRPr="008E5925" w:rsidRDefault="00B15BC0" w:rsidP="00A90858">
            <w:pPr>
              <w:spacing w:after="60"/>
              <w:jc w:val="right"/>
              <w:rPr>
                <w:rFonts w:cs="Arial"/>
                <w:szCs w:val="20"/>
                <w:lang w:eastAsia="en-AU"/>
              </w:rPr>
            </w:pPr>
            <w:r w:rsidRPr="008E5925">
              <w:rPr>
                <w:rFonts w:cs="Arial"/>
                <w:szCs w:val="20"/>
              </w:rPr>
              <w:t>0</w:t>
            </w:r>
          </w:p>
        </w:tc>
        <w:tc>
          <w:tcPr>
            <w:tcW w:w="992" w:type="dxa"/>
            <w:tcBorders>
              <w:top w:val="nil"/>
              <w:left w:val="nil"/>
              <w:bottom w:val="single" w:sz="4" w:space="0" w:color="auto"/>
              <w:right w:val="single" w:sz="4" w:space="0" w:color="auto"/>
            </w:tcBorders>
            <w:shd w:val="clear" w:color="auto" w:fill="auto"/>
          </w:tcPr>
          <w:p w14:paraId="366E96B0" w14:textId="77777777" w:rsidR="00B15BC0" w:rsidRPr="008E5925" w:rsidRDefault="00B15BC0" w:rsidP="00A90858">
            <w:pPr>
              <w:spacing w:after="60"/>
              <w:jc w:val="right"/>
              <w:rPr>
                <w:rFonts w:cs="Arial"/>
                <w:szCs w:val="20"/>
                <w:lang w:eastAsia="en-AU"/>
              </w:rPr>
            </w:pPr>
            <w:r w:rsidRPr="008E5925">
              <w:rPr>
                <w:rFonts w:cs="Arial"/>
                <w:szCs w:val="20"/>
              </w:rPr>
              <w:t>5</w:t>
            </w:r>
          </w:p>
        </w:tc>
        <w:tc>
          <w:tcPr>
            <w:tcW w:w="992" w:type="dxa"/>
            <w:tcBorders>
              <w:top w:val="nil"/>
              <w:left w:val="nil"/>
              <w:bottom w:val="single" w:sz="4" w:space="0" w:color="auto"/>
              <w:right w:val="single" w:sz="4" w:space="0" w:color="auto"/>
            </w:tcBorders>
          </w:tcPr>
          <w:p w14:paraId="4B97C065" w14:textId="77777777" w:rsidR="00B15BC0" w:rsidRPr="008E5925" w:rsidRDefault="00B15BC0" w:rsidP="00A90858">
            <w:pPr>
              <w:spacing w:after="60"/>
              <w:jc w:val="right"/>
              <w:rPr>
                <w:rFonts w:cs="Arial"/>
                <w:b/>
                <w:szCs w:val="20"/>
                <w:lang w:eastAsia="en-AU"/>
              </w:rPr>
            </w:pPr>
            <w:r w:rsidRPr="008E5925">
              <w:rPr>
                <w:rFonts w:cs="Arial"/>
                <w:b/>
                <w:bCs/>
                <w:szCs w:val="20"/>
              </w:rPr>
              <w:t>13</w:t>
            </w:r>
          </w:p>
        </w:tc>
      </w:tr>
      <w:tr w:rsidR="00B15BC0" w:rsidRPr="005D104F" w14:paraId="6A6F7B53" w14:textId="77777777" w:rsidTr="00A90858">
        <w:trPr>
          <w:trHeight w:val="255"/>
        </w:trPr>
        <w:tc>
          <w:tcPr>
            <w:tcW w:w="2694" w:type="dxa"/>
            <w:tcBorders>
              <w:top w:val="nil"/>
              <w:left w:val="single" w:sz="4" w:space="0" w:color="auto"/>
              <w:bottom w:val="single" w:sz="4" w:space="0" w:color="auto"/>
              <w:right w:val="single" w:sz="4" w:space="0" w:color="auto"/>
            </w:tcBorders>
            <w:shd w:val="clear" w:color="auto" w:fill="auto"/>
            <w:noWrap/>
            <w:hideMark/>
          </w:tcPr>
          <w:p w14:paraId="3CBC548C" w14:textId="77777777" w:rsidR="00B15BC0" w:rsidRPr="005D104F" w:rsidRDefault="00B15BC0" w:rsidP="00A90858">
            <w:pPr>
              <w:spacing w:after="60"/>
              <w:rPr>
                <w:rFonts w:cs="Arial"/>
                <w:b/>
                <w:bCs/>
                <w:szCs w:val="20"/>
                <w:lang w:eastAsia="en-AU"/>
              </w:rPr>
            </w:pPr>
            <w:r w:rsidRPr="005D104F">
              <w:rPr>
                <w:rFonts w:cs="Arial"/>
                <w:b/>
                <w:bCs/>
                <w:szCs w:val="20"/>
                <w:lang w:eastAsia="en-AU"/>
              </w:rPr>
              <w:t>Total</w:t>
            </w:r>
          </w:p>
        </w:tc>
        <w:tc>
          <w:tcPr>
            <w:tcW w:w="992" w:type="dxa"/>
            <w:tcBorders>
              <w:top w:val="nil"/>
              <w:left w:val="nil"/>
              <w:bottom w:val="single" w:sz="4" w:space="0" w:color="auto"/>
              <w:right w:val="single" w:sz="4" w:space="0" w:color="auto"/>
            </w:tcBorders>
            <w:shd w:val="clear" w:color="auto" w:fill="auto"/>
            <w:noWrap/>
          </w:tcPr>
          <w:p w14:paraId="200451CF" w14:textId="77777777" w:rsidR="00B15BC0" w:rsidRPr="008E5925" w:rsidRDefault="00B15BC0" w:rsidP="00A90858">
            <w:pPr>
              <w:spacing w:after="60"/>
              <w:jc w:val="right"/>
              <w:rPr>
                <w:rFonts w:cs="Arial"/>
                <w:b/>
                <w:bCs/>
                <w:szCs w:val="20"/>
                <w:lang w:eastAsia="en-AU"/>
              </w:rPr>
            </w:pPr>
            <w:r w:rsidRPr="008E5925">
              <w:rPr>
                <w:rFonts w:cs="Arial"/>
                <w:b/>
                <w:bCs/>
                <w:szCs w:val="20"/>
              </w:rPr>
              <w:t>1,532</w:t>
            </w:r>
          </w:p>
        </w:tc>
        <w:tc>
          <w:tcPr>
            <w:tcW w:w="992" w:type="dxa"/>
            <w:tcBorders>
              <w:top w:val="nil"/>
              <w:left w:val="nil"/>
              <w:bottom w:val="single" w:sz="4" w:space="0" w:color="auto"/>
              <w:right w:val="single" w:sz="4" w:space="0" w:color="auto"/>
            </w:tcBorders>
            <w:shd w:val="clear" w:color="auto" w:fill="auto"/>
            <w:noWrap/>
          </w:tcPr>
          <w:p w14:paraId="60C32898" w14:textId="77777777" w:rsidR="00B15BC0" w:rsidRPr="008E5925" w:rsidRDefault="00B15BC0" w:rsidP="00A90858">
            <w:pPr>
              <w:spacing w:after="60"/>
              <w:jc w:val="right"/>
              <w:rPr>
                <w:rFonts w:cs="Arial"/>
                <w:b/>
                <w:bCs/>
                <w:szCs w:val="20"/>
                <w:lang w:eastAsia="en-AU"/>
              </w:rPr>
            </w:pPr>
            <w:r w:rsidRPr="008E5925">
              <w:rPr>
                <w:rFonts w:cs="Arial"/>
                <w:b/>
                <w:bCs/>
                <w:szCs w:val="20"/>
              </w:rPr>
              <w:t>1,425</w:t>
            </w:r>
          </w:p>
        </w:tc>
        <w:tc>
          <w:tcPr>
            <w:tcW w:w="992" w:type="dxa"/>
            <w:tcBorders>
              <w:top w:val="nil"/>
              <w:left w:val="nil"/>
              <w:bottom w:val="single" w:sz="4" w:space="0" w:color="auto"/>
              <w:right w:val="single" w:sz="4" w:space="0" w:color="auto"/>
            </w:tcBorders>
            <w:shd w:val="clear" w:color="auto" w:fill="auto"/>
            <w:noWrap/>
          </w:tcPr>
          <w:p w14:paraId="39F94A7A" w14:textId="77777777" w:rsidR="00B15BC0" w:rsidRPr="008E5925" w:rsidRDefault="00B15BC0" w:rsidP="00A90858">
            <w:pPr>
              <w:spacing w:after="60"/>
              <w:jc w:val="right"/>
              <w:rPr>
                <w:rFonts w:cs="Arial"/>
                <w:b/>
                <w:bCs/>
                <w:szCs w:val="20"/>
                <w:lang w:eastAsia="en-AU"/>
              </w:rPr>
            </w:pPr>
            <w:r w:rsidRPr="008E5925">
              <w:rPr>
                <w:rFonts w:cs="Arial"/>
                <w:b/>
                <w:bCs/>
                <w:szCs w:val="20"/>
              </w:rPr>
              <w:t>1,313</w:t>
            </w:r>
          </w:p>
        </w:tc>
        <w:tc>
          <w:tcPr>
            <w:tcW w:w="992" w:type="dxa"/>
            <w:tcBorders>
              <w:top w:val="nil"/>
              <w:left w:val="nil"/>
              <w:bottom w:val="single" w:sz="4" w:space="0" w:color="auto"/>
              <w:right w:val="single" w:sz="4" w:space="0" w:color="auto"/>
            </w:tcBorders>
            <w:shd w:val="clear" w:color="auto" w:fill="auto"/>
            <w:noWrap/>
          </w:tcPr>
          <w:p w14:paraId="2BAAFC71" w14:textId="2C30A627" w:rsidR="00B15BC0" w:rsidRPr="008E5925" w:rsidRDefault="00B15BC0" w:rsidP="00A90858">
            <w:pPr>
              <w:spacing w:after="60"/>
              <w:jc w:val="right"/>
              <w:rPr>
                <w:rFonts w:cs="Arial"/>
                <w:b/>
                <w:bCs/>
                <w:szCs w:val="20"/>
                <w:lang w:eastAsia="en-AU"/>
              </w:rPr>
            </w:pPr>
            <w:r w:rsidRPr="008E5925">
              <w:rPr>
                <w:rFonts w:cs="Arial"/>
                <w:b/>
                <w:bCs/>
                <w:szCs w:val="20"/>
              </w:rPr>
              <w:t>1,40</w:t>
            </w:r>
            <w:r w:rsidR="006218B0">
              <w:rPr>
                <w:rFonts w:cs="Arial"/>
                <w:b/>
                <w:bCs/>
                <w:szCs w:val="20"/>
              </w:rPr>
              <w:t>0</w:t>
            </w:r>
          </w:p>
        </w:tc>
        <w:tc>
          <w:tcPr>
            <w:tcW w:w="992" w:type="dxa"/>
            <w:tcBorders>
              <w:top w:val="nil"/>
              <w:left w:val="nil"/>
              <w:bottom w:val="single" w:sz="4" w:space="0" w:color="auto"/>
              <w:right w:val="single" w:sz="4" w:space="0" w:color="auto"/>
            </w:tcBorders>
          </w:tcPr>
          <w:p w14:paraId="59A357E3" w14:textId="5ACE0207" w:rsidR="00B15BC0" w:rsidRPr="008E5925" w:rsidRDefault="00B15BC0" w:rsidP="00A90858">
            <w:pPr>
              <w:spacing w:after="60"/>
              <w:jc w:val="right"/>
              <w:rPr>
                <w:rFonts w:cs="Arial"/>
                <w:b/>
                <w:bCs/>
                <w:szCs w:val="20"/>
                <w:lang w:eastAsia="en-AU"/>
              </w:rPr>
            </w:pPr>
            <w:r w:rsidRPr="008E5925">
              <w:rPr>
                <w:rFonts w:cs="Arial"/>
                <w:b/>
                <w:bCs/>
                <w:szCs w:val="20"/>
              </w:rPr>
              <w:t>5,67</w:t>
            </w:r>
            <w:r w:rsidR="006218B0">
              <w:rPr>
                <w:rFonts w:cs="Arial"/>
                <w:b/>
                <w:bCs/>
                <w:szCs w:val="20"/>
              </w:rPr>
              <w:t>0</w:t>
            </w:r>
          </w:p>
        </w:tc>
      </w:tr>
    </w:tbl>
    <w:p w14:paraId="51DB1384" w14:textId="77777777" w:rsidR="00B15BC0" w:rsidRPr="005D104F" w:rsidRDefault="00B15BC0" w:rsidP="00B15BC0">
      <w:pPr>
        <w:spacing w:before="120"/>
      </w:pPr>
      <w:r w:rsidRPr="005D104F">
        <w:rPr>
          <w:rFonts w:ascii="Helvetica" w:hAnsi="Helvetica" w:cs="Helvetica"/>
          <w:b/>
          <w:bCs/>
          <w:sz w:val="17"/>
          <w:szCs w:val="17"/>
          <w:lang w:val="en-US"/>
        </w:rPr>
        <w:t>Table 5:</w:t>
      </w:r>
      <w:r w:rsidRPr="005D104F">
        <w:t xml:space="preserve"> </w:t>
      </w:r>
      <w:r w:rsidRPr="005D104F">
        <w:rPr>
          <w:rFonts w:ascii="Helvetica" w:hAnsi="Helvetica" w:cs="Helvetica"/>
          <w:b/>
          <w:bCs/>
          <w:sz w:val="17"/>
          <w:szCs w:val="17"/>
          <w:lang w:val="en-US"/>
        </w:rPr>
        <w:t>In jurisdiction notices by community and quarter 1 July 201</w:t>
      </w:r>
      <w:r>
        <w:rPr>
          <w:rFonts w:ascii="Helvetica" w:hAnsi="Helvetica" w:cs="Helvetica"/>
          <w:b/>
          <w:bCs/>
          <w:sz w:val="17"/>
          <w:szCs w:val="17"/>
          <w:lang w:val="en-US"/>
        </w:rPr>
        <w:t>8</w:t>
      </w:r>
      <w:r w:rsidRPr="005D104F">
        <w:rPr>
          <w:rFonts w:ascii="Helvetica" w:hAnsi="Helvetica" w:cs="Helvetica"/>
          <w:b/>
          <w:bCs/>
          <w:sz w:val="17"/>
          <w:szCs w:val="17"/>
          <w:lang w:val="en-US"/>
        </w:rPr>
        <w:t xml:space="preserve"> to 30 June 201</w:t>
      </w:r>
      <w:r>
        <w:rPr>
          <w:rFonts w:ascii="Helvetica" w:hAnsi="Helvetica" w:cs="Helvetica"/>
          <w:b/>
          <w:bCs/>
          <w:sz w:val="17"/>
          <w:szCs w:val="17"/>
          <w:lang w:val="en-US"/>
        </w:rPr>
        <w:t>9</w:t>
      </w:r>
      <w:r w:rsidRPr="005D104F">
        <w:rPr>
          <w:rFonts w:ascii="Helvetica" w:hAnsi="Helvetica" w:cs="Helvetica"/>
          <w:b/>
          <w:bCs/>
          <w:sz w:val="17"/>
          <w:szCs w:val="17"/>
          <w:lang w:val="en-US"/>
        </w:rPr>
        <w:t>.</w:t>
      </w:r>
    </w:p>
    <w:tbl>
      <w:tblPr>
        <w:tblW w:w="7656" w:type="dxa"/>
        <w:tblInd w:w="108" w:type="dxa"/>
        <w:tblLook w:val="04A0" w:firstRow="1" w:lastRow="0" w:firstColumn="1" w:lastColumn="0" w:noHBand="0" w:noVBand="1"/>
      </w:tblPr>
      <w:tblGrid>
        <w:gridCol w:w="2694"/>
        <w:gridCol w:w="992"/>
        <w:gridCol w:w="992"/>
        <w:gridCol w:w="992"/>
        <w:gridCol w:w="993"/>
        <w:gridCol w:w="993"/>
      </w:tblGrid>
      <w:tr w:rsidR="00B15BC0" w:rsidRPr="005D104F" w14:paraId="2302BB6E" w14:textId="77777777" w:rsidTr="00A90858">
        <w:trPr>
          <w:trHeight w:val="255"/>
        </w:trPr>
        <w:tc>
          <w:tcPr>
            <w:tcW w:w="2694" w:type="dxa"/>
            <w:tcBorders>
              <w:top w:val="single" w:sz="4" w:space="0" w:color="auto"/>
              <w:left w:val="single" w:sz="4" w:space="0" w:color="auto"/>
              <w:bottom w:val="single" w:sz="4" w:space="0" w:color="auto"/>
              <w:right w:val="single" w:sz="4" w:space="0" w:color="auto"/>
            </w:tcBorders>
            <w:shd w:val="clear" w:color="auto" w:fill="auto"/>
            <w:noWrap/>
            <w:hideMark/>
          </w:tcPr>
          <w:p w14:paraId="5C888C2A" w14:textId="77777777" w:rsidR="00B15BC0" w:rsidRPr="005D104F" w:rsidRDefault="00B15BC0" w:rsidP="00A90858">
            <w:pPr>
              <w:spacing w:after="60"/>
              <w:rPr>
                <w:rFonts w:cs="Arial"/>
                <w:b/>
                <w:bCs/>
                <w:szCs w:val="20"/>
                <w:lang w:eastAsia="en-AU"/>
              </w:rPr>
            </w:pPr>
            <w:r w:rsidRPr="005D104F">
              <w:rPr>
                <w:rFonts w:cs="Arial"/>
                <w:b/>
                <w:bCs/>
                <w:szCs w:val="20"/>
                <w:lang w:eastAsia="en-AU"/>
              </w:rPr>
              <w:t>Community</w:t>
            </w:r>
          </w:p>
        </w:tc>
        <w:tc>
          <w:tcPr>
            <w:tcW w:w="992" w:type="dxa"/>
            <w:tcBorders>
              <w:top w:val="single" w:sz="4" w:space="0" w:color="auto"/>
              <w:left w:val="nil"/>
              <w:bottom w:val="single" w:sz="4" w:space="0" w:color="auto"/>
              <w:right w:val="single" w:sz="4" w:space="0" w:color="auto"/>
            </w:tcBorders>
            <w:shd w:val="clear" w:color="auto" w:fill="auto"/>
            <w:hideMark/>
          </w:tcPr>
          <w:p w14:paraId="7D75FF98" w14:textId="77777777" w:rsidR="00B15BC0" w:rsidRPr="005D104F" w:rsidRDefault="00B15BC0" w:rsidP="00A90858">
            <w:pPr>
              <w:spacing w:after="60"/>
              <w:jc w:val="right"/>
              <w:rPr>
                <w:rFonts w:cs="Arial"/>
                <w:b/>
                <w:bCs/>
                <w:szCs w:val="20"/>
                <w:lang w:eastAsia="en-AU"/>
              </w:rPr>
            </w:pPr>
            <w:proofErr w:type="spellStart"/>
            <w:r w:rsidRPr="005D104F">
              <w:rPr>
                <w:rFonts w:cs="Arial"/>
                <w:b/>
                <w:bCs/>
                <w:szCs w:val="20"/>
                <w:lang w:eastAsia="en-AU"/>
              </w:rPr>
              <w:t>Qtr</w:t>
            </w:r>
            <w:proofErr w:type="spellEnd"/>
            <w:r w:rsidRPr="005D104F">
              <w:rPr>
                <w:rFonts w:cs="Arial"/>
                <w:b/>
                <w:bCs/>
                <w:szCs w:val="20"/>
                <w:lang w:eastAsia="en-AU"/>
              </w:rPr>
              <w:t xml:space="preserve"> </w:t>
            </w:r>
            <w:r>
              <w:rPr>
                <w:rFonts w:cs="Arial"/>
                <w:b/>
                <w:bCs/>
                <w:szCs w:val="20"/>
                <w:lang w:eastAsia="en-AU"/>
              </w:rPr>
              <w:t>41</w:t>
            </w:r>
          </w:p>
        </w:tc>
        <w:tc>
          <w:tcPr>
            <w:tcW w:w="992" w:type="dxa"/>
            <w:tcBorders>
              <w:top w:val="single" w:sz="4" w:space="0" w:color="auto"/>
              <w:left w:val="nil"/>
              <w:bottom w:val="single" w:sz="4" w:space="0" w:color="auto"/>
              <w:right w:val="single" w:sz="4" w:space="0" w:color="auto"/>
            </w:tcBorders>
            <w:shd w:val="clear" w:color="auto" w:fill="auto"/>
            <w:hideMark/>
          </w:tcPr>
          <w:p w14:paraId="32DB7057" w14:textId="77777777" w:rsidR="00B15BC0" w:rsidRPr="005D104F" w:rsidRDefault="00B15BC0" w:rsidP="00A90858">
            <w:pPr>
              <w:spacing w:after="60"/>
              <w:jc w:val="right"/>
              <w:rPr>
                <w:rFonts w:cs="Arial"/>
                <w:b/>
                <w:bCs/>
                <w:szCs w:val="20"/>
                <w:lang w:eastAsia="en-AU"/>
              </w:rPr>
            </w:pPr>
            <w:proofErr w:type="spellStart"/>
            <w:r w:rsidRPr="005D104F">
              <w:rPr>
                <w:rFonts w:cs="Arial"/>
                <w:b/>
                <w:bCs/>
                <w:szCs w:val="20"/>
                <w:lang w:eastAsia="en-AU"/>
              </w:rPr>
              <w:t>Qtr</w:t>
            </w:r>
            <w:proofErr w:type="spellEnd"/>
            <w:r w:rsidRPr="005D104F">
              <w:rPr>
                <w:rFonts w:cs="Arial"/>
                <w:b/>
                <w:bCs/>
                <w:szCs w:val="20"/>
                <w:lang w:eastAsia="en-AU"/>
              </w:rPr>
              <w:t xml:space="preserve"> </w:t>
            </w:r>
            <w:r>
              <w:rPr>
                <w:rFonts w:cs="Arial"/>
                <w:b/>
                <w:bCs/>
                <w:szCs w:val="20"/>
                <w:lang w:eastAsia="en-AU"/>
              </w:rPr>
              <w:t>42</w:t>
            </w:r>
          </w:p>
        </w:tc>
        <w:tc>
          <w:tcPr>
            <w:tcW w:w="992" w:type="dxa"/>
            <w:tcBorders>
              <w:top w:val="single" w:sz="4" w:space="0" w:color="auto"/>
              <w:left w:val="nil"/>
              <w:bottom w:val="single" w:sz="4" w:space="0" w:color="auto"/>
              <w:right w:val="single" w:sz="4" w:space="0" w:color="auto"/>
            </w:tcBorders>
            <w:shd w:val="clear" w:color="auto" w:fill="auto"/>
            <w:hideMark/>
          </w:tcPr>
          <w:p w14:paraId="277198D7" w14:textId="77777777" w:rsidR="00B15BC0" w:rsidRPr="005D104F" w:rsidRDefault="00B15BC0" w:rsidP="00A90858">
            <w:pPr>
              <w:spacing w:after="60"/>
              <w:jc w:val="right"/>
              <w:rPr>
                <w:rFonts w:cs="Arial"/>
                <w:b/>
                <w:bCs/>
                <w:szCs w:val="20"/>
                <w:lang w:eastAsia="en-AU"/>
              </w:rPr>
            </w:pPr>
            <w:proofErr w:type="spellStart"/>
            <w:r w:rsidRPr="005D104F">
              <w:rPr>
                <w:rFonts w:cs="Arial"/>
                <w:b/>
                <w:bCs/>
                <w:szCs w:val="20"/>
                <w:lang w:eastAsia="en-AU"/>
              </w:rPr>
              <w:t>Qtr</w:t>
            </w:r>
            <w:proofErr w:type="spellEnd"/>
            <w:r w:rsidRPr="005D104F">
              <w:rPr>
                <w:rFonts w:cs="Arial"/>
                <w:b/>
                <w:bCs/>
                <w:szCs w:val="20"/>
                <w:lang w:eastAsia="en-AU"/>
              </w:rPr>
              <w:t xml:space="preserve"> </w:t>
            </w:r>
            <w:r>
              <w:rPr>
                <w:rFonts w:cs="Arial"/>
                <w:b/>
                <w:bCs/>
                <w:szCs w:val="20"/>
                <w:lang w:eastAsia="en-AU"/>
              </w:rPr>
              <w:t>43</w:t>
            </w:r>
          </w:p>
        </w:tc>
        <w:tc>
          <w:tcPr>
            <w:tcW w:w="993" w:type="dxa"/>
            <w:tcBorders>
              <w:top w:val="single" w:sz="4" w:space="0" w:color="auto"/>
              <w:left w:val="nil"/>
              <w:bottom w:val="single" w:sz="4" w:space="0" w:color="auto"/>
              <w:right w:val="single" w:sz="4" w:space="0" w:color="auto"/>
            </w:tcBorders>
            <w:shd w:val="clear" w:color="auto" w:fill="auto"/>
            <w:hideMark/>
          </w:tcPr>
          <w:p w14:paraId="4C0144C6" w14:textId="77777777" w:rsidR="00B15BC0" w:rsidRPr="005D104F" w:rsidRDefault="00B15BC0" w:rsidP="00A90858">
            <w:pPr>
              <w:spacing w:after="60"/>
              <w:jc w:val="right"/>
              <w:rPr>
                <w:rFonts w:cs="Arial"/>
                <w:b/>
                <w:bCs/>
                <w:szCs w:val="20"/>
                <w:lang w:eastAsia="en-AU"/>
              </w:rPr>
            </w:pPr>
            <w:proofErr w:type="spellStart"/>
            <w:r w:rsidRPr="005D104F">
              <w:rPr>
                <w:rFonts w:cs="Arial"/>
                <w:b/>
                <w:bCs/>
                <w:szCs w:val="20"/>
                <w:lang w:eastAsia="en-AU"/>
              </w:rPr>
              <w:t>Qtr</w:t>
            </w:r>
            <w:proofErr w:type="spellEnd"/>
            <w:r w:rsidRPr="005D104F">
              <w:rPr>
                <w:rFonts w:cs="Arial"/>
                <w:b/>
                <w:bCs/>
                <w:szCs w:val="20"/>
                <w:lang w:eastAsia="en-AU"/>
              </w:rPr>
              <w:t xml:space="preserve"> </w:t>
            </w:r>
            <w:r>
              <w:rPr>
                <w:rFonts w:cs="Arial"/>
                <w:b/>
                <w:bCs/>
                <w:szCs w:val="20"/>
                <w:lang w:eastAsia="en-AU"/>
              </w:rPr>
              <w:t>44</w:t>
            </w:r>
          </w:p>
        </w:tc>
        <w:tc>
          <w:tcPr>
            <w:tcW w:w="993" w:type="dxa"/>
            <w:tcBorders>
              <w:top w:val="single" w:sz="4" w:space="0" w:color="auto"/>
              <w:left w:val="nil"/>
              <w:bottom w:val="single" w:sz="4" w:space="0" w:color="auto"/>
              <w:right w:val="single" w:sz="4" w:space="0" w:color="auto"/>
            </w:tcBorders>
          </w:tcPr>
          <w:p w14:paraId="67B84382" w14:textId="77777777" w:rsidR="00B15BC0" w:rsidRPr="005D104F" w:rsidRDefault="00B15BC0" w:rsidP="00A90858">
            <w:pPr>
              <w:spacing w:after="60"/>
              <w:jc w:val="right"/>
              <w:rPr>
                <w:rFonts w:cs="Arial"/>
                <w:b/>
                <w:bCs/>
                <w:szCs w:val="20"/>
                <w:lang w:eastAsia="en-AU"/>
              </w:rPr>
            </w:pPr>
            <w:r w:rsidRPr="005D104F">
              <w:rPr>
                <w:rFonts w:cs="Arial"/>
                <w:b/>
                <w:bCs/>
                <w:szCs w:val="20"/>
                <w:lang w:eastAsia="en-AU"/>
              </w:rPr>
              <w:t>Total</w:t>
            </w:r>
          </w:p>
        </w:tc>
      </w:tr>
      <w:tr w:rsidR="00B15BC0" w:rsidRPr="005D104F" w14:paraId="694F032F" w14:textId="77777777" w:rsidTr="00A90858">
        <w:trPr>
          <w:trHeight w:val="255"/>
        </w:trPr>
        <w:tc>
          <w:tcPr>
            <w:tcW w:w="2694" w:type="dxa"/>
            <w:tcBorders>
              <w:top w:val="nil"/>
              <w:left w:val="single" w:sz="4" w:space="0" w:color="auto"/>
              <w:bottom w:val="single" w:sz="4" w:space="0" w:color="auto"/>
              <w:right w:val="single" w:sz="4" w:space="0" w:color="auto"/>
            </w:tcBorders>
            <w:shd w:val="clear" w:color="auto" w:fill="auto"/>
            <w:noWrap/>
            <w:hideMark/>
          </w:tcPr>
          <w:p w14:paraId="3ADD1F56" w14:textId="77777777" w:rsidR="00B15BC0" w:rsidRPr="005D104F" w:rsidRDefault="00B15BC0" w:rsidP="00A90858">
            <w:pPr>
              <w:spacing w:after="60"/>
              <w:rPr>
                <w:rFonts w:cs="Arial"/>
                <w:szCs w:val="20"/>
                <w:lang w:eastAsia="en-AU"/>
              </w:rPr>
            </w:pPr>
            <w:r w:rsidRPr="005D104F">
              <w:rPr>
                <w:rFonts w:cs="Arial"/>
                <w:szCs w:val="20"/>
                <w:lang w:eastAsia="en-AU"/>
              </w:rPr>
              <w:t>Aurukun</w:t>
            </w:r>
          </w:p>
        </w:tc>
        <w:tc>
          <w:tcPr>
            <w:tcW w:w="992" w:type="dxa"/>
            <w:tcBorders>
              <w:top w:val="nil"/>
              <w:left w:val="nil"/>
              <w:bottom w:val="single" w:sz="4" w:space="0" w:color="auto"/>
              <w:right w:val="single" w:sz="4" w:space="0" w:color="auto"/>
            </w:tcBorders>
            <w:shd w:val="clear" w:color="auto" w:fill="auto"/>
          </w:tcPr>
          <w:p w14:paraId="5007FECF" w14:textId="77777777" w:rsidR="00B15BC0" w:rsidRPr="008E5925" w:rsidRDefault="00B15BC0" w:rsidP="00A90858">
            <w:pPr>
              <w:spacing w:after="60"/>
              <w:jc w:val="right"/>
              <w:rPr>
                <w:rFonts w:cs="Arial"/>
                <w:szCs w:val="20"/>
                <w:lang w:eastAsia="en-AU"/>
              </w:rPr>
            </w:pPr>
            <w:r w:rsidRPr="008E5925">
              <w:rPr>
                <w:rFonts w:cs="Arial"/>
                <w:szCs w:val="20"/>
              </w:rPr>
              <w:t>669</w:t>
            </w:r>
          </w:p>
        </w:tc>
        <w:tc>
          <w:tcPr>
            <w:tcW w:w="992" w:type="dxa"/>
            <w:tcBorders>
              <w:top w:val="nil"/>
              <w:left w:val="nil"/>
              <w:bottom w:val="single" w:sz="4" w:space="0" w:color="auto"/>
              <w:right w:val="single" w:sz="4" w:space="0" w:color="auto"/>
            </w:tcBorders>
            <w:shd w:val="clear" w:color="auto" w:fill="auto"/>
          </w:tcPr>
          <w:p w14:paraId="5DC7197F" w14:textId="77777777" w:rsidR="00B15BC0" w:rsidRPr="008E5925" w:rsidRDefault="00B15BC0" w:rsidP="00A90858">
            <w:pPr>
              <w:spacing w:after="60"/>
              <w:jc w:val="right"/>
              <w:rPr>
                <w:rFonts w:cs="Arial"/>
                <w:szCs w:val="20"/>
                <w:lang w:eastAsia="en-AU"/>
              </w:rPr>
            </w:pPr>
            <w:r w:rsidRPr="008E5925">
              <w:rPr>
                <w:rFonts w:cs="Arial"/>
                <w:szCs w:val="20"/>
              </w:rPr>
              <w:t>628</w:t>
            </w:r>
          </w:p>
        </w:tc>
        <w:tc>
          <w:tcPr>
            <w:tcW w:w="992" w:type="dxa"/>
            <w:tcBorders>
              <w:top w:val="nil"/>
              <w:left w:val="nil"/>
              <w:bottom w:val="single" w:sz="4" w:space="0" w:color="auto"/>
              <w:right w:val="single" w:sz="4" w:space="0" w:color="auto"/>
            </w:tcBorders>
            <w:shd w:val="clear" w:color="auto" w:fill="auto"/>
          </w:tcPr>
          <w:p w14:paraId="3A2A1639" w14:textId="77777777" w:rsidR="00B15BC0" w:rsidRPr="008E5925" w:rsidRDefault="00B15BC0" w:rsidP="00A90858">
            <w:pPr>
              <w:spacing w:after="60"/>
              <w:jc w:val="right"/>
              <w:rPr>
                <w:rFonts w:cs="Arial"/>
                <w:szCs w:val="20"/>
                <w:lang w:eastAsia="en-AU"/>
              </w:rPr>
            </w:pPr>
            <w:r w:rsidRPr="008E5925">
              <w:rPr>
                <w:rFonts w:cs="Arial"/>
                <w:szCs w:val="20"/>
              </w:rPr>
              <w:t>622</w:t>
            </w:r>
          </w:p>
        </w:tc>
        <w:tc>
          <w:tcPr>
            <w:tcW w:w="993" w:type="dxa"/>
            <w:tcBorders>
              <w:top w:val="nil"/>
              <w:left w:val="nil"/>
              <w:bottom w:val="single" w:sz="4" w:space="0" w:color="auto"/>
              <w:right w:val="single" w:sz="4" w:space="0" w:color="auto"/>
            </w:tcBorders>
            <w:shd w:val="clear" w:color="auto" w:fill="auto"/>
          </w:tcPr>
          <w:p w14:paraId="7BA3508F" w14:textId="77777777" w:rsidR="00B15BC0" w:rsidRPr="008E5925" w:rsidRDefault="00B15BC0" w:rsidP="00A90858">
            <w:pPr>
              <w:spacing w:after="60"/>
              <w:jc w:val="right"/>
              <w:rPr>
                <w:rFonts w:cs="Arial"/>
                <w:szCs w:val="20"/>
                <w:lang w:eastAsia="en-AU"/>
              </w:rPr>
            </w:pPr>
            <w:r w:rsidRPr="008E5925">
              <w:rPr>
                <w:rFonts w:cs="Arial"/>
                <w:szCs w:val="20"/>
              </w:rPr>
              <w:t>621</w:t>
            </w:r>
          </w:p>
        </w:tc>
        <w:tc>
          <w:tcPr>
            <w:tcW w:w="993" w:type="dxa"/>
            <w:tcBorders>
              <w:top w:val="nil"/>
              <w:left w:val="nil"/>
              <w:bottom w:val="single" w:sz="4" w:space="0" w:color="auto"/>
              <w:right w:val="single" w:sz="4" w:space="0" w:color="auto"/>
            </w:tcBorders>
          </w:tcPr>
          <w:p w14:paraId="43568592" w14:textId="77777777" w:rsidR="00B15BC0" w:rsidRPr="008E5925" w:rsidRDefault="00B15BC0" w:rsidP="00A90858">
            <w:pPr>
              <w:spacing w:after="60"/>
              <w:jc w:val="right"/>
              <w:rPr>
                <w:rFonts w:cs="Arial"/>
                <w:b/>
                <w:szCs w:val="20"/>
                <w:lang w:eastAsia="en-AU"/>
              </w:rPr>
            </w:pPr>
            <w:r w:rsidRPr="008E5925">
              <w:rPr>
                <w:rFonts w:cs="Arial"/>
                <w:b/>
                <w:bCs/>
                <w:szCs w:val="20"/>
              </w:rPr>
              <w:t>2,540</w:t>
            </w:r>
          </w:p>
        </w:tc>
      </w:tr>
      <w:tr w:rsidR="00B15BC0" w:rsidRPr="005D104F" w14:paraId="46C5848B" w14:textId="77777777" w:rsidTr="00A90858">
        <w:trPr>
          <w:trHeight w:val="255"/>
        </w:trPr>
        <w:tc>
          <w:tcPr>
            <w:tcW w:w="2694" w:type="dxa"/>
            <w:tcBorders>
              <w:top w:val="nil"/>
              <w:left w:val="single" w:sz="4" w:space="0" w:color="auto"/>
              <w:bottom w:val="single" w:sz="4" w:space="0" w:color="auto"/>
              <w:right w:val="single" w:sz="4" w:space="0" w:color="auto"/>
            </w:tcBorders>
            <w:shd w:val="clear" w:color="auto" w:fill="auto"/>
            <w:noWrap/>
            <w:hideMark/>
          </w:tcPr>
          <w:p w14:paraId="173A176A" w14:textId="77777777" w:rsidR="00B15BC0" w:rsidRPr="005D104F" w:rsidRDefault="00B15BC0" w:rsidP="00A90858">
            <w:pPr>
              <w:spacing w:after="60"/>
              <w:rPr>
                <w:rFonts w:cs="Arial"/>
                <w:szCs w:val="20"/>
                <w:lang w:eastAsia="en-AU"/>
              </w:rPr>
            </w:pPr>
            <w:r w:rsidRPr="005D104F">
              <w:rPr>
                <w:rFonts w:cs="Arial"/>
                <w:szCs w:val="20"/>
                <w:lang w:eastAsia="en-AU"/>
              </w:rPr>
              <w:t>Coen</w:t>
            </w:r>
          </w:p>
        </w:tc>
        <w:tc>
          <w:tcPr>
            <w:tcW w:w="992" w:type="dxa"/>
            <w:tcBorders>
              <w:top w:val="nil"/>
              <w:left w:val="nil"/>
              <w:bottom w:val="single" w:sz="4" w:space="0" w:color="auto"/>
              <w:right w:val="single" w:sz="4" w:space="0" w:color="auto"/>
            </w:tcBorders>
            <w:shd w:val="clear" w:color="auto" w:fill="auto"/>
          </w:tcPr>
          <w:p w14:paraId="2AA10238" w14:textId="77777777" w:rsidR="00B15BC0" w:rsidRPr="008E5925" w:rsidRDefault="00B15BC0" w:rsidP="00A90858">
            <w:pPr>
              <w:spacing w:after="60"/>
              <w:jc w:val="right"/>
              <w:rPr>
                <w:rFonts w:cs="Arial"/>
                <w:szCs w:val="20"/>
                <w:lang w:eastAsia="en-AU"/>
              </w:rPr>
            </w:pPr>
            <w:r w:rsidRPr="008E5925">
              <w:rPr>
                <w:rFonts w:cs="Arial"/>
                <w:szCs w:val="20"/>
              </w:rPr>
              <w:t>79</w:t>
            </w:r>
          </w:p>
        </w:tc>
        <w:tc>
          <w:tcPr>
            <w:tcW w:w="992" w:type="dxa"/>
            <w:tcBorders>
              <w:top w:val="nil"/>
              <w:left w:val="nil"/>
              <w:bottom w:val="single" w:sz="4" w:space="0" w:color="auto"/>
              <w:right w:val="single" w:sz="4" w:space="0" w:color="auto"/>
            </w:tcBorders>
            <w:shd w:val="clear" w:color="auto" w:fill="auto"/>
          </w:tcPr>
          <w:p w14:paraId="7DDEE778" w14:textId="77777777" w:rsidR="00B15BC0" w:rsidRPr="008E5925" w:rsidRDefault="00B15BC0" w:rsidP="00A90858">
            <w:pPr>
              <w:spacing w:after="60"/>
              <w:jc w:val="right"/>
              <w:rPr>
                <w:rFonts w:cs="Arial"/>
                <w:szCs w:val="20"/>
                <w:lang w:eastAsia="en-AU"/>
              </w:rPr>
            </w:pPr>
            <w:r w:rsidRPr="008E5925">
              <w:rPr>
                <w:rFonts w:cs="Arial"/>
                <w:szCs w:val="20"/>
              </w:rPr>
              <w:t>69</w:t>
            </w:r>
          </w:p>
        </w:tc>
        <w:tc>
          <w:tcPr>
            <w:tcW w:w="992" w:type="dxa"/>
            <w:tcBorders>
              <w:top w:val="nil"/>
              <w:left w:val="nil"/>
              <w:bottom w:val="single" w:sz="4" w:space="0" w:color="auto"/>
              <w:right w:val="single" w:sz="4" w:space="0" w:color="auto"/>
            </w:tcBorders>
            <w:shd w:val="clear" w:color="auto" w:fill="auto"/>
          </w:tcPr>
          <w:p w14:paraId="6B62F195" w14:textId="77777777" w:rsidR="00B15BC0" w:rsidRPr="008E5925" w:rsidRDefault="00B15BC0" w:rsidP="00A90858">
            <w:pPr>
              <w:spacing w:after="60"/>
              <w:jc w:val="right"/>
              <w:rPr>
                <w:rFonts w:cs="Arial"/>
                <w:szCs w:val="20"/>
                <w:lang w:eastAsia="en-AU"/>
              </w:rPr>
            </w:pPr>
            <w:r w:rsidRPr="008E5925">
              <w:rPr>
                <w:rFonts w:cs="Arial"/>
                <w:szCs w:val="20"/>
              </w:rPr>
              <w:t>34</w:t>
            </w:r>
          </w:p>
        </w:tc>
        <w:tc>
          <w:tcPr>
            <w:tcW w:w="993" w:type="dxa"/>
            <w:tcBorders>
              <w:top w:val="nil"/>
              <w:left w:val="nil"/>
              <w:bottom w:val="single" w:sz="4" w:space="0" w:color="auto"/>
              <w:right w:val="single" w:sz="4" w:space="0" w:color="auto"/>
            </w:tcBorders>
            <w:shd w:val="clear" w:color="auto" w:fill="auto"/>
          </w:tcPr>
          <w:p w14:paraId="4DDADF3C" w14:textId="77777777" w:rsidR="00B15BC0" w:rsidRPr="008E5925" w:rsidRDefault="00B15BC0" w:rsidP="00A90858">
            <w:pPr>
              <w:spacing w:after="60"/>
              <w:jc w:val="right"/>
              <w:rPr>
                <w:rFonts w:cs="Arial"/>
                <w:szCs w:val="20"/>
                <w:lang w:eastAsia="en-AU"/>
              </w:rPr>
            </w:pPr>
            <w:r w:rsidRPr="008E5925">
              <w:rPr>
                <w:rFonts w:cs="Arial"/>
                <w:szCs w:val="20"/>
              </w:rPr>
              <w:t>35</w:t>
            </w:r>
          </w:p>
        </w:tc>
        <w:tc>
          <w:tcPr>
            <w:tcW w:w="993" w:type="dxa"/>
            <w:tcBorders>
              <w:top w:val="nil"/>
              <w:left w:val="nil"/>
              <w:bottom w:val="single" w:sz="4" w:space="0" w:color="auto"/>
              <w:right w:val="single" w:sz="4" w:space="0" w:color="auto"/>
            </w:tcBorders>
          </w:tcPr>
          <w:p w14:paraId="60B2CF3F" w14:textId="77777777" w:rsidR="00B15BC0" w:rsidRPr="008E5925" w:rsidRDefault="00B15BC0" w:rsidP="00A90858">
            <w:pPr>
              <w:spacing w:after="60"/>
              <w:jc w:val="right"/>
              <w:rPr>
                <w:rFonts w:cs="Arial"/>
                <w:b/>
                <w:szCs w:val="20"/>
                <w:lang w:eastAsia="en-AU"/>
              </w:rPr>
            </w:pPr>
            <w:r w:rsidRPr="008E5925">
              <w:rPr>
                <w:rFonts w:cs="Arial"/>
                <w:b/>
                <w:bCs/>
                <w:szCs w:val="20"/>
              </w:rPr>
              <w:t>217</w:t>
            </w:r>
          </w:p>
        </w:tc>
      </w:tr>
      <w:tr w:rsidR="00B15BC0" w:rsidRPr="005D104F" w14:paraId="6F825BAA" w14:textId="77777777" w:rsidTr="00A90858">
        <w:trPr>
          <w:trHeight w:val="255"/>
        </w:trPr>
        <w:tc>
          <w:tcPr>
            <w:tcW w:w="2694" w:type="dxa"/>
            <w:tcBorders>
              <w:top w:val="nil"/>
              <w:left w:val="single" w:sz="4" w:space="0" w:color="auto"/>
              <w:bottom w:val="single" w:sz="4" w:space="0" w:color="auto"/>
              <w:right w:val="single" w:sz="4" w:space="0" w:color="auto"/>
            </w:tcBorders>
            <w:shd w:val="clear" w:color="auto" w:fill="auto"/>
            <w:noWrap/>
            <w:hideMark/>
          </w:tcPr>
          <w:p w14:paraId="227AAE7A" w14:textId="77777777" w:rsidR="00B15BC0" w:rsidRPr="005D104F" w:rsidRDefault="00B15BC0" w:rsidP="00A90858">
            <w:pPr>
              <w:spacing w:after="60"/>
              <w:rPr>
                <w:rFonts w:cs="Arial"/>
                <w:szCs w:val="20"/>
                <w:lang w:eastAsia="en-AU"/>
              </w:rPr>
            </w:pPr>
            <w:r w:rsidRPr="005D104F">
              <w:rPr>
                <w:rFonts w:cs="Arial"/>
                <w:szCs w:val="20"/>
                <w:lang w:eastAsia="en-AU"/>
              </w:rPr>
              <w:t>Doomadgee</w:t>
            </w:r>
          </w:p>
        </w:tc>
        <w:tc>
          <w:tcPr>
            <w:tcW w:w="992" w:type="dxa"/>
            <w:tcBorders>
              <w:top w:val="nil"/>
              <w:left w:val="nil"/>
              <w:bottom w:val="single" w:sz="4" w:space="0" w:color="auto"/>
              <w:right w:val="single" w:sz="4" w:space="0" w:color="auto"/>
            </w:tcBorders>
            <w:shd w:val="clear" w:color="auto" w:fill="auto"/>
          </w:tcPr>
          <w:p w14:paraId="578439F6" w14:textId="77777777" w:rsidR="00B15BC0" w:rsidRPr="008E5925" w:rsidRDefault="00B15BC0" w:rsidP="00A90858">
            <w:pPr>
              <w:spacing w:after="60"/>
              <w:jc w:val="right"/>
              <w:rPr>
                <w:rFonts w:cs="Arial"/>
                <w:szCs w:val="20"/>
                <w:lang w:eastAsia="en-AU"/>
              </w:rPr>
            </w:pPr>
            <w:r w:rsidRPr="008E5925">
              <w:rPr>
                <w:rFonts w:cs="Arial"/>
                <w:szCs w:val="20"/>
              </w:rPr>
              <w:t>432</w:t>
            </w:r>
          </w:p>
        </w:tc>
        <w:tc>
          <w:tcPr>
            <w:tcW w:w="992" w:type="dxa"/>
            <w:tcBorders>
              <w:top w:val="nil"/>
              <w:left w:val="nil"/>
              <w:bottom w:val="single" w:sz="4" w:space="0" w:color="auto"/>
              <w:right w:val="single" w:sz="4" w:space="0" w:color="auto"/>
            </w:tcBorders>
            <w:shd w:val="clear" w:color="auto" w:fill="auto"/>
          </w:tcPr>
          <w:p w14:paraId="06B082B0" w14:textId="77777777" w:rsidR="00B15BC0" w:rsidRPr="008E5925" w:rsidRDefault="00B15BC0" w:rsidP="00A90858">
            <w:pPr>
              <w:spacing w:after="60"/>
              <w:jc w:val="right"/>
              <w:rPr>
                <w:rFonts w:cs="Arial"/>
                <w:szCs w:val="20"/>
                <w:lang w:eastAsia="en-AU"/>
              </w:rPr>
            </w:pPr>
            <w:r w:rsidRPr="008E5925">
              <w:rPr>
                <w:rFonts w:cs="Arial"/>
                <w:szCs w:val="20"/>
              </w:rPr>
              <w:t>395</w:t>
            </w:r>
          </w:p>
        </w:tc>
        <w:tc>
          <w:tcPr>
            <w:tcW w:w="992" w:type="dxa"/>
            <w:tcBorders>
              <w:top w:val="nil"/>
              <w:left w:val="nil"/>
              <w:bottom w:val="single" w:sz="4" w:space="0" w:color="auto"/>
              <w:right w:val="single" w:sz="4" w:space="0" w:color="auto"/>
            </w:tcBorders>
            <w:shd w:val="clear" w:color="auto" w:fill="auto"/>
          </w:tcPr>
          <w:p w14:paraId="3C925821" w14:textId="77777777" w:rsidR="00B15BC0" w:rsidRPr="008E5925" w:rsidRDefault="00B15BC0" w:rsidP="00A90858">
            <w:pPr>
              <w:spacing w:after="60"/>
              <w:jc w:val="right"/>
              <w:rPr>
                <w:rFonts w:cs="Arial"/>
                <w:szCs w:val="20"/>
                <w:lang w:eastAsia="en-AU"/>
              </w:rPr>
            </w:pPr>
            <w:r w:rsidRPr="008E5925">
              <w:rPr>
                <w:rFonts w:cs="Arial"/>
                <w:szCs w:val="20"/>
              </w:rPr>
              <w:t>369</w:t>
            </w:r>
          </w:p>
        </w:tc>
        <w:tc>
          <w:tcPr>
            <w:tcW w:w="993" w:type="dxa"/>
            <w:tcBorders>
              <w:top w:val="nil"/>
              <w:left w:val="nil"/>
              <w:bottom w:val="single" w:sz="4" w:space="0" w:color="auto"/>
              <w:right w:val="single" w:sz="4" w:space="0" w:color="auto"/>
            </w:tcBorders>
            <w:shd w:val="clear" w:color="auto" w:fill="auto"/>
          </w:tcPr>
          <w:p w14:paraId="554BBAAF" w14:textId="33F57091" w:rsidR="00B15BC0" w:rsidRPr="008E5925" w:rsidRDefault="00B15BC0" w:rsidP="00A90858">
            <w:pPr>
              <w:spacing w:after="60"/>
              <w:jc w:val="right"/>
              <w:rPr>
                <w:rFonts w:cs="Arial"/>
                <w:szCs w:val="20"/>
                <w:lang w:eastAsia="en-AU"/>
              </w:rPr>
            </w:pPr>
            <w:r w:rsidRPr="008E5925">
              <w:rPr>
                <w:rFonts w:cs="Arial"/>
                <w:szCs w:val="20"/>
              </w:rPr>
              <w:t>3</w:t>
            </w:r>
            <w:r w:rsidR="002F2786">
              <w:rPr>
                <w:rFonts w:cs="Arial"/>
                <w:szCs w:val="20"/>
              </w:rPr>
              <w:t>89</w:t>
            </w:r>
          </w:p>
        </w:tc>
        <w:tc>
          <w:tcPr>
            <w:tcW w:w="993" w:type="dxa"/>
            <w:tcBorders>
              <w:top w:val="nil"/>
              <w:left w:val="nil"/>
              <w:bottom w:val="single" w:sz="4" w:space="0" w:color="auto"/>
              <w:right w:val="single" w:sz="4" w:space="0" w:color="auto"/>
            </w:tcBorders>
          </w:tcPr>
          <w:p w14:paraId="5545BD77" w14:textId="42D67C8E" w:rsidR="00B15BC0" w:rsidRPr="008E5925" w:rsidRDefault="00B15BC0" w:rsidP="00A90858">
            <w:pPr>
              <w:spacing w:after="60"/>
              <w:jc w:val="right"/>
              <w:rPr>
                <w:rFonts w:cs="Arial"/>
                <w:b/>
                <w:szCs w:val="20"/>
                <w:lang w:eastAsia="en-AU"/>
              </w:rPr>
            </w:pPr>
            <w:r w:rsidRPr="008E5925">
              <w:rPr>
                <w:rFonts w:cs="Arial"/>
                <w:b/>
                <w:bCs/>
                <w:szCs w:val="20"/>
              </w:rPr>
              <w:t>1,58</w:t>
            </w:r>
            <w:r w:rsidR="002F2786">
              <w:rPr>
                <w:rFonts w:cs="Arial"/>
                <w:b/>
                <w:bCs/>
                <w:szCs w:val="20"/>
              </w:rPr>
              <w:t>5</w:t>
            </w:r>
          </w:p>
        </w:tc>
      </w:tr>
      <w:tr w:rsidR="00B15BC0" w:rsidRPr="005D104F" w14:paraId="4E2F9E3E" w14:textId="77777777" w:rsidTr="00A90858">
        <w:trPr>
          <w:trHeight w:val="255"/>
        </w:trPr>
        <w:tc>
          <w:tcPr>
            <w:tcW w:w="2694" w:type="dxa"/>
            <w:tcBorders>
              <w:top w:val="nil"/>
              <w:left w:val="single" w:sz="4" w:space="0" w:color="auto"/>
              <w:bottom w:val="single" w:sz="4" w:space="0" w:color="auto"/>
              <w:right w:val="single" w:sz="4" w:space="0" w:color="auto"/>
            </w:tcBorders>
            <w:shd w:val="clear" w:color="auto" w:fill="auto"/>
            <w:noWrap/>
            <w:hideMark/>
          </w:tcPr>
          <w:p w14:paraId="77037600" w14:textId="77777777" w:rsidR="00B15BC0" w:rsidRPr="005D104F" w:rsidRDefault="00B15BC0" w:rsidP="00A90858">
            <w:pPr>
              <w:spacing w:after="60"/>
              <w:rPr>
                <w:rFonts w:cs="Arial"/>
                <w:szCs w:val="20"/>
                <w:lang w:eastAsia="en-AU"/>
              </w:rPr>
            </w:pPr>
            <w:r w:rsidRPr="005D104F">
              <w:rPr>
                <w:rFonts w:cs="Arial"/>
                <w:szCs w:val="20"/>
                <w:lang w:eastAsia="en-AU"/>
              </w:rPr>
              <w:t>Hope Vale</w:t>
            </w:r>
          </w:p>
        </w:tc>
        <w:tc>
          <w:tcPr>
            <w:tcW w:w="992" w:type="dxa"/>
            <w:tcBorders>
              <w:top w:val="nil"/>
              <w:left w:val="nil"/>
              <w:bottom w:val="single" w:sz="4" w:space="0" w:color="auto"/>
              <w:right w:val="single" w:sz="4" w:space="0" w:color="auto"/>
            </w:tcBorders>
            <w:shd w:val="clear" w:color="auto" w:fill="auto"/>
          </w:tcPr>
          <w:p w14:paraId="5AD2D7E8" w14:textId="77777777" w:rsidR="00B15BC0" w:rsidRPr="008E5925" w:rsidRDefault="00B15BC0" w:rsidP="00A90858">
            <w:pPr>
              <w:spacing w:after="60"/>
              <w:jc w:val="right"/>
              <w:rPr>
                <w:rFonts w:cs="Arial"/>
                <w:szCs w:val="20"/>
                <w:lang w:eastAsia="en-AU"/>
              </w:rPr>
            </w:pPr>
            <w:r w:rsidRPr="008E5925">
              <w:rPr>
                <w:rFonts w:cs="Arial"/>
                <w:szCs w:val="20"/>
              </w:rPr>
              <w:t>297</w:t>
            </w:r>
          </w:p>
        </w:tc>
        <w:tc>
          <w:tcPr>
            <w:tcW w:w="992" w:type="dxa"/>
            <w:tcBorders>
              <w:top w:val="nil"/>
              <w:left w:val="nil"/>
              <w:bottom w:val="single" w:sz="4" w:space="0" w:color="auto"/>
              <w:right w:val="single" w:sz="4" w:space="0" w:color="auto"/>
            </w:tcBorders>
            <w:shd w:val="clear" w:color="auto" w:fill="auto"/>
          </w:tcPr>
          <w:p w14:paraId="65B1CD80" w14:textId="77777777" w:rsidR="00B15BC0" w:rsidRPr="008E5925" w:rsidRDefault="00B15BC0" w:rsidP="00A90858">
            <w:pPr>
              <w:spacing w:after="60"/>
              <w:jc w:val="right"/>
              <w:rPr>
                <w:rFonts w:cs="Arial"/>
                <w:szCs w:val="20"/>
                <w:lang w:eastAsia="en-AU"/>
              </w:rPr>
            </w:pPr>
            <w:r w:rsidRPr="008E5925">
              <w:rPr>
                <w:rFonts w:cs="Arial"/>
                <w:szCs w:val="20"/>
              </w:rPr>
              <w:t>268</w:t>
            </w:r>
          </w:p>
        </w:tc>
        <w:tc>
          <w:tcPr>
            <w:tcW w:w="992" w:type="dxa"/>
            <w:tcBorders>
              <w:top w:val="nil"/>
              <w:left w:val="nil"/>
              <w:bottom w:val="single" w:sz="4" w:space="0" w:color="auto"/>
              <w:right w:val="single" w:sz="4" w:space="0" w:color="auto"/>
            </w:tcBorders>
            <w:shd w:val="clear" w:color="auto" w:fill="auto"/>
          </w:tcPr>
          <w:p w14:paraId="712588C1" w14:textId="77777777" w:rsidR="00B15BC0" w:rsidRPr="008E5925" w:rsidRDefault="00B15BC0" w:rsidP="00A90858">
            <w:pPr>
              <w:spacing w:after="60"/>
              <w:jc w:val="right"/>
              <w:rPr>
                <w:rFonts w:cs="Arial"/>
                <w:szCs w:val="20"/>
                <w:lang w:eastAsia="en-AU"/>
              </w:rPr>
            </w:pPr>
            <w:r w:rsidRPr="008E5925">
              <w:rPr>
                <w:rFonts w:cs="Arial"/>
                <w:szCs w:val="20"/>
              </w:rPr>
              <w:t>243</w:t>
            </w:r>
          </w:p>
        </w:tc>
        <w:tc>
          <w:tcPr>
            <w:tcW w:w="993" w:type="dxa"/>
            <w:tcBorders>
              <w:top w:val="nil"/>
              <w:left w:val="nil"/>
              <w:bottom w:val="single" w:sz="4" w:space="0" w:color="auto"/>
              <w:right w:val="single" w:sz="4" w:space="0" w:color="auto"/>
            </w:tcBorders>
            <w:shd w:val="clear" w:color="auto" w:fill="auto"/>
          </w:tcPr>
          <w:p w14:paraId="47FC4B79" w14:textId="77777777" w:rsidR="00B15BC0" w:rsidRPr="008E5925" w:rsidRDefault="00B15BC0" w:rsidP="00A90858">
            <w:pPr>
              <w:spacing w:after="60"/>
              <w:jc w:val="right"/>
              <w:rPr>
                <w:rFonts w:cs="Arial"/>
                <w:szCs w:val="20"/>
                <w:lang w:eastAsia="en-AU"/>
              </w:rPr>
            </w:pPr>
            <w:r w:rsidRPr="008E5925">
              <w:rPr>
                <w:rFonts w:cs="Arial"/>
                <w:szCs w:val="20"/>
              </w:rPr>
              <w:t>312</w:t>
            </w:r>
          </w:p>
        </w:tc>
        <w:tc>
          <w:tcPr>
            <w:tcW w:w="993" w:type="dxa"/>
            <w:tcBorders>
              <w:top w:val="nil"/>
              <w:left w:val="nil"/>
              <w:bottom w:val="single" w:sz="4" w:space="0" w:color="auto"/>
              <w:right w:val="single" w:sz="4" w:space="0" w:color="auto"/>
            </w:tcBorders>
          </w:tcPr>
          <w:p w14:paraId="34E8486F" w14:textId="77777777" w:rsidR="00B15BC0" w:rsidRPr="008E5925" w:rsidRDefault="00B15BC0" w:rsidP="00A90858">
            <w:pPr>
              <w:spacing w:after="60"/>
              <w:jc w:val="right"/>
              <w:rPr>
                <w:rFonts w:cs="Arial"/>
                <w:b/>
                <w:szCs w:val="20"/>
                <w:lang w:eastAsia="en-AU"/>
              </w:rPr>
            </w:pPr>
            <w:r w:rsidRPr="008E5925">
              <w:rPr>
                <w:rFonts w:cs="Arial"/>
                <w:b/>
                <w:bCs/>
                <w:szCs w:val="20"/>
              </w:rPr>
              <w:t>1,120</w:t>
            </w:r>
          </w:p>
        </w:tc>
      </w:tr>
      <w:tr w:rsidR="00B15BC0" w:rsidRPr="005D104F" w14:paraId="1CAB3DEE" w14:textId="77777777" w:rsidTr="00A90858">
        <w:trPr>
          <w:trHeight w:val="255"/>
        </w:trPr>
        <w:tc>
          <w:tcPr>
            <w:tcW w:w="2694" w:type="dxa"/>
            <w:tcBorders>
              <w:top w:val="nil"/>
              <w:left w:val="single" w:sz="4" w:space="0" w:color="auto"/>
              <w:bottom w:val="single" w:sz="4" w:space="0" w:color="auto"/>
              <w:right w:val="single" w:sz="4" w:space="0" w:color="auto"/>
            </w:tcBorders>
            <w:shd w:val="clear" w:color="auto" w:fill="auto"/>
            <w:noWrap/>
            <w:hideMark/>
          </w:tcPr>
          <w:p w14:paraId="13D69B26" w14:textId="77777777" w:rsidR="00B15BC0" w:rsidRPr="005D104F" w:rsidRDefault="00B15BC0" w:rsidP="00A90858">
            <w:pPr>
              <w:spacing w:after="60"/>
              <w:rPr>
                <w:rFonts w:cs="Arial"/>
                <w:szCs w:val="20"/>
                <w:lang w:eastAsia="en-AU"/>
              </w:rPr>
            </w:pPr>
            <w:r w:rsidRPr="005D104F">
              <w:rPr>
                <w:rFonts w:cs="Arial"/>
                <w:szCs w:val="20"/>
                <w:lang w:eastAsia="en-AU"/>
              </w:rPr>
              <w:t>Mossman Gorge</w:t>
            </w:r>
          </w:p>
        </w:tc>
        <w:tc>
          <w:tcPr>
            <w:tcW w:w="992" w:type="dxa"/>
            <w:tcBorders>
              <w:top w:val="nil"/>
              <w:left w:val="nil"/>
              <w:bottom w:val="single" w:sz="4" w:space="0" w:color="auto"/>
              <w:right w:val="single" w:sz="4" w:space="0" w:color="auto"/>
            </w:tcBorders>
            <w:shd w:val="clear" w:color="auto" w:fill="auto"/>
          </w:tcPr>
          <w:p w14:paraId="2B0AC67D" w14:textId="77777777" w:rsidR="00B15BC0" w:rsidRPr="008E5925" w:rsidRDefault="00B15BC0" w:rsidP="00A90858">
            <w:pPr>
              <w:spacing w:after="60"/>
              <w:jc w:val="right"/>
              <w:rPr>
                <w:rFonts w:cs="Arial"/>
                <w:szCs w:val="20"/>
                <w:lang w:eastAsia="en-AU"/>
              </w:rPr>
            </w:pPr>
            <w:r w:rsidRPr="008E5925">
              <w:rPr>
                <w:rFonts w:cs="Arial"/>
                <w:szCs w:val="20"/>
              </w:rPr>
              <w:t>55</w:t>
            </w:r>
          </w:p>
        </w:tc>
        <w:tc>
          <w:tcPr>
            <w:tcW w:w="992" w:type="dxa"/>
            <w:tcBorders>
              <w:top w:val="nil"/>
              <w:left w:val="nil"/>
              <w:bottom w:val="single" w:sz="4" w:space="0" w:color="auto"/>
              <w:right w:val="single" w:sz="4" w:space="0" w:color="auto"/>
            </w:tcBorders>
            <w:shd w:val="clear" w:color="auto" w:fill="auto"/>
          </w:tcPr>
          <w:p w14:paraId="576D8067" w14:textId="77777777" w:rsidR="00B15BC0" w:rsidRPr="008E5925" w:rsidRDefault="00B15BC0" w:rsidP="00A90858">
            <w:pPr>
              <w:spacing w:after="60"/>
              <w:jc w:val="right"/>
              <w:rPr>
                <w:rFonts w:cs="Arial"/>
                <w:szCs w:val="20"/>
                <w:lang w:eastAsia="en-AU"/>
              </w:rPr>
            </w:pPr>
            <w:r w:rsidRPr="008E5925">
              <w:rPr>
                <w:rFonts w:cs="Arial"/>
                <w:szCs w:val="20"/>
              </w:rPr>
              <w:t>65</w:t>
            </w:r>
          </w:p>
        </w:tc>
        <w:tc>
          <w:tcPr>
            <w:tcW w:w="992" w:type="dxa"/>
            <w:tcBorders>
              <w:top w:val="nil"/>
              <w:left w:val="nil"/>
              <w:bottom w:val="single" w:sz="4" w:space="0" w:color="auto"/>
              <w:right w:val="single" w:sz="4" w:space="0" w:color="auto"/>
            </w:tcBorders>
            <w:shd w:val="clear" w:color="auto" w:fill="auto"/>
          </w:tcPr>
          <w:p w14:paraId="1EE3C4D7" w14:textId="77777777" w:rsidR="00B15BC0" w:rsidRPr="008E5925" w:rsidRDefault="00B15BC0" w:rsidP="00A90858">
            <w:pPr>
              <w:spacing w:after="60"/>
              <w:jc w:val="right"/>
              <w:rPr>
                <w:rFonts w:cs="Arial"/>
                <w:szCs w:val="20"/>
                <w:lang w:eastAsia="en-AU"/>
              </w:rPr>
            </w:pPr>
            <w:r w:rsidRPr="008E5925">
              <w:rPr>
                <w:rFonts w:cs="Arial"/>
                <w:szCs w:val="20"/>
              </w:rPr>
              <w:t>45</w:t>
            </w:r>
          </w:p>
        </w:tc>
        <w:tc>
          <w:tcPr>
            <w:tcW w:w="993" w:type="dxa"/>
            <w:tcBorders>
              <w:top w:val="nil"/>
              <w:left w:val="nil"/>
              <w:bottom w:val="single" w:sz="4" w:space="0" w:color="auto"/>
              <w:right w:val="single" w:sz="4" w:space="0" w:color="auto"/>
            </w:tcBorders>
            <w:shd w:val="clear" w:color="auto" w:fill="auto"/>
          </w:tcPr>
          <w:p w14:paraId="23032248" w14:textId="77777777" w:rsidR="00B15BC0" w:rsidRPr="008E5925" w:rsidRDefault="00B15BC0" w:rsidP="00A90858">
            <w:pPr>
              <w:spacing w:after="60"/>
              <w:jc w:val="right"/>
              <w:rPr>
                <w:rFonts w:cs="Arial"/>
                <w:szCs w:val="20"/>
                <w:lang w:eastAsia="en-AU"/>
              </w:rPr>
            </w:pPr>
            <w:r w:rsidRPr="008E5925">
              <w:rPr>
                <w:rFonts w:cs="Arial"/>
                <w:szCs w:val="20"/>
              </w:rPr>
              <w:t>43</w:t>
            </w:r>
          </w:p>
        </w:tc>
        <w:tc>
          <w:tcPr>
            <w:tcW w:w="993" w:type="dxa"/>
            <w:tcBorders>
              <w:top w:val="nil"/>
              <w:left w:val="nil"/>
              <w:bottom w:val="single" w:sz="4" w:space="0" w:color="auto"/>
              <w:right w:val="single" w:sz="4" w:space="0" w:color="auto"/>
            </w:tcBorders>
          </w:tcPr>
          <w:p w14:paraId="4A46E425" w14:textId="77777777" w:rsidR="00B15BC0" w:rsidRPr="008E5925" w:rsidRDefault="00B15BC0" w:rsidP="00A90858">
            <w:pPr>
              <w:spacing w:after="60"/>
              <w:jc w:val="right"/>
              <w:rPr>
                <w:rFonts w:cs="Arial"/>
                <w:b/>
                <w:szCs w:val="20"/>
                <w:lang w:eastAsia="en-AU"/>
              </w:rPr>
            </w:pPr>
            <w:r w:rsidRPr="008E5925">
              <w:rPr>
                <w:rFonts w:cs="Arial"/>
                <w:b/>
                <w:bCs/>
                <w:szCs w:val="20"/>
              </w:rPr>
              <w:t>208</w:t>
            </w:r>
          </w:p>
        </w:tc>
      </w:tr>
      <w:tr w:rsidR="00B15BC0" w:rsidRPr="005D104F" w14:paraId="6B15D0E9" w14:textId="77777777" w:rsidTr="00A90858">
        <w:trPr>
          <w:trHeight w:val="255"/>
        </w:trPr>
        <w:tc>
          <w:tcPr>
            <w:tcW w:w="2694" w:type="dxa"/>
            <w:tcBorders>
              <w:top w:val="nil"/>
              <w:left w:val="single" w:sz="4" w:space="0" w:color="auto"/>
              <w:bottom w:val="single" w:sz="4" w:space="0" w:color="auto"/>
              <w:right w:val="single" w:sz="4" w:space="0" w:color="auto"/>
            </w:tcBorders>
            <w:shd w:val="clear" w:color="auto" w:fill="auto"/>
            <w:noWrap/>
            <w:hideMark/>
          </w:tcPr>
          <w:p w14:paraId="707388CF" w14:textId="77777777" w:rsidR="00B15BC0" w:rsidRPr="005D104F" w:rsidRDefault="00B15BC0" w:rsidP="00A90858">
            <w:pPr>
              <w:spacing w:after="60"/>
              <w:rPr>
                <w:rFonts w:cs="Arial"/>
                <w:b/>
                <w:bCs/>
                <w:szCs w:val="20"/>
                <w:lang w:eastAsia="en-AU"/>
              </w:rPr>
            </w:pPr>
            <w:r w:rsidRPr="005D104F">
              <w:rPr>
                <w:rFonts w:cs="Arial"/>
                <w:b/>
                <w:bCs/>
                <w:szCs w:val="20"/>
                <w:lang w:eastAsia="en-AU"/>
              </w:rPr>
              <w:t>Total</w:t>
            </w:r>
          </w:p>
        </w:tc>
        <w:tc>
          <w:tcPr>
            <w:tcW w:w="992" w:type="dxa"/>
            <w:tcBorders>
              <w:top w:val="nil"/>
              <w:left w:val="nil"/>
              <w:bottom w:val="single" w:sz="4" w:space="0" w:color="auto"/>
              <w:right w:val="single" w:sz="4" w:space="0" w:color="auto"/>
            </w:tcBorders>
            <w:shd w:val="clear" w:color="auto" w:fill="auto"/>
            <w:noWrap/>
          </w:tcPr>
          <w:p w14:paraId="1B5453A1" w14:textId="77777777" w:rsidR="00B15BC0" w:rsidRPr="008E5925" w:rsidRDefault="00B15BC0" w:rsidP="00A90858">
            <w:pPr>
              <w:spacing w:after="60"/>
              <w:jc w:val="right"/>
              <w:rPr>
                <w:rFonts w:cs="Arial"/>
                <w:b/>
                <w:bCs/>
                <w:szCs w:val="20"/>
                <w:lang w:eastAsia="en-AU"/>
              </w:rPr>
            </w:pPr>
            <w:r w:rsidRPr="008E5925">
              <w:rPr>
                <w:rFonts w:cs="Arial"/>
                <w:b/>
                <w:bCs/>
                <w:szCs w:val="20"/>
              </w:rPr>
              <w:t>1,532</w:t>
            </w:r>
          </w:p>
        </w:tc>
        <w:tc>
          <w:tcPr>
            <w:tcW w:w="992" w:type="dxa"/>
            <w:tcBorders>
              <w:top w:val="nil"/>
              <w:left w:val="nil"/>
              <w:bottom w:val="single" w:sz="4" w:space="0" w:color="auto"/>
              <w:right w:val="single" w:sz="4" w:space="0" w:color="auto"/>
            </w:tcBorders>
            <w:shd w:val="clear" w:color="auto" w:fill="auto"/>
            <w:noWrap/>
          </w:tcPr>
          <w:p w14:paraId="0D1906A8" w14:textId="77777777" w:rsidR="00B15BC0" w:rsidRPr="008E5925" w:rsidRDefault="00B15BC0" w:rsidP="00A90858">
            <w:pPr>
              <w:spacing w:after="60"/>
              <w:jc w:val="right"/>
              <w:rPr>
                <w:rFonts w:cs="Arial"/>
                <w:b/>
                <w:bCs/>
                <w:szCs w:val="20"/>
                <w:lang w:eastAsia="en-AU"/>
              </w:rPr>
            </w:pPr>
            <w:r w:rsidRPr="008E5925">
              <w:rPr>
                <w:rFonts w:cs="Arial"/>
                <w:b/>
                <w:bCs/>
                <w:szCs w:val="20"/>
              </w:rPr>
              <w:t>1,425</w:t>
            </w:r>
          </w:p>
        </w:tc>
        <w:tc>
          <w:tcPr>
            <w:tcW w:w="992" w:type="dxa"/>
            <w:tcBorders>
              <w:top w:val="nil"/>
              <w:left w:val="nil"/>
              <w:bottom w:val="single" w:sz="4" w:space="0" w:color="auto"/>
              <w:right w:val="single" w:sz="4" w:space="0" w:color="auto"/>
            </w:tcBorders>
            <w:shd w:val="clear" w:color="auto" w:fill="auto"/>
            <w:noWrap/>
          </w:tcPr>
          <w:p w14:paraId="1421133B" w14:textId="77777777" w:rsidR="00B15BC0" w:rsidRPr="008E5925" w:rsidRDefault="00B15BC0" w:rsidP="00A90858">
            <w:pPr>
              <w:spacing w:after="60"/>
              <w:jc w:val="right"/>
              <w:rPr>
                <w:rFonts w:cs="Arial"/>
                <w:b/>
                <w:bCs/>
                <w:szCs w:val="20"/>
                <w:lang w:eastAsia="en-AU"/>
              </w:rPr>
            </w:pPr>
            <w:r w:rsidRPr="008E5925">
              <w:rPr>
                <w:rFonts w:cs="Arial"/>
                <w:b/>
                <w:bCs/>
                <w:szCs w:val="20"/>
              </w:rPr>
              <w:t>1,313</w:t>
            </w:r>
          </w:p>
        </w:tc>
        <w:tc>
          <w:tcPr>
            <w:tcW w:w="993" w:type="dxa"/>
            <w:tcBorders>
              <w:top w:val="nil"/>
              <w:left w:val="nil"/>
              <w:bottom w:val="single" w:sz="4" w:space="0" w:color="auto"/>
              <w:right w:val="single" w:sz="4" w:space="0" w:color="auto"/>
            </w:tcBorders>
            <w:shd w:val="clear" w:color="auto" w:fill="auto"/>
            <w:noWrap/>
          </w:tcPr>
          <w:p w14:paraId="53EB7AC0" w14:textId="7EB52868" w:rsidR="00B15BC0" w:rsidRPr="008E5925" w:rsidRDefault="00B15BC0" w:rsidP="00A90858">
            <w:pPr>
              <w:spacing w:after="60"/>
              <w:jc w:val="right"/>
              <w:rPr>
                <w:rFonts w:cs="Arial"/>
                <w:b/>
                <w:bCs/>
                <w:szCs w:val="20"/>
                <w:lang w:eastAsia="en-AU"/>
              </w:rPr>
            </w:pPr>
            <w:r w:rsidRPr="008E5925">
              <w:rPr>
                <w:rFonts w:cs="Arial"/>
                <w:b/>
                <w:bCs/>
                <w:szCs w:val="20"/>
              </w:rPr>
              <w:t>1,40</w:t>
            </w:r>
            <w:r w:rsidR="002F2786">
              <w:rPr>
                <w:rFonts w:cs="Arial"/>
                <w:b/>
                <w:bCs/>
                <w:szCs w:val="20"/>
              </w:rPr>
              <w:t>0</w:t>
            </w:r>
          </w:p>
        </w:tc>
        <w:tc>
          <w:tcPr>
            <w:tcW w:w="993" w:type="dxa"/>
            <w:tcBorders>
              <w:top w:val="nil"/>
              <w:left w:val="nil"/>
              <w:bottom w:val="single" w:sz="4" w:space="0" w:color="auto"/>
              <w:right w:val="single" w:sz="4" w:space="0" w:color="auto"/>
            </w:tcBorders>
          </w:tcPr>
          <w:p w14:paraId="0BD0FA0F" w14:textId="64BE9709" w:rsidR="00B15BC0" w:rsidRPr="008E5925" w:rsidRDefault="00B15BC0" w:rsidP="00A90858">
            <w:pPr>
              <w:spacing w:after="60"/>
              <w:jc w:val="right"/>
              <w:rPr>
                <w:rFonts w:cs="Arial"/>
                <w:b/>
                <w:bCs/>
                <w:szCs w:val="20"/>
                <w:lang w:eastAsia="en-AU"/>
              </w:rPr>
            </w:pPr>
            <w:r w:rsidRPr="008E5925">
              <w:rPr>
                <w:rFonts w:cs="Arial"/>
                <w:b/>
                <w:bCs/>
                <w:szCs w:val="20"/>
              </w:rPr>
              <w:t>5,67</w:t>
            </w:r>
            <w:r w:rsidR="002F2786">
              <w:rPr>
                <w:rFonts w:cs="Arial"/>
                <w:b/>
                <w:bCs/>
                <w:szCs w:val="20"/>
              </w:rPr>
              <w:t>0</w:t>
            </w:r>
          </w:p>
        </w:tc>
      </w:tr>
    </w:tbl>
    <w:p w14:paraId="039DE2C3" w14:textId="77777777" w:rsidR="00582209" w:rsidRDefault="00582209" w:rsidP="00582209"/>
    <w:p w14:paraId="7624529C" w14:textId="32A87504" w:rsidR="00B15BC0" w:rsidRPr="008E5925" w:rsidRDefault="00B15BC0" w:rsidP="00E37C4C">
      <w:pPr>
        <w:pStyle w:val="Heading3"/>
      </w:pPr>
      <w:r w:rsidRPr="008E5925">
        <w:t>Notices not within jurisdiction</w:t>
      </w:r>
    </w:p>
    <w:p w14:paraId="6A821C69" w14:textId="77777777" w:rsidR="00B15BC0" w:rsidRPr="005D104F" w:rsidRDefault="00B15BC0" w:rsidP="00B15BC0">
      <w:r w:rsidRPr="005D104F">
        <w:t xml:space="preserve">The Commission also received </w:t>
      </w:r>
      <w:r w:rsidRPr="0088147B">
        <w:t>2,361</w:t>
      </w:r>
      <w:r w:rsidRPr="005D104F">
        <w:t xml:space="preserve"> notices which were not within jurisdiction, comprising:</w:t>
      </w:r>
    </w:p>
    <w:p w14:paraId="1C88DE29" w14:textId="77777777" w:rsidR="00B15BC0" w:rsidRPr="005D104F" w:rsidRDefault="00B15BC0" w:rsidP="00B15BC0">
      <w:pPr>
        <w:widowControl w:val="0"/>
        <w:autoSpaceDE w:val="0"/>
        <w:autoSpaceDN w:val="0"/>
        <w:adjustRightInd w:val="0"/>
        <w:rPr>
          <w:rFonts w:ascii="Helvetica" w:hAnsi="Helvetica" w:cs="Helvetica"/>
          <w:b/>
          <w:bCs/>
          <w:sz w:val="17"/>
          <w:szCs w:val="17"/>
          <w:lang w:val="en-US"/>
        </w:rPr>
      </w:pPr>
      <w:r w:rsidRPr="005D104F">
        <w:rPr>
          <w:rFonts w:ascii="Helvetica" w:hAnsi="Helvetica" w:cs="Helvetica"/>
          <w:b/>
          <w:bCs/>
          <w:sz w:val="17"/>
          <w:szCs w:val="17"/>
          <w:lang w:val="en-US"/>
        </w:rPr>
        <w:t>Table 6: Not within jurisdiction notices by type and community 1 July 201</w:t>
      </w:r>
      <w:r>
        <w:rPr>
          <w:rFonts w:ascii="Helvetica" w:hAnsi="Helvetica" w:cs="Helvetica"/>
          <w:b/>
          <w:bCs/>
          <w:sz w:val="17"/>
          <w:szCs w:val="17"/>
          <w:lang w:val="en-US"/>
        </w:rPr>
        <w:t>8</w:t>
      </w:r>
      <w:r w:rsidRPr="005D104F">
        <w:rPr>
          <w:rFonts w:ascii="Helvetica" w:hAnsi="Helvetica" w:cs="Helvetica"/>
          <w:b/>
          <w:bCs/>
          <w:sz w:val="17"/>
          <w:szCs w:val="17"/>
          <w:lang w:val="en-US"/>
        </w:rPr>
        <w:t xml:space="preserve"> to 30 June 201</w:t>
      </w:r>
      <w:r>
        <w:rPr>
          <w:rFonts w:ascii="Helvetica" w:hAnsi="Helvetica" w:cs="Helvetica"/>
          <w:b/>
          <w:bCs/>
          <w:sz w:val="17"/>
          <w:szCs w:val="17"/>
          <w:lang w:val="en-US"/>
        </w:rPr>
        <w:t>9</w:t>
      </w:r>
      <w:r w:rsidRPr="005D104F">
        <w:rPr>
          <w:rFonts w:ascii="Helvetica" w:hAnsi="Helvetica" w:cs="Helvetica"/>
          <w:b/>
          <w:bCs/>
          <w:sz w:val="17"/>
          <w:szCs w:val="17"/>
          <w:lang w:val="en-US"/>
        </w:rPr>
        <w:t>.</w:t>
      </w:r>
    </w:p>
    <w:tbl>
      <w:tblPr>
        <w:tblW w:w="8222" w:type="dxa"/>
        <w:tblInd w:w="108" w:type="dxa"/>
        <w:tblLook w:val="04A0" w:firstRow="1" w:lastRow="0" w:firstColumn="1" w:lastColumn="0" w:noHBand="0" w:noVBand="1"/>
      </w:tblPr>
      <w:tblGrid>
        <w:gridCol w:w="2683"/>
        <w:gridCol w:w="942"/>
        <w:gridCol w:w="939"/>
        <w:gridCol w:w="823"/>
        <w:gridCol w:w="992"/>
        <w:gridCol w:w="851"/>
        <w:gridCol w:w="992"/>
      </w:tblGrid>
      <w:tr w:rsidR="00B15BC0" w:rsidRPr="005D104F" w14:paraId="00C6E7E5" w14:textId="77777777" w:rsidTr="00A90858">
        <w:trPr>
          <w:trHeight w:val="284"/>
        </w:trPr>
        <w:tc>
          <w:tcPr>
            <w:tcW w:w="2683" w:type="dxa"/>
            <w:tcBorders>
              <w:top w:val="single" w:sz="4" w:space="0" w:color="auto"/>
              <w:left w:val="single" w:sz="4" w:space="0" w:color="auto"/>
              <w:bottom w:val="single" w:sz="4" w:space="0" w:color="auto"/>
              <w:right w:val="single" w:sz="4" w:space="0" w:color="auto"/>
            </w:tcBorders>
            <w:shd w:val="clear" w:color="auto" w:fill="auto"/>
            <w:hideMark/>
          </w:tcPr>
          <w:p w14:paraId="49BF8198" w14:textId="77777777" w:rsidR="00B15BC0" w:rsidRPr="005D104F" w:rsidRDefault="00B15BC0" w:rsidP="00A90858">
            <w:pPr>
              <w:spacing w:after="60"/>
              <w:rPr>
                <w:rFonts w:cs="Arial"/>
                <w:b/>
                <w:bCs/>
                <w:szCs w:val="20"/>
                <w:lang w:eastAsia="en-AU"/>
              </w:rPr>
            </w:pPr>
            <w:r w:rsidRPr="005D104F">
              <w:rPr>
                <w:rFonts w:cs="Arial"/>
                <w:b/>
                <w:bCs/>
                <w:szCs w:val="20"/>
                <w:lang w:eastAsia="en-AU"/>
              </w:rPr>
              <w:t>Type of Notice</w:t>
            </w:r>
          </w:p>
        </w:tc>
        <w:tc>
          <w:tcPr>
            <w:tcW w:w="942" w:type="dxa"/>
            <w:tcBorders>
              <w:top w:val="single" w:sz="4" w:space="0" w:color="auto"/>
              <w:left w:val="nil"/>
              <w:bottom w:val="single" w:sz="4" w:space="0" w:color="auto"/>
              <w:right w:val="single" w:sz="4" w:space="0" w:color="auto"/>
            </w:tcBorders>
            <w:shd w:val="clear" w:color="auto" w:fill="auto"/>
            <w:hideMark/>
          </w:tcPr>
          <w:p w14:paraId="52DB6E9F" w14:textId="77777777" w:rsidR="00B15BC0" w:rsidRPr="005D104F" w:rsidRDefault="00B15BC0" w:rsidP="00A90858">
            <w:pPr>
              <w:spacing w:after="60"/>
              <w:jc w:val="right"/>
              <w:rPr>
                <w:rFonts w:cs="Arial"/>
                <w:b/>
                <w:bCs/>
                <w:szCs w:val="20"/>
                <w:lang w:eastAsia="en-AU"/>
              </w:rPr>
            </w:pPr>
            <w:r w:rsidRPr="005D104F">
              <w:rPr>
                <w:rFonts w:cs="Arial"/>
                <w:b/>
                <w:bCs/>
                <w:szCs w:val="20"/>
                <w:lang w:eastAsia="en-AU"/>
              </w:rPr>
              <w:t>AU</w:t>
            </w:r>
          </w:p>
        </w:tc>
        <w:tc>
          <w:tcPr>
            <w:tcW w:w="939" w:type="dxa"/>
            <w:tcBorders>
              <w:top w:val="single" w:sz="4" w:space="0" w:color="auto"/>
              <w:left w:val="nil"/>
              <w:bottom w:val="single" w:sz="4" w:space="0" w:color="auto"/>
              <w:right w:val="single" w:sz="4" w:space="0" w:color="auto"/>
            </w:tcBorders>
            <w:shd w:val="clear" w:color="auto" w:fill="auto"/>
            <w:hideMark/>
          </w:tcPr>
          <w:p w14:paraId="472FB1C3" w14:textId="77777777" w:rsidR="00B15BC0" w:rsidRPr="005D104F" w:rsidRDefault="00B15BC0" w:rsidP="00A90858">
            <w:pPr>
              <w:spacing w:after="60"/>
              <w:jc w:val="right"/>
              <w:rPr>
                <w:rFonts w:cs="Arial"/>
                <w:b/>
                <w:bCs/>
                <w:szCs w:val="20"/>
                <w:lang w:eastAsia="en-AU"/>
              </w:rPr>
            </w:pPr>
            <w:r w:rsidRPr="005D104F">
              <w:rPr>
                <w:rFonts w:cs="Arial"/>
                <w:b/>
                <w:bCs/>
                <w:szCs w:val="20"/>
                <w:lang w:eastAsia="en-AU"/>
              </w:rPr>
              <w:t>CO</w:t>
            </w:r>
          </w:p>
        </w:tc>
        <w:tc>
          <w:tcPr>
            <w:tcW w:w="823" w:type="dxa"/>
            <w:tcBorders>
              <w:top w:val="single" w:sz="4" w:space="0" w:color="auto"/>
              <w:left w:val="nil"/>
              <w:bottom w:val="single" w:sz="4" w:space="0" w:color="auto"/>
              <w:right w:val="single" w:sz="4" w:space="0" w:color="auto"/>
            </w:tcBorders>
            <w:shd w:val="clear" w:color="auto" w:fill="auto"/>
            <w:hideMark/>
          </w:tcPr>
          <w:p w14:paraId="0BC3642E" w14:textId="30593C23" w:rsidR="00B15BC0" w:rsidRPr="005D104F" w:rsidRDefault="00B15BC0" w:rsidP="00A90858">
            <w:pPr>
              <w:spacing w:after="60"/>
              <w:jc w:val="right"/>
              <w:rPr>
                <w:rFonts w:cs="Arial"/>
                <w:b/>
                <w:bCs/>
                <w:szCs w:val="20"/>
                <w:lang w:eastAsia="en-AU"/>
              </w:rPr>
            </w:pPr>
            <w:r w:rsidRPr="005D104F">
              <w:rPr>
                <w:rFonts w:cs="Arial"/>
                <w:b/>
                <w:bCs/>
                <w:szCs w:val="20"/>
                <w:lang w:eastAsia="en-AU"/>
              </w:rPr>
              <w:t>DM</w:t>
            </w:r>
            <w:r w:rsidR="0079696B" w:rsidRPr="002B2B87">
              <w:rPr>
                <w:rFonts w:cs="Arial"/>
                <w:b/>
                <w:bCs/>
                <w:szCs w:val="20"/>
                <w:vertAlign w:val="superscript"/>
                <w:lang w:eastAsia="en-AU"/>
              </w:rPr>
              <w:t>7</w:t>
            </w:r>
          </w:p>
        </w:tc>
        <w:tc>
          <w:tcPr>
            <w:tcW w:w="992" w:type="dxa"/>
            <w:tcBorders>
              <w:top w:val="single" w:sz="4" w:space="0" w:color="auto"/>
              <w:left w:val="nil"/>
              <w:bottom w:val="single" w:sz="4" w:space="0" w:color="auto"/>
              <w:right w:val="single" w:sz="4" w:space="0" w:color="auto"/>
            </w:tcBorders>
            <w:shd w:val="clear" w:color="auto" w:fill="auto"/>
            <w:hideMark/>
          </w:tcPr>
          <w:p w14:paraId="61E6E01F" w14:textId="77777777" w:rsidR="00B15BC0" w:rsidRPr="005D104F" w:rsidRDefault="00B15BC0" w:rsidP="00A90858">
            <w:pPr>
              <w:spacing w:after="60"/>
              <w:jc w:val="right"/>
              <w:rPr>
                <w:rFonts w:cs="Arial"/>
                <w:b/>
                <w:bCs/>
                <w:szCs w:val="20"/>
                <w:lang w:eastAsia="en-AU"/>
              </w:rPr>
            </w:pPr>
            <w:r w:rsidRPr="005D104F">
              <w:rPr>
                <w:rFonts w:cs="Arial"/>
                <w:b/>
                <w:bCs/>
                <w:szCs w:val="20"/>
                <w:lang w:eastAsia="en-AU"/>
              </w:rPr>
              <w:t>HV</w:t>
            </w:r>
          </w:p>
        </w:tc>
        <w:tc>
          <w:tcPr>
            <w:tcW w:w="851" w:type="dxa"/>
            <w:tcBorders>
              <w:top w:val="single" w:sz="4" w:space="0" w:color="auto"/>
              <w:left w:val="nil"/>
              <w:bottom w:val="single" w:sz="4" w:space="0" w:color="auto"/>
              <w:right w:val="single" w:sz="4" w:space="0" w:color="auto"/>
            </w:tcBorders>
            <w:shd w:val="clear" w:color="auto" w:fill="auto"/>
            <w:hideMark/>
          </w:tcPr>
          <w:p w14:paraId="7130F3EE" w14:textId="77777777" w:rsidR="00B15BC0" w:rsidRPr="005D104F" w:rsidRDefault="00B15BC0" w:rsidP="00A90858">
            <w:pPr>
              <w:spacing w:after="60"/>
              <w:jc w:val="right"/>
              <w:rPr>
                <w:rFonts w:cs="Arial"/>
                <w:b/>
                <w:bCs/>
                <w:szCs w:val="20"/>
                <w:lang w:eastAsia="en-AU"/>
              </w:rPr>
            </w:pPr>
            <w:r w:rsidRPr="005D104F">
              <w:rPr>
                <w:rFonts w:cs="Arial"/>
                <w:b/>
                <w:bCs/>
                <w:szCs w:val="20"/>
                <w:lang w:eastAsia="en-AU"/>
              </w:rPr>
              <w:t>MG</w:t>
            </w:r>
          </w:p>
        </w:tc>
        <w:tc>
          <w:tcPr>
            <w:tcW w:w="992" w:type="dxa"/>
            <w:tcBorders>
              <w:top w:val="single" w:sz="4" w:space="0" w:color="auto"/>
              <w:left w:val="nil"/>
              <w:bottom w:val="single" w:sz="4" w:space="0" w:color="auto"/>
              <w:right w:val="single" w:sz="4" w:space="0" w:color="auto"/>
            </w:tcBorders>
            <w:shd w:val="clear" w:color="auto" w:fill="auto"/>
            <w:hideMark/>
          </w:tcPr>
          <w:p w14:paraId="7E0AD629" w14:textId="77777777" w:rsidR="00B15BC0" w:rsidRPr="005D104F" w:rsidRDefault="00B15BC0" w:rsidP="00A90858">
            <w:pPr>
              <w:spacing w:after="60"/>
              <w:jc w:val="right"/>
              <w:rPr>
                <w:rFonts w:cs="Arial"/>
                <w:b/>
                <w:bCs/>
                <w:szCs w:val="20"/>
                <w:lang w:eastAsia="en-AU"/>
              </w:rPr>
            </w:pPr>
            <w:r w:rsidRPr="005D104F">
              <w:rPr>
                <w:rFonts w:cs="Arial"/>
                <w:b/>
                <w:bCs/>
                <w:szCs w:val="20"/>
                <w:lang w:eastAsia="en-AU"/>
              </w:rPr>
              <w:t>Total</w:t>
            </w:r>
          </w:p>
        </w:tc>
      </w:tr>
      <w:tr w:rsidR="00B15BC0" w:rsidRPr="005D104F" w14:paraId="5CD4CBD1" w14:textId="77777777" w:rsidTr="00A90858">
        <w:trPr>
          <w:trHeight w:val="284"/>
        </w:trPr>
        <w:tc>
          <w:tcPr>
            <w:tcW w:w="2683" w:type="dxa"/>
            <w:tcBorders>
              <w:top w:val="nil"/>
              <w:left w:val="single" w:sz="4" w:space="0" w:color="auto"/>
              <w:bottom w:val="single" w:sz="4" w:space="0" w:color="auto"/>
              <w:right w:val="single" w:sz="4" w:space="0" w:color="auto"/>
            </w:tcBorders>
            <w:shd w:val="clear" w:color="auto" w:fill="auto"/>
          </w:tcPr>
          <w:p w14:paraId="69BAFF8D" w14:textId="77777777" w:rsidR="00B15BC0" w:rsidRPr="005D104F" w:rsidRDefault="00B15BC0" w:rsidP="00A90858">
            <w:pPr>
              <w:spacing w:after="60"/>
              <w:rPr>
                <w:rFonts w:cs="Arial"/>
                <w:szCs w:val="20"/>
                <w:lang w:eastAsia="en-AU"/>
              </w:rPr>
            </w:pPr>
            <w:r w:rsidRPr="005D104F">
              <w:rPr>
                <w:rFonts w:cs="Arial"/>
                <w:szCs w:val="20"/>
                <w:lang w:eastAsia="en-AU"/>
              </w:rPr>
              <w:t>Supreme Court</w:t>
            </w:r>
          </w:p>
        </w:tc>
        <w:tc>
          <w:tcPr>
            <w:tcW w:w="942" w:type="dxa"/>
            <w:tcBorders>
              <w:top w:val="nil"/>
              <w:left w:val="nil"/>
              <w:bottom w:val="single" w:sz="4" w:space="0" w:color="auto"/>
              <w:right w:val="single" w:sz="4" w:space="0" w:color="auto"/>
            </w:tcBorders>
            <w:shd w:val="clear" w:color="auto" w:fill="auto"/>
          </w:tcPr>
          <w:p w14:paraId="45EAA961" w14:textId="77777777" w:rsidR="00B15BC0" w:rsidRPr="008E5925" w:rsidRDefault="00B15BC0" w:rsidP="00A90858">
            <w:pPr>
              <w:spacing w:after="60"/>
              <w:jc w:val="right"/>
              <w:rPr>
                <w:rFonts w:cs="Arial"/>
                <w:szCs w:val="20"/>
                <w:lang w:eastAsia="en-AU"/>
              </w:rPr>
            </w:pPr>
            <w:r w:rsidRPr="008E5925">
              <w:rPr>
                <w:rFonts w:cs="Arial"/>
                <w:szCs w:val="20"/>
              </w:rPr>
              <w:t>0</w:t>
            </w:r>
          </w:p>
        </w:tc>
        <w:tc>
          <w:tcPr>
            <w:tcW w:w="939" w:type="dxa"/>
            <w:tcBorders>
              <w:top w:val="nil"/>
              <w:left w:val="nil"/>
              <w:bottom w:val="single" w:sz="4" w:space="0" w:color="auto"/>
              <w:right w:val="single" w:sz="4" w:space="0" w:color="auto"/>
            </w:tcBorders>
            <w:shd w:val="clear" w:color="auto" w:fill="auto"/>
          </w:tcPr>
          <w:p w14:paraId="5670B56B" w14:textId="77777777" w:rsidR="00B15BC0" w:rsidRPr="008E5925" w:rsidRDefault="00B15BC0" w:rsidP="00A90858">
            <w:pPr>
              <w:spacing w:after="60"/>
              <w:jc w:val="right"/>
              <w:rPr>
                <w:rFonts w:cs="Arial"/>
                <w:szCs w:val="20"/>
                <w:lang w:eastAsia="en-AU"/>
              </w:rPr>
            </w:pPr>
            <w:r w:rsidRPr="008E5925">
              <w:rPr>
                <w:rFonts w:cs="Arial"/>
                <w:szCs w:val="20"/>
              </w:rPr>
              <w:t>0</w:t>
            </w:r>
          </w:p>
        </w:tc>
        <w:tc>
          <w:tcPr>
            <w:tcW w:w="823" w:type="dxa"/>
            <w:tcBorders>
              <w:top w:val="nil"/>
              <w:left w:val="nil"/>
              <w:bottom w:val="single" w:sz="4" w:space="0" w:color="auto"/>
              <w:right w:val="single" w:sz="4" w:space="0" w:color="auto"/>
            </w:tcBorders>
            <w:shd w:val="clear" w:color="auto" w:fill="auto"/>
          </w:tcPr>
          <w:p w14:paraId="3CECB924" w14:textId="77777777" w:rsidR="00B15BC0" w:rsidRPr="008E5925" w:rsidRDefault="00B15BC0" w:rsidP="00A90858">
            <w:pPr>
              <w:spacing w:after="60"/>
              <w:jc w:val="right"/>
              <w:rPr>
                <w:rFonts w:cs="Arial"/>
                <w:szCs w:val="20"/>
                <w:lang w:eastAsia="en-AU"/>
              </w:rPr>
            </w:pPr>
            <w:r w:rsidRPr="008E5925">
              <w:rPr>
                <w:rFonts w:cs="Arial"/>
                <w:szCs w:val="20"/>
              </w:rPr>
              <w:t>-</w:t>
            </w:r>
            <w:r w:rsidRPr="008E5925">
              <w:rPr>
                <w:rFonts w:cs="Arial"/>
                <w:szCs w:val="20"/>
                <w:lang w:eastAsia="en-AU"/>
              </w:rPr>
              <w:t xml:space="preserve"> </w:t>
            </w:r>
          </w:p>
        </w:tc>
        <w:tc>
          <w:tcPr>
            <w:tcW w:w="992" w:type="dxa"/>
            <w:tcBorders>
              <w:top w:val="nil"/>
              <w:left w:val="nil"/>
              <w:bottom w:val="single" w:sz="4" w:space="0" w:color="auto"/>
              <w:right w:val="single" w:sz="4" w:space="0" w:color="auto"/>
            </w:tcBorders>
            <w:shd w:val="clear" w:color="auto" w:fill="auto"/>
          </w:tcPr>
          <w:p w14:paraId="608769CD" w14:textId="77777777" w:rsidR="00B15BC0" w:rsidRPr="008E5925" w:rsidRDefault="00B15BC0" w:rsidP="00A90858">
            <w:pPr>
              <w:spacing w:after="60"/>
              <w:jc w:val="right"/>
              <w:rPr>
                <w:rFonts w:cs="Arial"/>
                <w:szCs w:val="20"/>
                <w:lang w:eastAsia="en-AU"/>
              </w:rPr>
            </w:pPr>
            <w:r w:rsidRPr="008E5925">
              <w:rPr>
                <w:rFonts w:cs="Arial"/>
                <w:szCs w:val="20"/>
              </w:rPr>
              <w:t>0</w:t>
            </w:r>
          </w:p>
        </w:tc>
        <w:tc>
          <w:tcPr>
            <w:tcW w:w="851" w:type="dxa"/>
            <w:tcBorders>
              <w:top w:val="nil"/>
              <w:left w:val="nil"/>
              <w:bottom w:val="single" w:sz="4" w:space="0" w:color="auto"/>
              <w:right w:val="single" w:sz="4" w:space="0" w:color="auto"/>
            </w:tcBorders>
            <w:shd w:val="clear" w:color="auto" w:fill="auto"/>
          </w:tcPr>
          <w:p w14:paraId="45F2C180" w14:textId="77777777" w:rsidR="00B15BC0" w:rsidRPr="008E5925" w:rsidRDefault="00B15BC0" w:rsidP="00A90858">
            <w:pPr>
              <w:spacing w:after="60"/>
              <w:jc w:val="right"/>
              <w:rPr>
                <w:rFonts w:cs="Arial"/>
                <w:szCs w:val="20"/>
                <w:lang w:eastAsia="en-AU"/>
              </w:rPr>
            </w:pPr>
            <w:r w:rsidRPr="008E5925">
              <w:rPr>
                <w:rFonts w:cs="Arial"/>
                <w:szCs w:val="20"/>
              </w:rPr>
              <w:t>0</w:t>
            </w:r>
          </w:p>
        </w:tc>
        <w:tc>
          <w:tcPr>
            <w:tcW w:w="992" w:type="dxa"/>
            <w:tcBorders>
              <w:top w:val="nil"/>
              <w:left w:val="nil"/>
              <w:bottom w:val="single" w:sz="4" w:space="0" w:color="auto"/>
              <w:right w:val="single" w:sz="4" w:space="0" w:color="auto"/>
            </w:tcBorders>
            <w:shd w:val="clear" w:color="auto" w:fill="auto"/>
          </w:tcPr>
          <w:p w14:paraId="0CF63826" w14:textId="77777777" w:rsidR="00B15BC0" w:rsidRPr="008E5925" w:rsidRDefault="00B15BC0" w:rsidP="00A90858">
            <w:pPr>
              <w:spacing w:after="60"/>
              <w:jc w:val="right"/>
              <w:rPr>
                <w:rFonts w:cs="Arial"/>
                <w:b/>
                <w:bCs/>
                <w:szCs w:val="20"/>
                <w:lang w:eastAsia="en-AU"/>
              </w:rPr>
            </w:pPr>
            <w:r w:rsidRPr="008E5925">
              <w:rPr>
                <w:rFonts w:cs="Arial"/>
                <w:b/>
                <w:bCs/>
                <w:szCs w:val="20"/>
              </w:rPr>
              <w:t>0</w:t>
            </w:r>
          </w:p>
        </w:tc>
      </w:tr>
      <w:tr w:rsidR="00B15BC0" w:rsidRPr="005D104F" w14:paraId="593A6239" w14:textId="77777777" w:rsidTr="00A90858">
        <w:trPr>
          <w:trHeight w:val="284"/>
        </w:trPr>
        <w:tc>
          <w:tcPr>
            <w:tcW w:w="2683" w:type="dxa"/>
            <w:tcBorders>
              <w:top w:val="nil"/>
              <w:left w:val="single" w:sz="4" w:space="0" w:color="auto"/>
              <w:bottom w:val="single" w:sz="4" w:space="0" w:color="auto"/>
              <w:right w:val="single" w:sz="4" w:space="0" w:color="auto"/>
            </w:tcBorders>
            <w:shd w:val="clear" w:color="auto" w:fill="auto"/>
            <w:hideMark/>
          </w:tcPr>
          <w:p w14:paraId="6A9BEBBD" w14:textId="77777777" w:rsidR="00B15BC0" w:rsidRPr="005D104F" w:rsidRDefault="00B15BC0" w:rsidP="00A90858">
            <w:pPr>
              <w:spacing w:after="60"/>
              <w:rPr>
                <w:rFonts w:cs="Arial"/>
                <w:szCs w:val="20"/>
                <w:lang w:eastAsia="en-AU"/>
              </w:rPr>
            </w:pPr>
            <w:r w:rsidRPr="005D104F">
              <w:rPr>
                <w:rFonts w:cs="Arial"/>
                <w:szCs w:val="20"/>
                <w:lang w:eastAsia="en-AU"/>
              </w:rPr>
              <w:t>District Court</w:t>
            </w:r>
          </w:p>
        </w:tc>
        <w:tc>
          <w:tcPr>
            <w:tcW w:w="942" w:type="dxa"/>
            <w:tcBorders>
              <w:top w:val="nil"/>
              <w:left w:val="nil"/>
              <w:bottom w:val="single" w:sz="4" w:space="0" w:color="auto"/>
              <w:right w:val="single" w:sz="4" w:space="0" w:color="auto"/>
            </w:tcBorders>
            <w:shd w:val="clear" w:color="auto" w:fill="auto"/>
          </w:tcPr>
          <w:p w14:paraId="7AAF9131" w14:textId="77777777" w:rsidR="00B15BC0" w:rsidRPr="008E5925" w:rsidRDefault="00B15BC0" w:rsidP="00A90858">
            <w:pPr>
              <w:spacing w:after="60"/>
              <w:jc w:val="right"/>
              <w:rPr>
                <w:rFonts w:cs="Arial"/>
                <w:szCs w:val="20"/>
                <w:lang w:eastAsia="en-AU"/>
              </w:rPr>
            </w:pPr>
            <w:r w:rsidRPr="008E5925">
              <w:rPr>
                <w:rFonts w:cs="Arial"/>
                <w:szCs w:val="20"/>
              </w:rPr>
              <w:t>0</w:t>
            </w:r>
          </w:p>
        </w:tc>
        <w:tc>
          <w:tcPr>
            <w:tcW w:w="939" w:type="dxa"/>
            <w:tcBorders>
              <w:top w:val="nil"/>
              <w:left w:val="nil"/>
              <w:bottom w:val="single" w:sz="4" w:space="0" w:color="auto"/>
              <w:right w:val="single" w:sz="4" w:space="0" w:color="auto"/>
            </w:tcBorders>
            <w:shd w:val="clear" w:color="auto" w:fill="auto"/>
          </w:tcPr>
          <w:p w14:paraId="3C61F558" w14:textId="77777777" w:rsidR="00B15BC0" w:rsidRPr="008E5925" w:rsidRDefault="00B15BC0" w:rsidP="00A90858">
            <w:pPr>
              <w:spacing w:after="60"/>
              <w:jc w:val="right"/>
              <w:rPr>
                <w:rFonts w:cs="Arial"/>
                <w:szCs w:val="20"/>
                <w:lang w:eastAsia="en-AU"/>
              </w:rPr>
            </w:pPr>
            <w:r w:rsidRPr="008E5925">
              <w:rPr>
                <w:rFonts w:cs="Arial"/>
                <w:szCs w:val="20"/>
              </w:rPr>
              <w:t>0</w:t>
            </w:r>
          </w:p>
        </w:tc>
        <w:tc>
          <w:tcPr>
            <w:tcW w:w="823" w:type="dxa"/>
            <w:tcBorders>
              <w:top w:val="nil"/>
              <w:left w:val="nil"/>
              <w:bottom w:val="single" w:sz="4" w:space="0" w:color="auto"/>
              <w:right w:val="single" w:sz="4" w:space="0" w:color="auto"/>
            </w:tcBorders>
            <w:shd w:val="clear" w:color="auto" w:fill="auto"/>
          </w:tcPr>
          <w:p w14:paraId="150E0438" w14:textId="77777777" w:rsidR="00B15BC0" w:rsidRPr="008E5925" w:rsidRDefault="00B15BC0" w:rsidP="00A90858">
            <w:pPr>
              <w:spacing w:after="60"/>
              <w:jc w:val="right"/>
              <w:rPr>
                <w:rFonts w:cs="Arial"/>
                <w:szCs w:val="20"/>
                <w:lang w:eastAsia="en-AU"/>
              </w:rPr>
            </w:pPr>
            <w:r w:rsidRPr="008E5925">
              <w:rPr>
                <w:rFonts w:cs="Arial"/>
                <w:szCs w:val="20"/>
              </w:rPr>
              <w:t xml:space="preserve">- </w:t>
            </w:r>
          </w:p>
        </w:tc>
        <w:tc>
          <w:tcPr>
            <w:tcW w:w="992" w:type="dxa"/>
            <w:tcBorders>
              <w:top w:val="nil"/>
              <w:left w:val="nil"/>
              <w:bottom w:val="single" w:sz="4" w:space="0" w:color="auto"/>
              <w:right w:val="single" w:sz="4" w:space="0" w:color="auto"/>
            </w:tcBorders>
            <w:shd w:val="clear" w:color="auto" w:fill="auto"/>
          </w:tcPr>
          <w:p w14:paraId="55C48440" w14:textId="77777777" w:rsidR="00B15BC0" w:rsidRPr="008E5925" w:rsidRDefault="00B15BC0" w:rsidP="00A90858">
            <w:pPr>
              <w:spacing w:after="60"/>
              <w:jc w:val="right"/>
              <w:rPr>
                <w:rFonts w:cs="Arial"/>
                <w:szCs w:val="20"/>
                <w:lang w:eastAsia="en-AU"/>
              </w:rPr>
            </w:pPr>
            <w:r w:rsidRPr="008E5925">
              <w:rPr>
                <w:rFonts w:cs="Arial"/>
                <w:szCs w:val="20"/>
              </w:rPr>
              <w:t>14</w:t>
            </w:r>
          </w:p>
        </w:tc>
        <w:tc>
          <w:tcPr>
            <w:tcW w:w="851" w:type="dxa"/>
            <w:tcBorders>
              <w:top w:val="nil"/>
              <w:left w:val="nil"/>
              <w:bottom w:val="single" w:sz="4" w:space="0" w:color="auto"/>
              <w:right w:val="single" w:sz="4" w:space="0" w:color="auto"/>
            </w:tcBorders>
            <w:shd w:val="clear" w:color="auto" w:fill="auto"/>
          </w:tcPr>
          <w:p w14:paraId="6F127605" w14:textId="77777777" w:rsidR="00B15BC0" w:rsidRPr="008E5925" w:rsidRDefault="00B15BC0" w:rsidP="00A90858">
            <w:pPr>
              <w:spacing w:after="60"/>
              <w:jc w:val="right"/>
              <w:rPr>
                <w:rFonts w:cs="Arial"/>
                <w:szCs w:val="20"/>
                <w:lang w:eastAsia="en-AU"/>
              </w:rPr>
            </w:pPr>
            <w:r w:rsidRPr="008E5925">
              <w:rPr>
                <w:rFonts w:cs="Arial"/>
                <w:szCs w:val="20"/>
              </w:rPr>
              <w:t>0</w:t>
            </w:r>
          </w:p>
        </w:tc>
        <w:tc>
          <w:tcPr>
            <w:tcW w:w="992" w:type="dxa"/>
            <w:tcBorders>
              <w:top w:val="nil"/>
              <w:left w:val="nil"/>
              <w:bottom w:val="single" w:sz="4" w:space="0" w:color="auto"/>
              <w:right w:val="single" w:sz="4" w:space="0" w:color="auto"/>
            </w:tcBorders>
            <w:shd w:val="clear" w:color="auto" w:fill="auto"/>
          </w:tcPr>
          <w:p w14:paraId="324697CD" w14:textId="77777777" w:rsidR="00B15BC0" w:rsidRPr="008E5925" w:rsidRDefault="00B15BC0" w:rsidP="00A90858">
            <w:pPr>
              <w:spacing w:after="60"/>
              <w:jc w:val="right"/>
              <w:rPr>
                <w:rFonts w:cs="Arial"/>
                <w:b/>
                <w:bCs/>
                <w:szCs w:val="20"/>
                <w:lang w:eastAsia="en-AU"/>
              </w:rPr>
            </w:pPr>
            <w:r w:rsidRPr="008E5925">
              <w:rPr>
                <w:rFonts w:cs="Arial"/>
                <w:b/>
                <w:bCs/>
                <w:szCs w:val="20"/>
              </w:rPr>
              <w:t>14</w:t>
            </w:r>
          </w:p>
        </w:tc>
      </w:tr>
      <w:tr w:rsidR="00B15BC0" w:rsidRPr="005D104F" w14:paraId="4FACFD70" w14:textId="77777777" w:rsidTr="00A90858">
        <w:trPr>
          <w:trHeight w:val="284"/>
        </w:trPr>
        <w:tc>
          <w:tcPr>
            <w:tcW w:w="2683" w:type="dxa"/>
            <w:tcBorders>
              <w:top w:val="nil"/>
              <w:left w:val="single" w:sz="4" w:space="0" w:color="auto"/>
              <w:bottom w:val="single" w:sz="4" w:space="0" w:color="auto"/>
              <w:right w:val="single" w:sz="4" w:space="0" w:color="auto"/>
            </w:tcBorders>
            <w:shd w:val="clear" w:color="auto" w:fill="auto"/>
            <w:vAlign w:val="bottom"/>
            <w:hideMark/>
          </w:tcPr>
          <w:p w14:paraId="2FD6FAE0" w14:textId="77777777" w:rsidR="00B15BC0" w:rsidRPr="005D104F" w:rsidRDefault="00B15BC0" w:rsidP="00A90858">
            <w:pPr>
              <w:spacing w:after="60"/>
              <w:rPr>
                <w:rFonts w:cs="Arial"/>
                <w:szCs w:val="20"/>
                <w:lang w:eastAsia="en-AU"/>
              </w:rPr>
            </w:pPr>
            <w:r w:rsidRPr="005D104F">
              <w:rPr>
                <w:rFonts w:cs="Arial"/>
                <w:szCs w:val="20"/>
                <w:lang w:eastAsia="en-AU"/>
              </w:rPr>
              <w:t>Magistrates Court</w:t>
            </w:r>
          </w:p>
        </w:tc>
        <w:tc>
          <w:tcPr>
            <w:tcW w:w="942" w:type="dxa"/>
            <w:tcBorders>
              <w:top w:val="nil"/>
              <w:left w:val="nil"/>
              <w:bottom w:val="single" w:sz="4" w:space="0" w:color="auto"/>
              <w:right w:val="single" w:sz="4" w:space="0" w:color="auto"/>
            </w:tcBorders>
            <w:shd w:val="clear" w:color="auto" w:fill="auto"/>
          </w:tcPr>
          <w:p w14:paraId="656338DE" w14:textId="77777777" w:rsidR="00B15BC0" w:rsidRPr="008E5925" w:rsidRDefault="00B15BC0" w:rsidP="00A90858">
            <w:pPr>
              <w:spacing w:after="60"/>
              <w:jc w:val="right"/>
              <w:rPr>
                <w:rFonts w:cs="Arial"/>
                <w:szCs w:val="20"/>
                <w:lang w:eastAsia="en-AU"/>
              </w:rPr>
            </w:pPr>
            <w:r w:rsidRPr="008E5925">
              <w:rPr>
                <w:rFonts w:cs="Arial"/>
                <w:szCs w:val="20"/>
              </w:rPr>
              <w:t>681</w:t>
            </w:r>
          </w:p>
        </w:tc>
        <w:tc>
          <w:tcPr>
            <w:tcW w:w="939" w:type="dxa"/>
            <w:tcBorders>
              <w:top w:val="nil"/>
              <w:left w:val="nil"/>
              <w:bottom w:val="single" w:sz="4" w:space="0" w:color="auto"/>
              <w:right w:val="single" w:sz="4" w:space="0" w:color="auto"/>
            </w:tcBorders>
            <w:shd w:val="clear" w:color="auto" w:fill="auto"/>
          </w:tcPr>
          <w:p w14:paraId="2A898028" w14:textId="77777777" w:rsidR="00B15BC0" w:rsidRPr="008E5925" w:rsidRDefault="00B15BC0" w:rsidP="00A90858">
            <w:pPr>
              <w:spacing w:after="60"/>
              <w:jc w:val="right"/>
              <w:rPr>
                <w:rFonts w:cs="Arial"/>
                <w:szCs w:val="20"/>
                <w:lang w:eastAsia="en-AU"/>
              </w:rPr>
            </w:pPr>
            <w:r w:rsidRPr="008E5925">
              <w:rPr>
                <w:rFonts w:cs="Arial"/>
                <w:szCs w:val="20"/>
              </w:rPr>
              <w:t>17</w:t>
            </w:r>
          </w:p>
        </w:tc>
        <w:tc>
          <w:tcPr>
            <w:tcW w:w="823" w:type="dxa"/>
            <w:tcBorders>
              <w:top w:val="nil"/>
              <w:left w:val="nil"/>
              <w:bottom w:val="single" w:sz="4" w:space="0" w:color="auto"/>
              <w:right w:val="single" w:sz="4" w:space="0" w:color="auto"/>
            </w:tcBorders>
            <w:shd w:val="clear" w:color="auto" w:fill="auto"/>
          </w:tcPr>
          <w:p w14:paraId="78063A65" w14:textId="77777777" w:rsidR="00B15BC0" w:rsidRPr="008E5925" w:rsidRDefault="00B15BC0" w:rsidP="00A90858">
            <w:pPr>
              <w:spacing w:after="60"/>
              <w:jc w:val="right"/>
              <w:rPr>
                <w:rFonts w:cs="Arial"/>
                <w:szCs w:val="20"/>
                <w:lang w:eastAsia="en-AU"/>
              </w:rPr>
            </w:pPr>
            <w:r w:rsidRPr="008E5925">
              <w:rPr>
                <w:rFonts w:cs="Arial"/>
                <w:szCs w:val="20"/>
              </w:rPr>
              <w:t xml:space="preserve">- </w:t>
            </w:r>
          </w:p>
        </w:tc>
        <w:tc>
          <w:tcPr>
            <w:tcW w:w="992" w:type="dxa"/>
            <w:tcBorders>
              <w:top w:val="nil"/>
              <w:left w:val="nil"/>
              <w:bottom w:val="single" w:sz="4" w:space="0" w:color="auto"/>
              <w:right w:val="single" w:sz="4" w:space="0" w:color="auto"/>
            </w:tcBorders>
            <w:shd w:val="clear" w:color="auto" w:fill="auto"/>
          </w:tcPr>
          <w:p w14:paraId="21FB39EB" w14:textId="77777777" w:rsidR="00B15BC0" w:rsidRPr="008E5925" w:rsidRDefault="00B15BC0" w:rsidP="00A90858">
            <w:pPr>
              <w:spacing w:after="60"/>
              <w:jc w:val="right"/>
              <w:rPr>
                <w:rFonts w:cs="Arial"/>
                <w:szCs w:val="20"/>
                <w:lang w:eastAsia="en-AU"/>
              </w:rPr>
            </w:pPr>
            <w:r w:rsidRPr="008E5925">
              <w:rPr>
                <w:rFonts w:cs="Arial"/>
                <w:szCs w:val="20"/>
              </w:rPr>
              <w:t>371</w:t>
            </w:r>
          </w:p>
        </w:tc>
        <w:tc>
          <w:tcPr>
            <w:tcW w:w="851" w:type="dxa"/>
            <w:tcBorders>
              <w:top w:val="nil"/>
              <w:left w:val="nil"/>
              <w:bottom w:val="single" w:sz="4" w:space="0" w:color="auto"/>
              <w:right w:val="single" w:sz="4" w:space="0" w:color="auto"/>
            </w:tcBorders>
            <w:shd w:val="clear" w:color="auto" w:fill="auto"/>
          </w:tcPr>
          <w:p w14:paraId="3DE99E59" w14:textId="77777777" w:rsidR="00B15BC0" w:rsidRPr="008E5925" w:rsidRDefault="00B15BC0" w:rsidP="00A90858">
            <w:pPr>
              <w:spacing w:after="60"/>
              <w:jc w:val="right"/>
              <w:rPr>
                <w:rFonts w:cs="Arial"/>
                <w:szCs w:val="20"/>
                <w:lang w:eastAsia="en-AU"/>
              </w:rPr>
            </w:pPr>
            <w:r w:rsidRPr="008E5925">
              <w:rPr>
                <w:rFonts w:cs="Arial"/>
                <w:szCs w:val="20"/>
              </w:rPr>
              <w:t>373</w:t>
            </w:r>
          </w:p>
        </w:tc>
        <w:tc>
          <w:tcPr>
            <w:tcW w:w="992" w:type="dxa"/>
            <w:tcBorders>
              <w:top w:val="nil"/>
              <w:left w:val="nil"/>
              <w:bottom w:val="single" w:sz="4" w:space="0" w:color="auto"/>
              <w:right w:val="single" w:sz="4" w:space="0" w:color="auto"/>
            </w:tcBorders>
            <w:shd w:val="clear" w:color="auto" w:fill="auto"/>
          </w:tcPr>
          <w:p w14:paraId="466C9C17" w14:textId="77777777" w:rsidR="00B15BC0" w:rsidRPr="008E5925" w:rsidRDefault="00B15BC0" w:rsidP="00A90858">
            <w:pPr>
              <w:spacing w:after="60"/>
              <w:jc w:val="right"/>
              <w:rPr>
                <w:rFonts w:cs="Arial"/>
                <w:b/>
                <w:bCs/>
                <w:szCs w:val="20"/>
                <w:lang w:eastAsia="en-AU"/>
              </w:rPr>
            </w:pPr>
            <w:r w:rsidRPr="008E5925">
              <w:rPr>
                <w:rFonts w:cs="Arial"/>
                <w:b/>
                <w:bCs/>
                <w:szCs w:val="20"/>
              </w:rPr>
              <w:t>1,442</w:t>
            </w:r>
          </w:p>
        </w:tc>
      </w:tr>
      <w:tr w:rsidR="00B15BC0" w:rsidRPr="005D104F" w14:paraId="7C05E1DD" w14:textId="77777777" w:rsidTr="00A90858">
        <w:trPr>
          <w:trHeight w:val="284"/>
        </w:trPr>
        <w:tc>
          <w:tcPr>
            <w:tcW w:w="2683" w:type="dxa"/>
            <w:tcBorders>
              <w:top w:val="nil"/>
              <w:left w:val="single" w:sz="4" w:space="0" w:color="auto"/>
              <w:bottom w:val="single" w:sz="4" w:space="0" w:color="auto"/>
              <w:right w:val="single" w:sz="4" w:space="0" w:color="auto"/>
            </w:tcBorders>
            <w:shd w:val="clear" w:color="auto" w:fill="auto"/>
            <w:vAlign w:val="bottom"/>
            <w:hideMark/>
          </w:tcPr>
          <w:p w14:paraId="3A839EC9" w14:textId="77777777" w:rsidR="00B15BC0" w:rsidRPr="005D104F" w:rsidRDefault="00B15BC0" w:rsidP="00A90858">
            <w:pPr>
              <w:spacing w:after="60"/>
              <w:rPr>
                <w:rFonts w:cs="Arial"/>
                <w:szCs w:val="20"/>
                <w:lang w:eastAsia="en-AU"/>
              </w:rPr>
            </w:pPr>
            <w:r w:rsidRPr="005D104F">
              <w:rPr>
                <w:rFonts w:cs="Arial"/>
                <w:szCs w:val="20"/>
                <w:lang w:eastAsia="en-AU"/>
              </w:rPr>
              <w:t>Domestic Violence Breach</w:t>
            </w:r>
          </w:p>
        </w:tc>
        <w:tc>
          <w:tcPr>
            <w:tcW w:w="942" w:type="dxa"/>
            <w:tcBorders>
              <w:top w:val="nil"/>
              <w:left w:val="nil"/>
              <w:bottom w:val="single" w:sz="4" w:space="0" w:color="auto"/>
              <w:right w:val="single" w:sz="4" w:space="0" w:color="auto"/>
            </w:tcBorders>
            <w:shd w:val="clear" w:color="auto" w:fill="auto"/>
          </w:tcPr>
          <w:p w14:paraId="666F4A7A" w14:textId="77777777" w:rsidR="00B15BC0" w:rsidRPr="008E5925" w:rsidRDefault="00B15BC0" w:rsidP="00A90858">
            <w:pPr>
              <w:spacing w:after="60"/>
              <w:jc w:val="right"/>
              <w:rPr>
                <w:rFonts w:cs="Arial"/>
                <w:szCs w:val="20"/>
                <w:lang w:eastAsia="en-AU"/>
              </w:rPr>
            </w:pPr>
            <w:r w:rsidRPr="008E5925">
              <w:rPr>
                <w:rFonts w:cs="Arial"/>
                <w:szCs w:val="20"/>
              </w:rPr>
              <w:t>38</w:t>
            </w:r>
          </w:p>
        </w:tc>
        <w:tc>
          <w:tcPr>
            <w:tcW w:w="939" w:type="dxa"/>
            <w:tcBorders>
              <w:top w:val="nil"/>
              <w:left w:val="nil"/>
              <w:bottom w:val="single" w:sz="4" w:space="0" w:color="auto"/>
              <w:right w:val="single" w:sz="4" w:space="0" w:color="auto"/>
            </w:tcBorders>
            <w:shd w:val="clear" w:color="auto" w:fill="auto"/>
          </w:tcPr>
          <w:p w14:paraId="568912C5" w14:textId="77777777" w:rsidR="00B15BC0" w:rsidRPr="008E5925" w:rsidRDefault="00B15BC0" w:rsidP="00A90858">
            <w:pPr>
              <w:spacing w:after="60"/>
              <w:jc w:val="right"/>
              <w:rPr>
                <w:rFonts w:cs="Arial"/>
                <w:szCs w:val="20"/>
                <w:lang w:eastAsia="en-AU"/>
              </w:rPr>
            </w:pPr>
            <w:r w:rsidRPr="008E5925">
              <w:rPr>
                <w:rFonts w:cs="Arial"/>
                <w:szCs w:val="20"/>
              </w:rPr>
              <w:t>0</w:t>
            </w:r>
          </w:p>
        </w:tc>
        <w:tc>
          <w:tcPr>
            <w:tcW w:w="823" w:type="dxa"/>
            <w:tcBorders>
              <w:top w:val="nil"/>
              <w:left w:val="nil"/>
              <w:bottom w:val="single" w:sz="4" w:space="0" w:color="auto"/>
              <w:right w:val="single" w:sz="4" w:space="0" w:color="auto"/>
            </w:tcBorders>
            <w:shd w:val="clear" w:color="auto" w:fill="auto"/>
          </w:tcPr>
          <w:p w14:paraId="63A1F159" w14:textId="77777777" w:rsidR="00B15BC0" w:rsidRPr="008E5925" w:rsidRDefault="00B15BC0" w:rsidP="00A90858">
            <w:pPr>
              <w:spacing w:after="60"/>
              <w:jc w:val="right"/>
              <w:rPr>
                <w:rFonts w:cs="Arial"/>
                <w:szCs w:val="20"/>
                <w:lang w:eastAsia="en-AU"/>
              </w:rPr>
            </w:pPr>
            <w:r w:rsidRPr="008E5925">
              <w:rPr>
                <w:rFonts w:cs="Arial"/>
                <w:szCs w:val="20"/>
              </w:rPr>
              <w:t xml:space="preserve">- </w:t>
            </w:r>
          </w:p>
        </w:tc>
        <w:tc>
          <w:tcPr>
            <w:tcW w:w="992" w:type="dxa"/>
            <w:tcBorders>
              <w:top w:val="nil"/>
              <w:left w:val="nil"/>
              <w:bottom w:val="single" w:sz="4" w:space="0" w:color="auto"/>
              <w:right w:val="single" w:sz="4" w:space="0" w:color="auto"/>
            </w:tcBorders>
            <w:shd w:val="clear" w:color="auto" w:fill="auto"/>
          </w:tcPr>
          <w:p w14:paraId="56B4BEBE" w14:textId="77777777" w:rsidR="00B15BC0" w:rsidRPr="008E5925" w:rsidRDefault="00B15BC0" w:rsidP="00A90858">
            <w:pPr>
              <w:spacing w:after="60"/>
              <w:jc w:val="right"/>
              <w:rPr>
                <w:rFonts w:cs="Arial"/>
                <w:szCs w:val="20"/>
                <w:lang w:eastAsia="en-AU"/>
              </w:rPr>
            </w:pPr>
            <w:r w:rsidRPr="008E5925">
              <w:rPr>
                <w:rFonts w:cs="Arial"/>
                <w:szCs w:val="20"/>
              </w:rPr>
              <w:t>29</w:t>
            </w:r>
          </w:p>
        </w:tc>
        <w:tc>
          <w:tcPr>
            <w:tcW w:w="851" w:type="dxa"/>
            <w:tcBorders>
              <w:top w:val="nil"/>
              <w:left w:val="nil"/>
              <w:bottom w:val="single" w:sz="4" w:space="0" w:color="auto"/>
              <w:right w:val="single" w:sz="4" w:space="0" w:color="auto"/>
            </w:tcBorders>
            <w:shd w:val="clear" w:color="auto" w:fill="auto"/>
          </w:tcPr>
          <w:p w14:paraId="6F066FF0" w14:textId="77777777" w:rsidR="00B15BC0" w:rsidRPr="008E5925" w:rsidRDefault="00B15BC0" w:rsidP="00A90858">
            <w:pPr>
              <w:spacing w:after="60"/>
              <w:jc w:val="right"/>
              <w:rPr>
                <w:rFonts w:cs="Arial"/>
                <w:szCs w:val="20"/>
                <w:lang w:eastAsia="en-AU"/>
              </w:rPr>
            </w:pPr>
            <w:r w:rsidRPr="008E5925">
              <w:rPr>
                <w:rFonts w:cs="Arial"/>
                <w:szCs w:val="20"/>
              </w:rPr>
              <w:t>21</w:t>
            </w:r>
          </w:p>
        </w:tc>
        <w:tc>
          <w:tcPr>
            <w:tcW w:w="992" w:type="dxa"/>
            <w:tcBorders>
              <w:top w:val="nil"/>
              <w:left w:val="nil"/>
              <w:bottom w:val="single" w:sz="4" w:space="0" w:color="auto"/>
              <w:right w:val="single" w:sz="4" w:space="0" w:color="auto"/>
            </w:tcBorders>
            <w:shd w:val="clear" w:color="auto" w:fill="auto"/>
          </w:tcPr>
          <w:p w14:paraId="6501401F" w14:textId="77777777" w:rsidR="00B15BC0" w:rsidRPr="008E5925" w:rsidRDefault="00B15BC0" w:rsidP="00A90858">
            <w:pPr>
              <w:spacing w:after="60"/>
              <w:jc w:val="right"/>
              <w:rPr>
                <w:rFonts w:cs="Arial"/>
                <w:b/>
                <w:bCs/>
                <w:szCs w:val="20"/>
                <w:lang w:eastAsia="en-AU"/>
              </w:rPr>
            </w:pPr>
            <w:r w:rsidRPr="008E5925">
              <w:rPr>
                <w:rFonts w:cs="Arial"/>
                <w:b/>
                <w:bCs/>
                <w:szCs w:val="20"/>
              </w:rPr>
              <w:t>88</w:t>
            </w:r>
          </w:p>
        </w:tc>
      </w:tr>
      <w:tr w:rsidR="00B15BC0" w:rsidRPr="005D104F" w14:paraId="6D0CA05E" w14:textId="77777777" w:rsidTr="00A90858">
        <w:trPr>
          <w:trHeight w:val="284"/>
        </w:trPr>
        <w:tc>
          <w:tcPr>
            <w:tcW w:w="2683" w:type="dxa"/>
            <w:tcBorders>
              <w:top w:val="nil"/>
              <w:left w:val="single" w:sz="4" w:space="0" w:color="auto"/>
              <w:bottom w:val="single" w:sz="4" w:space="0" w:color="auto"/>
              <w:right w:val="single" w:sz="4" w:space="0" w:color="auto"/>
            </w:tcBorders>
            <w:shd w:val="clear" w:color="auto" w:fill="auto"/>
            <w:vAlign w:val="bottom"/>
            <w:hideMark/>
          </w:tcPr>
          <w:p w14:paraId="08B6DE1D" w14:textId="77777777" w:rsidR="00B15BC0" w:rsidRPr="005D104F" w:rsidRDefault="00B15BC0" w:rsidP="00A90858">
            <w:pPr>
              <w:spacing w:after="60"/>
              <w:rPr>
                <w:rFonts w:cs="Arial"/>
                <w:szCs w:val="20"/>
                <w:lang w:eastAsia="en-AU"/>
              </w:rPr>
            </w:pPr>
            <w:r w:rsidRPr="005D104F">
              <w:rPr>
                <w:rFonts w:cs="Arial"/>
                <w:szCs w:val="20"/>
                <w:lang w:eastAsia="en-AU"/>
              </w:rPr>
              <w:t>Domestic Violence Order</w:t>
            </w:r>
          </w:p>
        </w:tc>
        <w:tc>
          <w:tcPr>
            <w:tcW w:w="942" w:type="dxa"/>
            <w:tcBorders>
              <w:top w:val="nil"/>
              <w:left w:val="nil"/>
              <w:bottom w:val="single" w:sz="4" w:space="0" w:color="auto"/>
              <w:right w:val="single" w:sz="4" w:space="0" w:color="auto"/>
            </w:tcBorders>
            <w:shd w:val="clear" w:color="auto" w:fill="auto"/>
          </w:tcPr>
          <w:p w14:paraId="6A73B7B4" w14:textId="77777777" w:rsidR="00B15BC0" w:rsidRPr="008E5925" w:rsidRDefault="00B15BC0" w:rsidP="00A90858">
            <w:pPr>
              <w:spacing w:after="60"/>
              <w:jc w:val="right"/>
              <w:rPr>
                <w:rFonts w:cs="Arial"/>
                <w:szCs w:val="20"/>
                <w:lang w:eastAsia="en-AU"/>
              </w:rPr>
            </w:pPr>
            <w:r w:rsidRPr="008E5925">
              <w:rPr>
                <w:rFonts w:cs="Arial"/>
                <w:szCs w:val="20"/>
              </w:rPr>
              <w:t>10</w:t>
            </w:r>
          </w:p>
        </w:tc>
        <w:tc>
          <w:tcPr>
            <w:tcW w:w="939" w:type="dxa"/>
            <w:tcBorders>
              <w:top w:val="nil"/>
              <w:left w:val="nil"/>
              <w:bottom w:val="single" w:sz="4" w:space="0" w:color="auto"/>
              <w:right w:val="single" w:sz="4" w:space="0" w:color="auto"/>
            </w:tcBorders>
            <w:shd w:val="clear" w:color="auto" w:fill="auto"/>
          </w:tcPr>
          <w:p w14:paraId="745B64EE" w14:textId="77777777" w:rsidR="00B15BC0" w:rsidRPr="008E5925" w:rsidRDefault="00B15BC0" w:rsidP="00A90858">
            <w:pPr>
              <w:spacing w:after="60"/>
              <w:jc w:val="right"/>
              <w:rPr>
                <w:rFonts w:cs="Arial"/>
                <w:szCs w:val="20"/>
                <w:lang w:eastAsia="en-AU"/>
              </w:rPr>
            </w:pPr>
            <w:r w:rsidRPr="008E5925">
              <w:rPr>
                <w:rFonts w:cs="Arial"/>
                <w:szCs w:val="20"/>
              </w:rPr>
              <w:t>5</w:t>
            </w:r>
          </w:p>
        </w:tc>
        <w:tc>
          <w:tcPr>
            <w:tcW w:w="823" w:type="dxa"/>
            <w:tcBorders>
              <w:top w:val="nil"/>
              <w:left w:val="nil"/>
              <w:bottom w:val="single" w:sz="4" w:space="0" w:color="auto"/>
              <w:right w:val="single" w:sz="4" w:space="0" w:color="auto"/>
            </w:tcBorders>
            <w:shd w:val="clear" w:color="auto" w:fill="auto"/>
          </w:tcPr>
          <w:p w14:paraId="713BF7EB" w14:textId="77777777" w:rsidR="00B15BC0" w:rsidRPr="008E5925" w:rsidRDefault="00B15BC0" w:rsidP="00A90858">
            <w:pPr>
              <w:spacing w:after="60"/>
              <w:jc w:val="right"/>
              <w:rPr>
                <w:rFonts w:cs="Arial"/>
                <w:szCs w:val="20"/>
                <w:lang w:eastAsia="en-AU"/>
              </w:rPr>
            </w:pPr>
            <w:r w:rsidRPr="008E5925">
              <w:rPr>
                <w:rFonts w:cs="Arial"/>
                <w:szCs w:val="20"/>
              </w:rPr>
              <w:t xml:space="preserve">- </w:t>
            </w:r>
          </w:p>
        </w:tc>
        <w:tc>
          <w:tcPr>
            <w:tcW w:w="992" w:type="dxa"/>
            <w:tcBorders>
              <w:top w:val="nil"/>
              <w:left w:val="nil"/>
              <w:bottom w:val="single" w:sz="4" w:space="0" w:color="auto"/>
              <w:right w:val="single" w:sz="4" w:space="0" w:color="auto"/>
            </w:tcBorders>
            <w:shd w:val="clear" w:color="auto" w:fill="auto"/>
          </w:tcPr>
          <w:p w14:paraId="24A2DD25" w14:textId="77777777" w:rsidR="00B15BC0" w:rsidRPr="008E5925" w:rsidRDefault="00B15BC0" w:rsidP="00A90858">
            <w:pPr>
              <w:spacing w:after="60"/>
              <w:jc w:val="right"/>
              <w:rPr>
                <w:rFonts w:cs="Arial"/>
                <w:szCs w:val="20"/>
                <w:lang w:eastAsia="en-AU"/>
              </w:rPr>
            </w:pPr>
            <w:r w:rsidRPr="008E5925">
              <w:rPr>
                <w:rFonts w:cs="Arial"/>
                <w:szCs w:val="20"/>
              </w:rPr>
              <w:t>84</w:t>
            </w:r>
          </w:p>
        </w:tc>
        <w:tc>
          <w:tcPr>
            <w:tcW w:w="851" w:type="dxa"/>
            <w:tcBorders>
              <w:top w:val="nil"/>
              <w:left w:val="nil"/>
              <w:bottom w:val="single" w:sz="4" w:space="0" w:color="auto"/>
              <w:right w:val="single" w:sz="4" w:space="0" w:color="auto"/>
            </w:tcBorders>
            <w:shd w:val="clear" w:color="auto" w:fill="auto"/>
          </w:tcPr>
          <w:p w14:paraId="170AA824" w14:textId="77777777" w:rsidR="00B15BC0" w:rsidRPr="008E5925" w:rsidRDefault="00B15BC0" w:rsidP="00A90858">
            <w:pPr>
              <w:spacing w:after="60"/>
              <w:jc w:val="right"/>
              <w:rPr>
                <w:rFonts w:cs="Arial"/>
                <w:szCs w:val="20"/>
                <w:lang w:eastAsia="en-AU"/>
              </w:rPr>
            </w:pPr>
            <w:r w:rsidRPr="008E5925">
              <w:rPr>
                <w:rFonts w:cs="Arial"/>
                <w:szCs w:val="20"/>
              </w:rPr>
              <w:t>64</w:t>
            </w:r>
          </w:p>
        </w:tc>
        <w:tc>
          <w:tcPr>
            <w:tcW w:w="992" w:type="dxa"/>
            <w:tcBorders>
              <w:top w:val="nil"/>
              <w:left w:val="nil"/>
              <w:bottom w:val="single" w:sz="4" w:space="0" w:color="auto"/>
              <w:right w:val="single" w:sz="4" w:space="0" w:color="auto"/>
            </w:tcBorders>
            <w:shd w:val="clear" w:color="auto" w:fill="auto"/>
          </w:tcPr>
          <w:p w14:paraId="0EE11C70" w14:textId="77777777" w:rsidR="00B15BC0" w:rsidRPr="008E5925" w:rsidRDefault="00B15BC0" w:rsidP="00A90858">
            <w:pPr>
              <w:spacing w:after="60"/>
              <w:jc w:val="right"/>
              <w:rPr>
                <w:rFonts w:cs="Arial"/>
                <w:b/>
                <w:bCs/>
                <w:szCs w:val="20"/>
                <w:lang w:eastAsia="en-AU"/>
              </w:rPr>
            </w:pPr>
            <w:r w:rsidRPr="008E5925">
              <w:rPr>
                <w:rFonts w:cs="Arial"/>
                <w:b/>
                <w:bCs/>
                <w:szCs w:val="20"/>
              </w:rPr>
              <w:t>163</w:t>
            </w:r>
          </w:p>
        </w:tc>
      </w:tr>
      <w:tr w:rsidR="00B15BC0" w:rsidRPr="005D104F" w14:paraId="4DEA1C53" w14:textId="77777777" w:rsidTr="00A90858">
        <w:trPr>
          <w:trHeight w:val="284"/>
        </w:trPr>
        <w:tc>
          <w:tcPr>
            <w:tcW w:w="2683" w:type="dxa"/>
            <w:tcBorders>
              <w:top w:val="nil"/>
              <w:left w:val="single" w:sz="4" w:space="0" w:color="auto"/>
              <w:bottom w:val="single" w:sz="4" w:space="0" w:color="auto"/>
              <w:right w:val="single" w:sz="4" w:space="0" w:color="auto"/>
            </w:tcBorders>
            <w:shd w:val="clear" w:color="auto" w:fill="auto"/>
            <w:vAlign w:val="bottom"/>
            <w:hideMark/>
          </w:tcPr>
          <w:p w14:paraId="18713262" w14:textId="77777777" w:rsidR="00B15BC0" w:rsidRPr="005D104F" w:rsidRDefault="00B15BC0" w:rsidP="00A90858">
            <w:pPr>
              <w:spacing w:after="60"/>
              <w:rPr>
                <w:rFonts w:cs="Arial"/>
                <w:szCs w:val="20"/>
                <w:lang w:eastAsia="en-AU"/>
              </w:rPr>
            </w:pPr>
            <w:r w:rsidRPr="005D104F">
              <w:rPr>
                <w:rFonts w:cs="Arial"/>
                <w:szCs w:val="20"/>
                <w:lang w:eastAsia="en-AU"/>
              </w:rPr>
              <w:t>School Attendance</w:t>
            </w:r>
          </w:p>
        </w:tc>
        <w:tc>
          <w:tcPr>
            <w:tcW w:w="942" w:type="dxa"/>
            <w:tcBorders>
              <w:top w:val="nil"/>
              <w:left w:val="nil"/>
              <w:bottom w:val="single" w:sz="4" w:space="0" w:color="auto"/>
              <w:right w:val="single" w:sz="4" w:space="0" w:color="auto"/>
            </w:tcBorders>
            <w:shd w:val="clear" w:color="auto" w:fill="auto"/>
          </w:tcPr>
          <w:p w14:paraId="49A6935F" w14:textId="77777777" w:rsidR="00B15BC0" w:rsidRPr="008E5925" w:rsidRDefault="00B15BC0" w:rsidP="00A90858">
            <w:pPr>
              <w:spacing w:after="60"/>
              <w:jc w:val="right"/>
              <w:rPr>
                <w:rFonts w:cs="Arial"/>
                <w:szCs w:val="20"/>
                <w:lang w:eastAsia="en-AU"/>
              </w:rPr>
            </w:pPr>
            <w:r w:rsidRPr="008E5925">
              <w:rPr>
                <w:rFonts w:cs="Arial"/>
                <w:szCs w:val="20"/>
              </w:rPr>
              <w:t>117</w:t>
            </w:r>
          </w:p>
        </w:tc>
        <w:tc>
          <w:tcPr>
            <w:tcW w:w="939" w:type="dxa"/>
            <w:tcBorders>
              <w:top w:val="nil"/>
              <w:left w:val="nil"/>
              <w:bottom w:val="single" w:sz="4" w:space="0" w:color="auto"/>
              <w:right w:val="single" w:sz="4" w:space="0" w:color="auto"/>
            </w:tcBorders>
            <w:shd w:val="clear" w:color="auto" w:fill="auto"/>
          </w:tcPr>
          <w:p w14:paraId="16707F14" w14:textId="77777777" w:rsidR="00B15BC0" w:rsidRPr="008E5925" w:rsidRDefault="00B15BC0" w:rsidP="00A90858">
            <w:pPr>
              <w:spacing w:after="60"/>
              <w:jc w:val="right"/>
              <w:rPr>
                <w:rFonts w:cs="Arial"/>
                <w:szCs w:val="20"/>
                <w:lang w:eastAsia="en-AU"/>
              </w:rPr>
            </w:pPr>
            <w:r w:rsidRPr="008E5925">
              <w:rPr>
                <w:rFonts w:cs="Arial"/>
                <w:szCs w:val="20"/>
              </w:rPr>
              <w:t>37</w:t>
            </w:r>
          </w:p>
        </w:tc>
        <w:tc>
          <w:tcPr>
            <w:tcW w:w="823" w:type="dxa"/>
            <w:tcBorders>
              <w:top w:val="nil"/>
              <w:left w:val="nil"/>
              <w:bottom w:val="single" w:sz="4" w:space="0" w:color="auto"/>
              <w:right w:val="single" w:sz="4" w:space="0" w:color="auto"/>
            </w:tcBorders>
            <w:shd w:val="clear" w:color="auto" w:fill="auto"/>
          </w:tcPr>
          <w:p w14:paraId="74C7D464" w14:textId="77777777" w:rsidR="00B15BC0" w:rsidRPr="008E5925" w:rsidRDefault="00B15BC0" w:rsidP="00A90858">
            <w:pPr>
              <w:spacing w:after="60"/>
              <w:jc w:val="right"/>
              <w:rPr>
                <w:rFonts w:cs="Arial"/>
                <w:szCs w:val="20"/>
                <w:lang w:eastAsia="en-AU"/>
              </w:rPr>
            </w:pPr>
            <w:r w:rsidRPr="008E5925">
              <w:rPr>
                <w:rFonts w:cs="Arial"/>
                <w:szCs w:val="20"/>
              </w:rPr>
              <w:t>399</w:t>
            </w:r>
          </w:p>
        </w:tc>
        <w:tc>
          <w:tcPr>
            <w:tcW w:w="992" w:type="dxa"/>
            <w:tcBorders>
              <w:top w:val="nil"/>
              <w:left w:val="nil"/>
              <w:bottom w:val="single" w:sz="4" w:space="0" w:color="auto"/>
              <w:right w:val="single" w:sz="4" w:space="0" w:color="auto"/>
            </w:tcBorders>
            <w:shd w:val="clear" w:color="auto" w:fill="auto"/>
          </w:tcPr>
          <w:p w14:paraId="312BEE06" w14:textId="77777777" w:rsidR="00B15BC0" w:rsidRPr="008E5925" w:rsidRDefault="00B15BC0" w:rsidP="00A90858">
            <w:pPr>
              <w:spacing w:after="60"/>
              <w:jc w:val="right"/>
              <w:rPr>
                <w:rFonts w:cs="Arial"/>
                <w:szCs w:val="20"/>
                <w:lang w:eastAsia="en-AU"/>
              </w:rPr>
            </w:pPr>
            <w:r w:rsidRPr="008E5925">
              <w:rPr>
                <w:rFonts w:cs="Arial"/>
                <w:szCs w:val="20"/>
              </w:rPr>
              <w:t>69</w:t>
            </w:r>
          </w:p>
        </w:tc>
        <w:tc>
          <w:tcPr>
            <w:tcW w:w="851" w:type="dxa"/>
            <w:tcBorders>
              <w:top w:val="nil"/>
              <w:left w:val="nil"/>
              <w:bottom w:val="single" w:sz="4" w:space="0" w:color="auto"/>
              <w:right w:val="single" w:sz="4" w:space="0" w:color="auto"/>
            </w:tcBorders>
            <w:shd w:val="clear" w:color="auto" w:fill="auto"/>
          </w:tcPr>
          <w:p w14:paraId="7D573305" w14:textId="77777777" w:rsidR="00B15BC0" w:rsidRPr="008E5925" w:rsidRDefault="00B15BC0" w:rsidP="00A90858">
            <w:pPr>
              <w:spacing w:after="60"/>
              <w:jc w:val="right"/>
              <w:rPr>
                <w:rFonts w:cs="Arial"/>
                <w:szCs w:val="20"/>
                <w:lang w:eastAsia="en-AU"/>
              </w:rPr>
            </w:pPr>
            <w:r w:rsidRPr="008E5925">
              <w:rPr>
                <w:rFonts w:cs="Arial"/>
                <w:szCs w:val="20"/>
              </w:rPr>
              <w:t>7</w:t>
            </w:r>
          </w:p>
        </w:tc>
        <w:tc>
          <w:tcPr>
            <w:tcW w:w="992" w:type="dxa"/>
            <w:tcBorders>
              <w:top w:val="nil"/>
              <w:left w:val="nil"/>
              <w:bottom w:val="single" w:sz="4" w:space="0" w:color="auto"/>
              <w:right w:val="single" w:sz="4" w:space="0" w:color="auto"/>
            </w:tcBorders>
            <w:shd w:val="clear" w:color="auto" w:fill="auto"/>
          </w:tcPr>
          <w:p w14:paraId="154D34AA" w14:textId="77777777" w:rsidR="00B15BC0" w:rsidRPr="008E5925" w:rsidRDefault="00B15BC0" w:rsidP="00A90858">
            <w:pPr>
              <w:spacing w:after="60"/>
              <w:jc w:val="right"/>
              <w:rPr>
                <w:rFonts w:cs="Arial"/>
                <w:b/>
                <w:bCs/>
                <w:szCs w:val="20"/>
                <w:lang w:eastAsia="en-AU"/>
              </w:rPr>
            </w:pPr>
            <w:r w:rsidRPr="008E5925">
              <w:rPr>
                <w:rFonts w:cs="Arial"/>
                <w:b/>
                <w:bCs/>
                <w:szCs w:val="20"/>
              </w:rPr>
              <w:t>629</w:t>
            </w:r>
          </w:p>
        </w:tc>
      </w:tr>
      <w:tr w:rsidR="00B15BC0" w:rsidRPr="005D104F" w14:paraId="445B153D" w14:textId="77777777" w:rsidTr="00A90858">
        <w:trPr>
          <w:trHeight w:val="284"/>
        </w:trPr>
        <w:tc>
          <w:tcPr>
            <w:tcW w:w="2683" w:type="dxa"/>
            <w:tcBorders>
              <w:top w:val="nil"/>
              <w:left w:val="single" w:sz="4" w:space="0" w:color="auto"/>
              <w:bottom w:val="single" w:sz="4" w:space="0" w:color="auto"/>
              <w:right w:val="single" w:sz="4" w:space="0" w:color="auto"/>
            </w:tcBorders>
            <w:shd w:val="clear" w:color="auto" w:fill="auto"/>
            <w:vAlign w:val="bottom"/>
            <w:hideMark/>
          </w:tcPr>
          <w:p w14:paraId="294D6955" w14:textId="77777777" w:rsidR="00B15BC0" w:rsidRPr="005D104F" w:rsidRDefault="00B15BC0" w:rsidP="00A90858">
            <w:pPr>
              <w:spacing w:after="60"/>
              <w:rPr>
                <w:rFonts w:cs="Arial"/>
                <w:szCs w:val="20"/>
                <w:lang w:eastAsia="en-AU"/>
              </w:rPr>
            </w:pPr>
            <w:r w:rsidRPr="005D104F">
              <w:rPr>
                <w:rFonts w:cs="Arial"/>
                <w:szCs w:val="20"/>
                <w:lang w:eastAsia="en-AU"/>
              </w:rPr>
              <w:t>School Enrolment</w:t>
            </w:r>
          </w:p>
        </w:tc>
        <w:tc>
          <w:tcPr>
            <w:tcW w:w="942" w:type="dxa"/>
            <w:tcBorders>
              <w:top w:val="nil"/>
              <w:left w:val="nil"/>
              <w:bottom w:val="single" w:sz="4" w:space="0" w:color="auto"/>
              <w:right w:val="single" w:sz="4" w:space="0" w:color="auto"/>
            </w:tcBorders>
            <w:shd w:val="clear" w:color="auto" w:fill="auto"/>
          </w:tcPr>
          <w:p w14:paraId="19CE98CE" w14:textId="77777777" w:rsidR="00B15BC0" w:rsidRPr="008E5925" w:rsidRDefault="00B15BC0" w:rsidP="00A90858">
            <w:pPr>
              <w:spacing w:after="60"/>
              <w:jc w:val="right"/>
              <w:rPr>
                <w:rFonts w:cs="Arial"/>
                <w:szCs w:val="20"/>
                <w:lang w:eastAsia="en-AU"/>
              </w:rPr>
            </w:pPr>
            <w:r w:rsidRPr="008E5925">
              <w:rPr>
                <w:rFonts w:cs="Arial"/>
                <w:szCs w:val="20"/>
              </w:rPr>
              <w:t>0</w:t>
            </w:r>
          </w:p>
        </w:tc>
        <w:tc>
          <w:tcPr>
            <w:tcW w:w="939" w:type="dxa"/>
            <w:tcBorders>
              <w:top w:val="nil"/>
              <w:left w:val="nil"/>
              <w:bottom w:val="single" w:sz="4" w:space="0" w:color="auto"/>
              <w:right w:val="single" w:sz="4" w:space="0" w:color="auto"/>
            </w:tcBorders>
            <w:shd w:val="clear" w:color="auto" w:fill="auto"/>
          </w:tcPr>
          <w:p w14:paraId="25C8CFC9" w14:textId="77777777" w:rsidR="00B15BC0" w:rsidRPr="008E5925" w:rsidRDefault="00B15BC0" w:rsidP="00A90858">
            <w:pPr>
              <w:spacing w:after="60"/>
              <w:jc w:val="right"/>
              <w:rPr>
                <w:rFonts w:cs="Arial"/>
                <w:szCs w:val="20"/>
                <w:lang w:eastAsia="en-AU"/>
              </w:rPr>
            </w:pPr>
            <w:r w:rsidRPr="008E5925">
              <w:rPr>
                <w:rFonts w:cs="Arial"/>
                <w:szCs w:val="20"/>
              </w:rPr>
              <w:t>0</w:t>
            </w:r>
          </w:p>
        </w:tc>
        <w:tc>
          <w:tcPr>
            <w:tcW w:w="823" w:type="dxa"/>
            <w:tcBorders>
              <w:top w:val="nil"/>
              <w:left w:val="nil"/>
              <w:bottom w:val="single" w:sz="4" w:space="0" w:color="auto"/>
              <w:right w:val="single" w:sz="4" w:space="0" w:color="auto"/>
            </w:tcBorders>
            <w:shd w:val="clear" w:color="auto" w:fill="auto"/>
          </w:tcPr>
          <w:p w14:paraId="23D8074C" w14:textId="77777777" w:rsidR="00B15BC0" w:rsidRPr="008E5925" w:rsidRDefault="00B15BC0" w:rsidP="00A90858">
            <w:pPr>
              <w:spacing w:after="60"/>
              <w:jc w:val="right"/>
              <w:rPr>
                <w:rFonts w:cs="Arial"/>
                <w:szCs w:val="20"/>
                <w:lang w:eastAsia="en-AU"/>
              </w:rPr>
            </w:pPr>
            <w:r w:rsidRPr="008E5925">
              <w:rPr>
                <w:rFonts w:cs="Arial"/>
                <w:szCs w:val="20"/>
              </w:rPr>
              <w:t>1</w:t>
            </w:r>
          </w:p>
        </w:tc>
        <w:tc>
          <w:tcPr>
            <w:tcW w:w="992" w:type="dxa"/>
            <w:tcBorders>
              <w:top w:val="nil"/>
              <w:left w:val="nil"/>
              <w:bottom w:val="single" w:sz="4" w:space="0" w:color="auto"/>
              <w:right w:val="single" w:sz="4" w:space="0" w:color="auto"/>
            </w:tcBorders>
            <w:shd w:val="clear" w:color="auto" w:fill="auto"/>
          </w:tcPr>
          <w:p w14:paraId="319CA7B5" w14:textId="77777777" w:rsidR="00B15BC0" w:rsidRPr="008E5925" w:rsidRDefault="00B15BC0" w:rsidP="00A90858">
            <w:pPr>
              <w:spacing w:after="60"/>
              <w:jc w:val="right"/>
              <w:rPr>
                <w:rFonts w:cs="Arial"/>
                <w:szCs w:val="20"/>
                <w:lang w:eastAsia="en-AU"/>
              </w:rPr>
            </w:pPr>
            <w:r w:rsidRPr="008E5925">
              <w:rPr>
                <w:rFonts w:cs="Arial"/>
                <w:szCs w:val="20"/>
              </w:rPr>
              <w:t>0</w:t>
            </w:r>
          </w:p>
        </w:tc>
        <w:tc>
          <w:tcPr>
            <w:tcW w:w="851" w:type="dxa"/>
            <w:tcBorders>
              <w:top w:val="nil"/>
              <w:left w:val="nil"/>
              <w:bottom w:val="single" w:sz="4" w:space="0" w:color="auto"/>
              <w:right w:val="single" w:sz="4" w:space="0" w:color="auto"/>
            </w:tcBorders>
            <w:shd w:val="clear" w:color="auto" w:fill="auto"/>
          </w:tcPr>
          <w:p w14:paraId="61DA8DF6" w14:textId="77777777" w:rsidR="00B15BC0" w:rsidRPr="008E5925" w:rsidRDefault="00B15BC0" w:rsidP="00A90858">
            <w:pPr>
              <w:spacing w:after="60"/>
              <w:jc w:val="right"/>
              <w:rPr>
                <w:rFonts w:cs="Arial"/>
                <w:szCs w:val="20"/>
                <w:lang w:eastAsia="en-AU"/>
              </w:rPr>
            </w:pPr>
            <w:r w:rsidRPr="008E5925">
              <w:rPr>
                <w:rFonts w:cs="Arial"/>
                <w:szCs w:val="20"/>
              </w:rPr>
              <w:t>0</w:t>
            </w:r>
          </w:p>
        </w:tc>
        <w:tc>
          <w:tcPr>
            <w:tcW w:w="992" w:type="dxa"/>
            <w:tcBorders>
              <w:top w:val="nil"/>
              <w:left w:val="nil"/>
              <w:bottom w:val="single" w:sz="4" w:space="0" w:color="auto"/>
              <w:right w:val="single" w:sz="4" w:space="0" w:color="auto"/>
            </w:tcBorders>
            <w:shd w:val="clear" w:color="auto" w:fill="auto"/>
          </w:tcPr>
          <w:p w14:paraId="188513F3" w14:textId="77777777" w:rsidR="00B15BC0" w:rsidRPr="008E5925" w:rsidRDefault="00B15BC0" w:rsidP="00A90858">
            <w:pPr>
              <w:spacing w:after="60"/>
              <w:jc w:val="right"/>
              <w:rPr>
                <w:rFonts w:cs="Arial"/>
                <w:b/>
                <w:bCs/>
                <w:szCs w:val="20"/>
                <w:lang w:eastAsia="en-AU"/>
              </w:rPr>
            </w:pPr>
            <w:r w:rsidRPr="008E5925">
              <w:rPr>
                <w:rFonts w:cs="Arial"/>
                <w:b/>
                <w:bCs/>
                <w:szCs w:val="20"/>
              </w:rPr>
              <w:t>1</w:t>
            </w:r>
          </w:p>
        </w:tc>
      </w:tr>
      <w:tr w:rsidR="00B15BC0" w:rsidRPr="005D104F" w14:paraId="75A0583B" w14:textId="77777777" w:rsidTr="00A90858">
        <w:trPr>
          <w:trHeight w:val="284"/>
        </w:trPr>
        <w:tc>
          <w:tcPr>
            <w:tcW w:w="2683" w:type="dxa"/>
            <w:tcBorders>
              <w:top w:val="nil"/>
              <w:left w:val="single" w:sz="4" w:space="0" w:color="auto"/>
              <w:bottom w:val="single" w:sz="4" w:space="0" w:color="auto"/>
              <w:right w:val="single" w:sz="4" w:space="0" w:color="auto"/>
            </w:tcBorders>
            <w:shd w:val="clear" w:color="auto" w:fill="auto"/>
            <w:vAlign w:val="bottom"/>
            <w:hideMark/>
          </w:tcPr>
          <w:p w14:paraId="754A9555" w14:textId="77777777" w:rsidR="00B15BC0" w:rsidRPr="005D104F" w:rsidRDefault="00B15BC0" w:rsidP="00A90858">
            <w:pPr>
              <w:spacing w:after="60"/>
              <w:rPr>
                <w:rFonts w:cs="Arial"/>
                <w:szCs w:val="20"/>
                <w:lang w:eastAsia="en-AU"/>
              </w:rPr>
            </w:pPr>
            <w:r w:rsidRPr="005D104F">
              <w:rPr>
                <w:rFonts w:cs="Arial"/>
                <w:szCs w:val="20"/>
                <w:lang w:eastAsia="en-AU"/>
              </w:rPr>
              <w:t>Child Safety and Welfare</w:t>
            </w:r>
          </w:p>
        </w:tc>
        <w:tc>
          <w:tcPr>
            <w:tcW w:w="942" w:type="dxa"/>
            <w:tcBorders>
              <w:top w:val="nil"/>
              <w:left w:val="nil"/>
              <w:bottom w:val="single" w:sz="4" w:space="0" w:color="auto"/>
              <w:right w:val="single" w:sz="4" w:space="0" w:color="auto"/>
            </w:tcBorders>
            <w:shd w:val="clear" w:color="auto" w:fill="auto"/>
          </w:tcPr>
          <w:p w14:paraId="494FC55B" w14:textId="77777777" w:rsidR="00B15BC0" w:rsidRPr="008E5925" w:rsidRDefault="00B15BC0" w:rsidP="00A90858">
            <w:pPr>
              <w:spacing w:after="60"/>
              <w:jc w:val="right"/>
              <w:rPr>
                <w:rFonts w:cs="Arial"/>
                <w:szCs w:val="20"/>
                <w:lang w:eastAsia="en-AU"/>
              </w:rPr>
            </w:pPr>
            <w:r w:rsidRPr="008E5925">
              <w:rPr>
                <w:rFonts w:cs="Arial"/>
                <w:szCs w:val="20"/>
              </w:rPr>
              <w:t>11</w:t>
            </w:r>
          </w:p>
        </w:tc>
        <w:tc>
          <w:tcPr>
            <w:tcW w:w="939" w:type="dxa"/>
            <w:tcBorders>
              <w:top w:val="nil"/>
              <w:left w:val="nil"/>
              <w:bottom w:val="single" w:sz="4" w:space="0" w:color="auto"/>
              <w:right w:val="single" w:sz="4" w:space="0" w:color="auto"/>
            </w:tcBorders>
            <w:shd w:val="clear" w:color="auto" w:fill="auto"/>
          </w:tcPr>
          <w:p w14:paraId="1453080E" w14:textId="77777777" w:rsidR="00B15BC0" w:rsidRPr="008E5925" w:rsidRDefault="00B15BC0" w:rsidP="00A90858">
            <w:pPr>
              <w:spacing w:after="60"/>
              <w:jc w:val="right"/>
              <w:rPr>
                <w:rFonts w:cs="Arial"/>
                <w:szCs w:val="20"/>
                <w:lang w:eastAsia="en-AU"/>
              </w:rPr>
            </w:pPr>
            <w:r w:rsidRPr="008E5925">
              <w:rPr>
                <w:rFonts w:cs="Arial"/>
                <w:szCs w:val="20"/>
              </w:rPr>
              <w:t>0</w:t>
            </w:r>
          </w:p>
        </w:tc>
        <w:tc>
          <w:tcPr>
            <w:tcW w:w="823" w:type="dxa"/>
            <w:tcBorders>
              <w:top w:val="nil"/>
              <w:left w:val="nil"/>
              <w:bottom w:val="single" w:sz="4" w:space="0" w:color="auto"/>
              <w:right w:val="single" w:sz="4" w:space="0" w:color="auto"/>
            </w:tcBorders>
            <w:shd w:val="clear" w:color="auto" w:fill="auto"/>
          </w:tcPr>
          <w:p w14:paraId="5068CC50" w14:textId="77777777" w:rsidR="00B15BC0" w:rsidRPr="008E5925" w:rsidRDefault="00B15BC0" w:rsidP="00A90858">
            <w:pPr>
              <w:spacing w:after="60"/>
              <w:jc w:val="right"/>
              <w:rPr>
                <w:rFonts w:cs="Arial"/>
                <w:szCs w:val="20"/>
                <w:lang w:eastAsia="en-AU"/>
              </w:rPr>
            </w:pPr>
            <w:r w:rsidRPr="008E5925">
              <w:rPr>
                <w:rFonts w:cs="Arial"/>
                <w:szCs w:val="20"/>
              </w:rPr>
              <w:t>5</w:t>
            </w:r>
          </w:p>
        </w:tc>
        <w:tc>
          <w:tcPr>
            <w:tcW w:w="992" w:type="dxa"/>
            <w:tcBorders>
              <w:top w:val="nil"/>
              <w:left w:val="nil"/>
              <w:bottom w:val="single" w:sz="4" w:space="0" w:color="auto"/>
              <w:right w:val="single" w:sz="4" w:space="0" w:color="auto"/>
            </w:tcBorders>
            <w:shd w:val="clear" w:color="auto" w:fill="auto"/>
          </w:tcPr>
          <w:p w14:paraId="5F7300FD" w14:textId="77777777" w:rsidR="00B15BC0" w:rsidRPr="008E5925" w:rsidRDefault="00B15BC0" w:rsidP="00A90858">
            <w:pPr>
              <w:spacing w:after="60"/>
              <w:jc w:val="right"/>
              <w:rPr>
                <w:rFonts w:cs="Arial"/>
                <w:szCs w:val="20"/>
                <w:lang w:eastAsia="en-AU"/>
              </w:rPr>
            </w:pPr>
            <w:r w:rsidRPr="008E5925">
              <w:rPr>
                <w:rFonts w:cs="Arial"/>
                <w:szCs w:val="20"/>
              </w:rPr>
              <w:t>5</w:t>
            </w:r>
          </w:p>
        </w:tc>
        <w:tc>
          <w:tcPr>
            <w:tcW w:w="851" w:type="dxa"/>
            <w:tcBorders>
              <w:top w:val="nil"/>
              <w:left w:val="nil"/>
              <w:bottom w:val="single" w:sz="4" w:space="0" w:color="auto"/>
              <w:right w:val="single" w:sz="4" w:space="0" w:color="auto"/>
            </w:tcBorders>
            <w:shd w:val="clear" w:color="auto" w:fill="auto"/>
          </w:tcPr>
          <w:p w14:paraId="59F9C146" w14:textId="77777777" w:rsidR="00B15BC0" w:rsidRPr="008E5925" w:rsidRDefault="00B15BC0" w:rsidP="00A90858">
            <w:pPr>
              <w:spacing w:after="60"/>
              <w:jc w:val="right"/>
              <w:rPr>
                <w:rFonts w:cs="Arial"/>
                <w:szCs w:val="20"/>
                <w:lang w:eastAsia="en-AU"/>
              </w:rPr>
            </w:pPr>
            <w:r w:rsidRPr="008E5925">
              <w:rPr>
                <w:rFonts w:cs="Arial"/>
                <w:szCs w:val="20"/>
              </w:rPr>
              <w:t>2</w:t>
            </w:r>
          </w:p>
        </w:tc>
        <w:tc>
          <w:tcPr>
            <w:tcW w:w="992" w:type="dxa"/>
            <w:tcBorders>
              <w:top w:val="nil"/>
              <w:left w:val="nil"/>
              <w:bottom w:val="single" w:sz="4" w:space="0" w:color="auto"/>
              <w:right w:val="single" w:sz="4" w:space="0" w:color="auto"/>
            </w:tcBorders>
            <w:shd w:val="clear" w:color="auto" w:fill="auto"/>
          </w:tcPr>
          <w:p w14:paraId="5D7892B0" w14:textId="77777777" w:rsidR="00B15BC0" w:rsidRPr="008E5925" w:rsidRDefault="00B15BC0" w:rsidP="00A90858">
            <w:pPr>
              <w:spacing w:after="60"/>
              <w:jc w:val="right"/>
              <w:rPr>
                <w:rFonts w:cs="Arial"/>
                <w:b/>
                <w:bCs/>
                <w:szCs w:val="20"/>
                <w:lang w:eastAsia="en-AU"/>
              </w:rPr>
            </w:pPr>
            <w:r w:rsidRPr="008E5925">
              <w:rPr>
                <w:rFonts w:cs="Arial"/>
                <w:b/>
                <w:bCs/>
                <w:szCs w:val="20"/>
              </w:rPr>
              <w:t>23</w:t>
            </w:r>
          </w:p>
        </w:tc>
      </w:tr>
      <w:tr w:rsidR="00B15BC0" w:rsidRPr="005D104F" w14:paraId="405A1BB0" w14:textId="77777777" w:rsidTr="00A90858">
        <w:trPr>
          <w:trHeight w:val="284"/>
        </w:trPr>
        <w:tc>
          <w:tcPr>
            <w:tcW w:w="2683" w:type="dxa"/>
            <w:tcBorders>
              <w:top w:val="nil"/>
              <w:left w:val="single" w:sz="4" w:space="0" w:color="auto"/>
              <w:bottom w:val="single" w:sz="4" w:space="0" w:color="auto"/>
              <w:right w:val="single" w:sz="4" w:space="0" w:color="auto"/>
            </w:tcBorders>
            <w:shd w:val="clear" w:color="auto" w:fill="auto"/>
            <w:vAlign w:val="bottom"/>
            <w:hideMark/>
          </w:tcPr>
          <w:p w14:paraId="2365B7A9" w14:textId="77777777" w:rsidR="00B15BC0" w:rsidRPr="005D104F" w:rsidRDefault="00B15BC0" w:rsidP="00A90858">
            <w:pPr>
              <w:spacing w:after="60"/>
              <w:rPr>
                <w:rFonts w:cs="Arial"/>
                <w:szCs w:val="20"/>
                <w:lang w:eastAsia="en-AU"/>
              </w:rPr>
            </w:pPr>
            <w:r w:rsidRPr="005D104F">
              <w:rPr>
                <w:rFonts w:cs="Arial"/>
                <w:szCs w:val="20"/>
                <w:lang w:eastAsia="en-AU"/>
              </w:rPr>
              <w:t>Housing Tenancy</w:t>
            </w:r>
          </w:p>
        </w:tc>
        <w:tc>
          <w:tcPr>
            <w:tcW w:w="942" w:type="dxa"/>
            <w:tcBorders>
              <w:top w:val="nil"/>
              <w:left w:val="nil"/>
              <w:bottom w:val="single" w:sz="4" w:space="0" w:color="auto"/>
              <w:right w:val="single" w:sz="4" w:space="0" w:color="auto"/>
            </w:tcBorders>
            <w:shd w:val="clear" w:color="auto" w:fill="auto"/>
          </w:tcPr>
          <w:p w14:paraId="10439B59" w14:textId="77777777" w:rsidR="00B15BC0" w:rsidRPr="008E5925" w:rsidRDefault="00B15BC0" w:rsidP="00A90858">
            <w:pPr>
              <w:spacing w:after="60"/>
              <w:jc w:val="right"/>
              <w:rPr>
                <w:rFonts w:cs="Arial"/>
                <w:szCs w:val="20"/>
                <w:lang w:eastAsia="en-AU"/>
              </w:rPr>
            </w:pPr>
            <w:r w:rsidRPr="008E5925">
              <w:rPr>
                <w:rFonts w:cs="Arial"/>
                <w:szCs w:val="20"/>
              </w:rPr>
              <w:t>0</w:t>
            </w:r>
          </w:p>
        </w:tc>
        <w:tc>
          <w:tcPr>
            <w:tcW w:w="939" w:type="dxa"/>
            <w:tcBorders>
              <w:top w:val="nil"/>
              <w:left w:val="nil"/>
              <w:bottom w:val="single" w:sz="4" w:space="0" w:color="auto"/>
              <w:right w:val="single" w:sz="4" w:space="0" w:color="auto"/>
            </w:tcBorders>
            <w:shd w:val="clear" w:color="auto" w:fill="auto"/>
          </w:tcPr>
          <w:p w14:paraId="0CAB6DB7" w14:textId="77777777" w:rsidR="00B15BC0" w:rsidRPr="008E5925" w:rsidRDefault="00B15BC0" w:rsidP="00A90858">
            <w:pPr>
              <w:spacing w:after="60"/>
              <w:jc w:val="right"/>
              <w:rPr>
                <w:rFonts w:cs="Arial"/>
                <w:szCs w:val="20"/>
                <w:lang w:eastAsia="en-AU"/>
              </w:rPr>
            </w:pPr>
            <w:r w:rsidRPr="008E5925">
              <w:rPr>
                <w:rFonts w:cs="Arial"/>
                <w:szCs w:val="20"/>
              </w:rPr>
              <w:t>1</w:t>
            </w:r>
          </w:p>
        </w:tc>
        <w:tc>
          <w:tcPr>
            <w:tcW w:w="823" w:type="dxa"/>
            <w:tcBorders>
              <w:top w:val="nil"/>
              <w:left w:val="nil"/>
              <w:bottom w:val="single" w:sz="4" w:space="0" w:color="auto"/>
              <w:right w:val="single" w:sz="4" w:space="0" w:color="auto"/>
            </w:tcBorders>
            <w:shd w:val="clear" w:color="auto" w:fill="auto"/>
          </w:tcPr>
          <w:p w14:paraId="279CCACA" w14:textId="77777777" w:rsidR="00B15BC0" w:rsidRPr="008E5925" w:rsidRDefault="00B15BC0" w:rsidP="00A90858">
            <w:pPr>
              <w:spacing w:after="60"/>
              <w:jc w:val="right"/>
              <w:rPr>
                <w:rFonts w:cs="Arial"/>
                <w:szCs w:val="20"/>
                <w:lang w:eastAsia="en-AU"/>
              </w:rPr>
            </w:pPr>
            <w:r w:rsidRPr="008E5925">
              <w:rPr>
                <w:rFonts w:cs="Arial"/>
                <w:szCs w:val="20"/>
              </w:rPr>
              <w:t xml:space="preserve">- </w:t>
            </w:r>
          </w:p>
        </w:tc>
        <w:tc>
          <w:tcPr>
            <w:tcW w:w="992" w:type="dxa"/>
            <w:tcBorders>
              <w:top w:val="nil"/>
              <w:left w:val="nil"/>
              <w:bottom w:val="single" w:sz="4" w:space="0" w:color="auto"/>
              <w:right w:val="single" w:sz="4" w:space="0" w:color="auto"/>
            </w:tcBorders>
            <w:shd w:val="clear" w:color="auto" w:fill="auto"/>
          </w:tcPr>
          <w:p w14:paraId="451C81E5" w14:textId="77777777" w:rsidR="00B15BC0" w:rsidRPr="008E5925" w:rsidRDefault="00B15BC0" w:rsidP="00A90858">
            <w:pPr>
              <w:spacing w:after="60"/>
              <w:jc w:val="right"/>
              <w:rPr>
                <w:rFonts w:cs="Arial"/>
                <w:szCs w:val="20"/>
                <w:lang w:eastAsia="en-AU"/>
              </w:rPr>
            </w:pPr>
            <w:r w:rsidRPr="008E5925">
              <w:rPr>
                <w:rFonts w:cs="Arial"/>
                <w:szCs w:val="20"/>
              </w:rPr>
              <w:t>0</w:t>
            </w:r>
          </w:p>
        </w:tc>
        <w:tc>
          <w:tcPr>
            <w:tcW w:w="851" w:type="dxa"/>
            <w:tcBorders>
              <w:top w:val="nil"/>
              <w:left w:val="nil"/>
              <w:bottom w:val="single" w:sz="4" w:space="0" w:color="auto"/>
              <w:right w:val="single" w:sz="4" w:space="0" w:color="auto"/>
            </w:tcBorders>
            <w:shd w:val="clear" w:color="auto" w:fill="auto"/>
          </w:tcPr>
          <w:p w14:paraId="71B01836" w14:textId="77777777" w:rsidR="00B15BC0" w:rsidRPr="008E5925" w:rsidRDefault="00B15BC0" w:rsidP="00A90858">
            <w:pPr>
              <w:spacing w:after="60"/>
              <w:jc w:val="right"/>
              <w:rPr>
                <w:rFonts w:cs="Arial"/>
                <w:szCs w:val="20"/>
                <w:lang w:eastAsia="en-AU"/>
              </w:rPr>
            </w:pPr>
            <w:r w:rsidRPr="008E5925">
              <w:rPr>
                <w:rFonts w:cs="Arial"/>
                <w:szCs w:val="20"/>
              </w:rPr>
              <w:t>0</w:t>
            </w:r>
          </w:p>
        </w:tc>
        <w:tc>
          <w:tcPr>
            <w:tcW w:w="992" w:type="dxa"/>
            <w:tcBorders>
              <w:top w:val="nil"/>
              <w:left w:val="nil"/>
              <w:bottom w:val="single" w:sz="4" w:space="0" w:color="auto"/>
              <w:right w:val="single" w:sz="4" w:space="0" w:color="auto"/>
            </w:tcBorders>
            <w:shd w:val="clear" w:color="auto" w:fill="auto"/>
          </w:tcPr>
          <w:p w14:paraId="0B9DD0A6" w14:textId="77777777" w:rsidR="00B15BC0" w:rsidRPr="008E5925" w:rsidRDefault="00B15BC0" w:rsidP="00A90858">
            <w:pPr>
              <w:spacing w:after="60"/>
              <w:jc w:val="right"/>
              <w:rPr>
                <w:rFonts w:cs="Arial"/>
                <w:b/>
                <w:bCs/>
                <w:szCs w:val="20"/>
                <w:lang w:eastAsia="en-AU"/>
              </w:rPr>
            </w:pPr>
            <w:r w:rsidRPr="008E5925">
              <w:rPr>
                <w:rFonts w:cs="Arial"/>
                <w:b/>
                <w:bCs/>
                <w:szCs w:val="20"/>
              </w:rPr>
              <w:t>1</w:t>
            </w:r>
          </w:p>
        </w:tc>
      </w:tr>
      <w:tr w:rsidR="00B15BC0" w:rsidRPr="005D104F" w14:paraId="598F633E" w14:textId="77777777" w:rsidTr="00A90858">
        <w:trPr>
          <w:trHeight w:val="284"/>
        </w:trPr>
        <w:tc>
          <w:tcPr>
            <w:tcW w:w="2683" w:type="dxa"/>
            <w:tcBorders>
              <w:top w:val="nil"/>
              <w:left w:val="single" w:sz="4" w:space="0" w:color="auto"/>
              <w:bottom w:val="single" w:sz="4" w:space="0" w:color="auto"/>
              <w:right w:val="single" w:sz="4" w:space="0" w:color="auto"/>
            </w:tcBorders>
            <w:shd w:val="clear" w:color="auto" w:fill="auto"/>
            <w:vAlign w:val="bottom"/>
            <w:hideMark/>
          </w:tcPr>
          <w:p w14:paraId="5BE50F4B" w14:textId="77777777" w:rsidR="00B15BC0" w:rsidRPr="005D104F" w:rsidRDefault="00B15BC0" w:rsidP="00A90858">
            <w:pPr>
              <w:spacing w:after="60"/>
              <w:rPr>
                <w:rFonts w:cs="Arial"/>
                <w:b/>
                <w:bCs/>
                <w:szCs w:val="20"/>
                <w:lang w:eastAsia="en-AU"/>
              </w:rPr>
            </w:pPr>
            <w:r w:rsidRPr="005D104F">
              <w:rPr>
                <w:rFonts w:cs="Arial"/>
                <w:b/>
                <w:bCs/>
                <w:szCs w:val="20"/>
                <w:lang w:eastAsia="en-AU"/>
              </w:rPr>
              <w:t>Total</w:t>
            </w:r>
          </w:p>
        </w:tc>
        <w:tc>
          <w:tcPr>
            <w:tcW w:w="942" w:type="dxa"/>
            <w:tcBorders>
              <w:top w:val="nil"/>
              <w:left w:val="nil"/>
              <w:bottom w:val="single" w:sz="4" w:space="0" w:color="auto"/>
              <w:right w:val="single" w:sz="4" w:space="0" w:color="auto"/>
            </w:tcBorders>
            <w:shd w:val="clear" w:color="auto" w:fill="auto"/>
          </w:tcPr>
          <w:p w14:paraId="7D88A0B6" w14:textId="77777777" w:rsidR="00B15BC0" w:rsidRPr="008E5925" w:rsidRDefault="00B15BC0" w:rsidP="00A90858">
            <w:pPr>
              <w:spacing w:after="60"/>
              <w:jc w:val="right"/>
              <w:rPr>
                <w:rFonts w:cs="Arial"/>
                <w:b/>
                <w:bCs/>
                <w:szCs w:val="20"/>
                <w:lang w:eastAsia="en-AU"/>
              </w:rPr>
            </w:pPr>
            <w:r w:rsidRPr="008E5925">
              <w:rPr>
                <w:rFonts w:cs="Arial"/>
                <w:b/>
                <w:bCs/>
                <w:szCs w:val="20"/>
              </w:rPr>
              <w:t>857</w:t>
            </w:r>
          </w:p>
        </w:tc>
        <w:tc>
          <w:tcPr>
            <w:tcW w:w="939" w:type="dxa"/>
            <w:tcBorders>
              <w:top w:val="nil"/>
              <w:left w:val="nil"/>
              <w:bottom w:val="single" w:sz="4" w:space="0" w:color="auto"/>
              <w:right w:val="single" w:sz="4" w:space="0" w:color="auto"/>
            </w:tcBorders>
            <w:shd w:val="clear" w:color="auto" w:fill="auto"/>
          </w:tcPr>
          <w:p w14:paraId="7D8A589B" w14:textId="77777777" w:rsidR="00B15BC0" w:rsidRPr="008E5925" w:rsidRDefault="00B15BC0" w:rsidP="00A90858">
            <w:pPr>
              <w:spacing w:after="60"/>
              <w:jc w:val="right"/>
              <w:rPr>
                <w:rFonts w:cs="Arial"/>
                <w:b/>
                <w:bCs/>
                <w:szCs w:val="20"/>
                <w:lang w:eastAsia="en-AU"/>
              </w:rPr>
            </w:pPr>
            <w:r w:rsidRPr="008E5925">
              <w:rPr>
                <w:rFonts w:cs="Arial"/>
                <w:b/>
                <w:bCs/>
                <w:szCs w:val="20"/>
              </w:rPr>
              <w:t>60</w:t>
            </w:r>
          </w:p>
        </w:tc>
        <w:tc>
          <w:tcPr>
            <w:tcW w:w="823" w:type="dxa"/>
            <w:tcBorders>
              <w:top w:val="nil"/>
              <w:left w:val="nil"/>
              <w:bottom w:val="single" w:sz="4" w:space="0" w:color="auto"/>
              <w:right w:val="single" w:sz="4" w:space="0" w:color="auto"/>
            </w:tcBorders>
            <w:shd w:val="clear" w:color="auto" w:fill="auto"/>
          </w:tcPr>
          <w:p w14:paraId="3F762121" w14:textId="77777777" w:rsidR="00B15BC0" w:rsidRPr="008E5925" w:rsidRDefault="00B15BC0" w:rsidP="00A90858">
            <w:pPr>
              <w:spacing w:after="60"/>
              <w:jc w:val="right"/>
              <w:rPr>
                <w:rFonts w:cs="Arial"/>
                <w:b/>
                <w:bCs/>
                <w:szCs w:val="20"/>
                <w:lang w:eastAsia="en-AU"/>
              </w:rPr>
            </w:pPr>
            <w:r w:rsidRPr="008E5925">
              <w:rPr>
                <w:rFonts w:cs="Arial"/>
                <w:b/>
                <w:bCs/>
                <w:szCs w:val="20"/>
              </w:rPr>
              <w:t>405</w:t>
            </w:r>
          </w:p>
        </w:tc>
        <w:tc>
          <w:tcPr>
            <w:tcW w:w="992" w:type="dxa"/>
            <w:tcBorders>
              <w:top w:val="nil"/>
              <w:left w:val="nil"/>
              <w:bottom w:val="single" w:sz="4" w:space="0" w:color="auto"/>
              <w:right w:val="single" w:sz="4" w:space="0" w:color="auto"/>
            </w:tcBorders>
            <w:shd w:val="clear" w:color="auto" w:fill="auto"/>
          </w:tcPr>
          <w:p w14:paraId="31E1BB57" w14:textId="77777777" w:rsidR="00B15BC0" w:rsidRPr="008E5925" w:rsidRDefault="00B15BC0" w:rsidP="00A90858">
            <w:pPr>
              <w:spacing w:after="60"/>
              <w:jc w:val="right"/>
              <w:rPr>
                <w:rFonts w:cs="Arial"/>
                <w:b/>
                <w:bCs/>
                <w:szCs w:val="20"/>
                <w:lang w:eastAsia="en-AU"/>
              </w:rPr>
            </w:pPr>
            <w:r w:rsidRPr="008E5925">
              <w:rPr>
                <w:rFonts w:cs="Arial"/>
                <w:b/>
                <w:bCs/>
                <w:szCs w:val="20"/>
              </w:rPr>
              <w:t>572</w:t>
            </w:r>
          </w:p>
        </w:tc>
        <w:tc>
          <w:tcPr>
            <w:tcW w:w="851" w:type="dxa"/>
            <w:tcBorders>
              <w:top w:val="nil"/>
              <w:left w:val="nil"/>
              <w:bottom w:val="single" w:sz="4" w:space="0" w:color="auto"/>
              <w:right w:val="single" w:sz="4" w:space="0" w:color="auto"/>
            </w:tcBorders>
            <w:shd w:val="clear" w:color="auto" w:fill="auto"/>
          </w:tcPr>
          <w:p w14:paraId="3BDCD5F7" w14:textId="77777777" w:rsidR="00B15BC0" w:rsidRPr="008E5925" w:rsidRDefault="00B15BC0" w:rsidP="00A90858">
            <w:pPr>
              <w:spacing w:after="60"/>
              <w:jc w:val="right"/>
              <w:rPr>
                <w:rFonts w:cs="Arial"/>
                <w:b/>
                <w:bCs/>
                <w:szCs w:val="20"/>
                <w:lang w:eastAsia="en-AU"/>
              </w:rPr>
            </w:pPr>
            <w:r w:rsidRPr="008E5925">
              <w:rPr>
                <w:rFonts w:cs="Arial"/>
                <w:b/>
                <w:bCs/>
                <w:szCs w:val="20"/>
              </w:rPr>
              <w:t>467</w:t>
            </w:r>
          </w:p>
        </w:tc>
        <w:tc>
          <w:tcPr>
            <w:tcW w:w="992" w:type="dxa"/>
            <w:tcBorders>
              <w:top w:val="nil"/>
              <w:left w:val="nil"/>
              <w:bottom w:val="single" w:sz="4" w:space="0" w:color="auto"/>
              <w:right w:val="single" w:sz="4" w:space="0" w:color="auto"/>
            </w:tcBorders>
            <w:shd w:val="clear" w:color="auto" w:fill="auto"/>
          </w:tcPr>
          <w:p w14:paraId="22094B02" w14:textId="77777777" w:rsidR="00B15BC0" w:rsidRPr="008E5925" w:rsidRDefault="00B15BC0" w:rsidP="00A90858">
            <w:pPr>
              <w:spacing w:after="60"/>
              <w:jc w:val="right"/>
              <w:rPr>
                <w:rFonts w:cs="Arial"/>
                <w:b/>
                <w:bCs/>
                <w:szCs w:val="20"/>
                <w:lang w:eastAsia="en-AU"/>
              </w:rPr>
            </w:pPr>
            <w:r w:rsidRPr="008E5925">
              <w:rPr>
                <w:rFonts w:cs="Arial"/>
                <w:b/>
                <w:bCs/>
                <w:szCs w:val="20"/>
              </w:rPr>
              <w:t>2,361</w:t>
            </w:r>
          </w:p>
        </w:tc>
      </w:tr>
    </w:tbl>
    <w:p w14:paraId="01606398" w14:textId="56B1E26A" w:rsidR="002B2B87" w:rsidRPr="006E3328" w:rsidRDefault="002B2B87" w:rsidP="002B2B87">
      <w:pPr>
        <w:tabs>
          <w:tab w:val="left" w:pos="340"/>
          <w:tab w:val="right" w:pos="7160"/>
          <w:tab w:val="right" w:pos="8620"/>
          <w:tab w:val="right" w:pos="9840"/>
          <w:tab w:val="right" w:pos="10240"/>
        </w:tabs>
        <w:suppressAutoHyphens/>
        <w:autoSpaceDE w:val="0"/>
        <w:autoSpaceDN w:val="0"/>
        <w:adjustRightInd w:val="0"/>
        <w:spacing w:before="120" w:line="260" w:lineRule="atLeast"/>
        <w:ind w:right="567"/>
        <w:textAlignment w:val="center"/>
        <w:rPr>
          <w:rFonts w:cs="Arial"/>
          <w:spacing w:val="-2"/>
          <w:sz w:val="16"/>
          <w:szCs w:val="16"/>
          <w:lang w:val="en-US"/>
        </w:rPr>
      </w:pPr>
      <w:r>
        <w:rPr>
          <w:rFonts w:cs="Arial"/>
          <w:spacing w:val="-2"/>
          <w:sz w:val="16"/>
          <w:szCs w:val="16"/>
          <w:lang w:val="en-US"/>
        </w:rPr>
        <w:t>7</w:t>
      </w:r>
      <w:r w:rsidRPr="006E3328">
        <w:rPr>
          <w:rFonts w:cs="Arial"/>
          <w:spacing w:val="-2"/>
          <w:sz w:val="16"/>
          <w:szCs w:val="16"/>
          <w:lang w:val="en-US"/>
        </w:rPr>
        <w:t>. Agency notices for the community of Doomadgee are presently received from the Department of Education and the Department of Child Safety, Youth and Women only.</w:t>
      </w:r>
    </w:p>
    <w:p w14:paraId="470F861C" w14:textId="0F61E139" w:rsidR="00B15BC0" w:rsidRPr="001A4A81" w:rsidRDefault="00B15BC0" w:rsidP="00E37C4C">
      <w:pPr>
        <w:pStyle w:val="Heading3"/>
      </w:pPr>
      <w:r w:rsidRPr="001A4A81">
        <w:lastRenderedPageBreak/>
        <w:t>Notices overview</w:t>
      </w:r>
    </w:p>
    <w:p w14:paraId="3998C94C" w14:textId="7F2AE06E" w:rsidR="00B15BC0" w:rsidRDefault="00B15BC0" w:rsidP="00F6557A">
      <w:pPr>
        <w:widowControl w:val="0"/>
        <w:autoSpaceDE w:val="0"/>
        <w:autoSpaceDN w:val="0"/>
        <w:adjustRightInd w:val="0"/>
        <w:spacing w:line="260" w:lineRule="atLeast"/>
      </w:pPr>
      <w:r>
        <w:t>The total number of in jurisdiction notices increased slightly from 5,588 in the 2017-18 year to 5,67</w:t>
      </w:r>
      <w:r w:rsidR="00D42212">
        <w:t>0</w:t>
      </w:r>
      <w:r>
        <w:t xml:space="preserve"> in the current reporting period</w:t>
      </w:r>
      <w:r w:rsidR="0087217F">
        <w:t>.</w:t>
      </w:r>
    </w:p>
    <w:p w14:paraId="356F3C61" w14:textId="564B1472" w:rsidR="00B15BC0" w:rsidRDefault="00B15BC0" w:rsidP="00F6557A">
      <w:pPr>
        <w:widowControl w:val="0"/>
        <w:autoSpaceDE w:val="0"/>
        <w:autoSpaceDN w:val="0"/>
        <w:adjustRightInd w:val="0"/>
        <w:spacing w:line="260" w:lineRule="atLeast"/>
      </w:pPr>
      <w:r w:rsidRPr="004F6F0A">
        <w:t>There was a</w:t>
      </w:r>
      <w:r>
        <w:t xml:space="preserve"> marked</w:t>
      </w:r>
      <w:r w:rsidRPr="004F6F0A">
        <w:t xml:space="preserve"> decrease in the </w:t>
      </w:r>
      <w:r>
        <w:t xml:space="preserve">overall </w:t>
      </w:r>
      <w:r w:rsidRPr="004F6F0A">
        <w:t xml:space="preserve">number of District Court </w:t>
      </w:r>
      <w:r>
        <w:t>n</w:t>
      </w:r>
      <w:r w:rsidRPr="004F6F0A">
        <w:t>otices received</w:t>
      </w:r>
      <w:r>
        <w:t xml:space="preserve">, dropping from 95 in the 2017-18 year to 24 in 2018-19, a decrease of 74.7 percent. </w:t>
      </w:r>
      <w:r w:rsidR="00B915E2" w:rsidRPr="00586690">
        <w:t xml:space="preserve">For the same period </w:t>
      </w:r>
      <w:r w:rsidR="00B915E2">
        <w:t xml:space="preserve">there was </w:t>
      </w:r>
      <w:r w:rsidR="00B915E2" w:rsidRPr="00586690">
        <w:t xml:space="preserve">an increase in Magistrates Court </w:t>
      </w:r>
      <w:r w:rsidR="00B915E2">
        <w:t>notices from 1</w:t>
      </w:r>
      <w:r w:rsidR="0063507A">
        <w:t>,</w:t>
      </w:r>
      <w:r w:rsidR="00B915E2">
        <w:t>344 in 2017-18 to 1</w:t>
      </w:r>
      <w:r w:rsidR="0063507A">
        <w:t>,</w:t>
      </w:r>
      <w:r w:rsidR="00B915E2">
        <w:t>446 in 2018-19.</w:t>
      </w:r>
      <w:r w:rsidR="00B915E2" w:rsidRPr="00586690">
        <w:t xml:space="preserve"> </w:t>
      </w:r>
      <w:r>
        <w:t>It should be noted that the number of court notices received fluctuated at different times and between communities. Enquiries with the Queensland Police Service</w:t>
      </w:r>
      <w:r w:rsidR="00FE1D30">
        <w:t xml:space="preserve"> (QPS)</w:t>
      </w:r>
      <w:r>
        <w:t xml:space="preserve"> have attributed the fluctuation to variation in QPS staffing levels, particularly in </w:t>
      </w:r>
      <w:r w:rsidR="00B915E2">
        <w:t>Aurukun</w:t>
      </w:r>
      <w:r>
        <w:t xml:space="preserve"> and </w:t>
      </w:r>
      <w:r w:rsidR="00B915E2">
        <w:t>Hope Vale</w:t>
      </w:r>
      <w:r>
        <w:t xml:space="preserve">, which recorded decreases of </w:t>
      </w:r>
      <w:r w:rsidR="00B915E2">
        <w:t>31</w:t>
      </w:r>
      <w:r>
        <w:t xml:space="preserve"> and </w:t>
      </w:r>
      <w:r w:rsidR="00B915E2">
        <w:t xml:space="preserve">29 District Court </w:t>
      </w:r>
      <w:r>
        <w:t xml:space="preserve">notices respectively from the previous year. It was also reported that more guilty pleas in the Magistrates Court may have affected the number of matters being referred to the District Court. Hope Vale Police also reported positive engagement with community youth had reduced juvenile </w:t>
      </w:r>
      <w:r w:rsidRPr="00586690">
        <w:t xml:space="preserve">offending </w:t>
      </w:r>
      <w:r>
        <w:t xml:space="preserve">for most of the year, however offending could often be affected by the presence or absence of </w:t>
      </w:r>
      <w:proofErr w:type="gramStart"/>
      <w:r>
        <w:t>particular individuals</w:t>
      </w:r>
      <w:proofErr w:type="gramEnd"/>
      <w:r w:rsidRPr="00586690">
        <w:t xml:space="preserve">. </w:t>
      </w:r>
      <w:r w:rsidR="00B915E2">
        <w:t>The increase in the number of Magistrate</w:t>
      </w:r>
      <w:r w:rsidR="00347F8B">
        <w:t>s</w:t>
      </w:r>
      <w:r w:rsidR="00B915E2">
        <w:t xml:space="preserve"> Court notices </w:t>
      </w:r>
      <w:r>
        <w:t>can possibly be attributed to the</w:t>
      </w:r>
      <w:r w:rsidRPr="00586690">
        <w:t xml:space="preserve"> impact of disaster relief payments resulting in an increase in alcohol related offences</w:t>
      </w:r>
      <w:r w:rsidRPr="004F6F0A">
        <w:t xml:space="preserve"> in some communities.</w:t>
      </w:r>
    </w:p>
    <w:p w14:paraId="076C31EE" w14:textId="2E6F04F3" w:rsidR="00B15BC0" w:rsidRPr="005D104F" w:rsidRDefault="00B15BC0" w:rsidP="00F6557A">
      <w:pPr>
        <w:widowControl w:val="0"/>
        <w:autoSpaceDE w:val="0"/>
        <w:autoSpaceDN w:val="0"/>
        <w:adjustRightInd w:val="0"/>
        <w:spacing w:line="260" w:lineRule="atLeast"/>
      </w:pPr>
      <w:bookmarkStart w:id="9" w:name="_Hlk13490253"/>
      <w:r>
        <w:t>The number of School Attendance notices received increased in the 2018-19 year, while Housing Tenancy notices, School Enrolment notices and Child Safety and Welfare notices were all down on the previous year. The total number of Housing Tenancy notices decreased by 45.8 perce</w:t>
      </w:r>
      <w:r w:rsidR="007968C2">
        <w:t>nt.</w:t>
      </w:r>
      <w:r>
        <w:t xml:space="preserve"> School Enrolment notices decreased by 31.8 percent</w:t>
      </w:r>
      <w:r w:rsidR="007968C2">
        <w:t>,</w:t>
      </w:r>
      <w:r>
        <w:t xml:space="preserve"> </w:t>
      </w:r>
      <w:r w:rsidR="007968C2">
        <w:t>and</w:t>
      </w:r>
      <w:r>
        <w:t xml:space="preserve"> Child Safety and Welfare notices were down 15.7 percent. While the percentage decrease in notices seems significant, they represent a reduction in the number of notices that is not unusual from year to year. For example, </w:t>
      </w:r>
      <w:r w:rsidR="00C96371">
        <w:t>the decrease of 31.8 percent</w:t>
      </w:r>
      <w:r w:rsidR="008F28FC">
        <w:t xml:space="preserve"> for School Enrolment notices only related to a reduction of 7 notices. DHPW attribute the reduction of 11 Housing Tenancy notices</w:t>
      </w:r>
      <w:r w:rsidR="004A5ACC">
        <w:t xml:space="preserve"> to work teams </w:t>
      </w:r>
      <w:r w:rsidR="00A15C5A">
        <w:t>negotiating</w:t>
      </w:r>
      <w:r w:rsidR="004A5ACC">
        <w:t xml:space="preserve"> with customers to resolve matters prior to the issue of breaches</w:t>
      </w:r>
      <w:r>
        <w:t xml:space="preserve">. Most notable was the 83.0 percent decline in Child Safety and Welfare notices received for Doomadgee. </w:t>
      </w:r>
      <w:bookmarkStart w:id="10" w:name="_Hlk14682475"/>
      <w:r>
        <w:t xml:space="preserve">Enquiries with </w:t>
      </w:r>
      <w:r w:rsidR="00BD7A73">
        <w:t>DCSY</w:t>
      </w:r>
      <w:r w:rsidR="00683DAA">
        <w:t>W</w:t>
      </w:r>
      <w:r>
        <w:t xml:space="preserve">, and </w:t>
      </w:r>
      <w:r w:rsidR="00BD7A73">
        <w:t>DoE</w:t>
      </w:r>
      <w:r>
        <w:t xml:space="preserve"> (for </w:t>
      </w:r>
      <w:r w:rsidR="00FE1D30">
        <w:t>School Enrolment notices</w:t>
      </w:r>
      <w:r>
        <w:t>) and their subsequent investigations, revealed that some notices which should have been sent to the FRC may have been overlooked due in part to administrative issues and changes in staffing</w:t>
      </w:r>
      <w:bookmarkEnd w:id="9"/>
      <w:r>
        <w:t>. A reminder to those agencies of the legislative requirements under the FRC Act and the need to implement more robust communication practices will mitigate the risk of this situation being repeated.</w:t>
      </w:r>
      <w:bookmarkEnd w:id="10"/>
    </w:p>
    <w:p w14:paraId="5CC41F06" w14:textId="77777777" w:rsidR="00A125AF" w:rsidRDefault="00A125AF" w:rsidP="00A125AF">
      <w:pPr>
        <w:ind w:right="48"/>
        <w:jc w:val="both"/>
      </w:pPr>
    </w:p>
    <w:p w14:paraId="6AE6FF6B" w14:textId="77777777" w:rsidR="00474457" w:rsidRDefault="00474457" w:rsidP="00A125AF">
      <w:pPr>
        <w:ind w:right="48"/>
        <w:jc w:val="both"/>
        <w:sectPr w:rsidR="00474457" w:rsidSect="00066DE4">
          <w:headerReference w:type="even" r:id="rId65"/>
          <w:headerReference w:type="default" r:id="rId66"/>
          <w:headerReference w:type="first" r:id="rId67"/>
          <w:footnotePr>
            <w:numRestart w:val="eachSect"/>
          </w:footnotePr>
          <w:pgSz w:w="11906" w:h="16838"/>
          <w:pgMar w:top="2948" w:right="1701" w:bottom="567" w:left="1701" w:header="0" w:footer="567" w:gutter="0"/>
          <w:cols w:space="708"/>
          <w:docGrid w:linePitch="360"/>
        </w:sectPr>
      </w:pPr>
    </w:p>
    <w:bookmarkEnd w:id="6"/>
    <w:p w14:paraId="3AE1AEB2" w14:textId="77777777" w:rsidR="00474457" w:rsidRPr="008E7494" w:rsidRDefault="00474457" w:rsidP="00474457">
      <w:pPr>
        <w:spacing w:after="0" w:line="240" w:lineRule="auto"/>
      </w:pPr>
    </w:p>
    <w:tbl>
      <w:tblPr>
        <w:tblW w:w="11079" w:type="dxa"/>
        <w:tblInd w:w="-34" w:type="dxa"/>
        <w:tblLayout w:type="fixed"/>
        <w:tblLook w:val="01E0" w:firstRow="1" w:lastRow="1" w:firstColumn="1" w:lastColumn="1" w:noHBand="0" w:noVBand="0"/>
      </w:tblPr>
      <w:tblGrid>
        <w:gridCol w:w="5540"/>
        <w:gridCol w:w="5539"/>
      </w:tblGrid>
      <w:tr w:rsidR="00B14E5E" w:rsidRPr="008E7494" w14:paraId="54A9AEDA" w14:textId="77777777" w:rsidTr="00A90858">
        <w:tc>
          <w:tcPr>
            <w:tcW w:w="5540" w:type="dxa"/>
            <w:shd w:val="clear" w:color="auto" w:fill="auto"/>
          </w:tcPr>
          <w:p w14:paraId="7EF7C232" w14:textId="3A259CA7" w:rsidR="00B14E5E" w:rsidRDefault="00B14E5E" w:rsidP="00A90858">
            <w:r w:rsidRPr="005D104F">
              <w:t>From 1 July 201</w:t>
            </w:r>
            <w:r>
              <w:t>8</w:t>
            </w:r>
            <w:r w:rsidRPr="005D104F">
              <w:t xml:space="preserve"> to 30 June 201</w:t>
            </w:r>
            <w:r>
              <w:t>9</w:t>
            </w:r>
            <w:r w:rsidRPr="005D104F">
              <w:t xml:space="preserve">, </w:t>
            </w:r>
            <w:r w:rsidRPr="00F1300B">
              <w:t>26.7</w:t>
            </w:r>
            <w:r w:rsidRPr="005D104F">
              <w:t xml:space="preserve"> percent of the Commission’s clients who received a notice in the financial year received more than five notices.</w:t>
            </w:r>
          </w:p>
          <w:p w14:paraId="6404A95B" w14:textId="541771AA" w:rsidR="00C452B9" w:rsidRPr="000E4D75" w:rsidRDefault="00C452B9" w:rsidP="00C452B9">
            <w:pPr>
              <w:widowControl w:val="0"/>
              <w:autoSpaceDE w:val="0"/>
              <w:autoSpaceDN w:val="0"/>
              <w:adjustRightInd w:val="0"/>
              <w:ind w:left="720" w:hanging="720"/>
              <w:rPr>
                <w:rFonts w:ascii="Helvetica" w:hAnsi="Helvetica" w:cs="Helvetica"/>
                <w:b/>
                <w:bCs/>
                <w:sz w:val="17"/>
                <w:szCs w:val="17"/>
                <w:lang w:val="en-US"/>
              </w:rPr>
            </w:pPr>
            <w:r w:rsidRPr="00A72285">
              <w:rPr>
                <w:rFonts w:ascii="Helvetica" w:hAnsi="Helvetica" w:cs="Helvetica"/>
                <w:b/>
                <w:bCs/>
                <w:sz w:val="17"/>
                <w:szCs w:val="17"/>
                <w:lang w:val="en-US"/>
              </w:rPr>
              <w:t>Table 7: FRC clients</w:t>
            </w:r>
            <w:r w:rsidRPr="007512F8">
              <w:rPr>
                <w:rFonts w:ascii="Helvetica" w:hAnsi="Helvetica" w:cs="Helvetica"/>
                <w:b/>
                <w:bCs/>
                <w:sz w:val="17"/>
                <w:szCs w:val="17"/>
                <w:lang w:val="en-US"/>
              </w:rPr>
              <w:t xml:space="preserve"> by number of </w:t>
            </w:r>
            <w:r>
              <w:rPr>
                <w:rFonts w:ascii="Helvetica" w:hAnsi="Helvetica" w:cs="Helvetica"/>
                <w:b/>
                <w:bCs/>
                <w:sz w:val="17"/>
                <w:szCs w:val="17"/>
                <w:lang w:val="en-US"/>
              </w:rPr>
              <w:t xml:space="preserve">notices </w:t>
            </w:r>
            <w:r>
              <w:rPr>
                <w:rFonts w:ascii="Helvetica" w:hAnsi="Helvetica" w:cs="Helvetica"/>
                <w:b/>
                <w:bCs/>
                <w:sz w:val="17"/>
                <w:szCs w:val="17"/>
                <w:lang w:val="en-US"/>
              </w:rPr>
              <w:br/>
              <w:t>1 July 2018 to 30 June 2019</w:t>
            </w:r>
          </w:p>
          <w:tbl>
            <w:tblPr>
              <w:tblW w:w="4400" w:type="dxa"/>
              <w:tblLayout w:type="fixed"/>
              <w:tblLook w:val="04A0" w:firstRow="1" w:lastRow="0" w:firstColumn="1" w:lastColumn="0" w:noHBand="0" w:noVBand="1"/>
            </w:tblPr>
            <w:tblGrid>
              <w:gridCol w:w="3031"/>
              <w:gridCol w:w="1369"/>
            </w:tblGrid>
            <w:tr w:rsidR="00C452B9" w:rsidRPr="00550B7B" w14:paraId="04832937" w14:textId="77777777" w:rsidTr="004C0B80">
              <w:trPr>
                <w:trHeight w:val="510"/>
              </w:trPr>
              <w:tc>
                <w:tcPr>
                  <w:tcW w:w="3031" w:type="dxa"/>
                  <w:tcBorders>
                    <w:top w:val="single" w:sz="4" w:space="0" w:color="auto"/>
                    <w:left w:val="single" w:sz="4" w:space="0" w:color="auto"/>
                    <w:bottom w:val="single" w:sz="4" w:space="0" w:color="auto"/>
                    <w:right w:val="single" w:sz="4" w:space="0" w:color="auto"/>
                  </w:tcBorders>
                  <w:noWrap/>
                  <w:vAlign w:val="center"/>
                  <w:hideMark/>
                </w:tcPr>
                <w:p w14:paraId="21E20664" w14:textId="77777777" w:rsidR="00C452B9" w:rsidRPr="00EE73E3" w:rsidRDefault="00C452B9" w:rsidP="00C452B9">
                  <w:pPr>
                    <w:spacing w:after="60"/>
                    <w:jc w:val="center"/>
                    <w:rPr>
                      <w:rFonts w:cs="Arial"/>
                      <w:b/>
                      <w:bCs/>
                      <w:szCs w:val="20"/>
                      <w:lang w:eastAsia="en-AU"/>
                    </w:rPr>
                  </w:pPr>
                  <w:r w:rsidRPr="00EE73E3">
                    <w:rPr>
                      <w:rFonts w:cs="Arial"/>
                      <w:b/>
                      <w:bCs/>
                      <w:szCs w:val="20"/>
                      <w:lang w:eastAsia="en-AU"/>
                    </w:rPr>
                    <w:t>Number of Notices Received</w:t>
                  </w:r>
                </w:p>
              </w:tc>
              <w:tc>
                <w:tcPr>
                  <w:tcW w:w="1369" w:type="dxa"/>
                  <w:tcBorders>
                    <w:top w:val="single" w:sz="4" w:space="0" w:color="auto"/>
                    <w:left w:val="nil"/>
                    <w:bottom w:val="single" w:sz="4" w:space="0" w:color="auto"/>
                    <w:right w:val="single" w:sz="4" w:space="0" w:color="auto"/>
                  </w:tcBorders>
                  <w:vAlign w:val="center"/>
                  <w:hideMark/>
                </w:tcPr>
                <w:p w14:paraId="771BE73E" w14:textId="77777777" w:rsidR="00C452B9" w:rsidRPr="00EE73E3" w:rsidRDefault="00C452B9" w:rsidP="00C452B9">
                  <w:pPr>
                    <w:spacing w:after="60"/>
                    <w:jc w:val="right"/>
                    <w:rPr>
                      <w:rFonts w:cs="Arial"/>
                      <w:b/>
                      <w:bCs/>
                      <w:szCs w:val="20"/>
                      <w:lang w:eastAsia="en-AU"/>
                    </w:rPr>
                  </w:pPr>
                  <w:r w:rsidRPr="00EE73E3">
                    <w:rPr>
                      <w:rFonts w:cs="Arial"/>
                      <w:b/>
                      <w:bCs/>
                      <w:szCs w:val="20"/>
                      <w:lang w:eastAsia="en-AU"/>
                    </w:rPr>
                    <w:t>Number of Clients</w:t>
                  </w:r>
                </w:p>
              </w:tc>
            </w:tr>
            <w:tr w:rsidR="00C452B9" w:rsidRPr="00550B7B" w14:paraId="483C465F" w14:textId="77777777" w:rsidTr="00A712F2">
              <w:trPr>
                <w:trHeight w:val="284"/>
              </w:trPr>
              <w:tc>
                <w:tcPr>
                  <w:tcW w:w="3031" w:type="dxa"/>
                  <w:tcBorders>
                    <w:top w:val="nil"/>
                    <w:left w:val="single" w:sz="4" w:space="0" w:color="auto"/>
                    <w:bottom w:val="single" w:sz="4" w:space="0" w:color="auto"/>
                    <w:right w:val="single" w:sz="4" w:space="0" w:color="auto"/>
                  </w:tcBorders>
                  <w:noWrap/>
                  <w:vAlign w:val="center"/>
                  <w:hideMark/>
                </w:tcPr>
                <w:p w14:paraId="36D0E7D7" w14:textId="77777777" w:rsidR="00C452B9" w:rsidRPr="00EE73E3" w:rsidRDefault="00C452B9" w:rsidP="00C452B9">
                  <w:pPr>
                    <w:spacing w:after="60"/>
                    <w:jc w:val="center"/>
                    <w:rPr>
                      <w:rFonts w:cs="Arial"/>
                      <w:szCs w:val="20"/>
                      <w:lang w:eastAsia="en-AU"/>
                    </w:rPr>
                  </w:pPr>
                  <w:r w:rsidRPr="00EE73E3">
                    <w:rPr>
                      <w:rFonts w:cs="Arial"/>
                      <w:szCs w:val="20"/>
                      <w:lang w:eastAsia="en-AU"/>
                    </w:rPr>
                    <w:t>1</w:t>
                  </w:r>
                </w:p>
              </w:tc>
              <w:tc>
                <w:tcPr>
                  <w:tcW w:w="1369" w:type="dxa"/>
                  <w:tcBorders>
                    <w:top w:val="nil"/>
                    <w:left w:val="nil"/>
                    <w:bottom w:val="single" w:sz="4" w:space="0" w:color="auto"/>
                    <w:right w:val="single" w:sz="4" w:space="0" w:color="auto"/>
                  </w:tcBorders>
                  <w:shd w:val="clear" w:color="auto" w:fill="auto"/>
                  <w:vAlign w:val="center"/>
                </w:tcPr>
                <w:p w14:paraId="075AFA2D" w14:textId="14C33A52" w:rsidR="00C452B9" w:rsidRPr="00A712F2" w:rsidRDefault="00D6081F" w:rsidP="00C452B9">
                  <w:pPr>
                    <w:spacing w:after="60"/>
                    <w:jc w:val="right"/>
                    <w:rPr>
                      <w:rFonts w:cs="Arial"/>
                      <w:szCs w:val="20"/>
                      <w:lang w:eastAsia="en-AU"/>
                    </w:rPr>
                  </w:pPr>
                  <w:r>
                    <w:rPr>
                      <w:rFonts w:cs="Arial"/>
                      <w:szCs w:val="20"/>
                      <w:lang w:eastAsia="en-AU"/>
                    </w:rPr>
                    <w:t>311</w:t>
                  </w:r>
                </w:p>
              </w:tc>
            </w:tr>
            <w:tr w:rsidR="00C452B9" w:rsidRPr="00550B7B" w14:paraId="0F630D9E" w14:textId="77777777" w:rsidTr="00A712F2">
              <w:trPr>
                <w:trHeight w:val="284"/>
              </w:trPr>
              <w:tc>
                <w:tcPr>
                  <w:tcW w:w="3031" w:type="dxa"/>
                  <w:tcBorders>
                    <w:top w:val="nil"/>
                    <w:left w:val="single" w:sz="4" w:space="0" w:color="auto"/>
                    <w:bottom w:val="single" w:sz="4" w:space="0" w:color="auto"/>
                    <w:right w:val="single" w:sz="4" w:space="0" w:color="auto"/>
                  </w:tcBorders>
                  <w:noWrap/>
                  <w:vAlign w:val="center"/>
                  <w:hideMark/>
                </w:tcPr>
                <w:p w14:paraId="4B6482ED" w14:textId="77777777" w:rsidR="00C452B9" w:rsidRPr="00EE73E3" w:rsidRDefault="00C452B9" w:rsidP="00C452B9">
                  <w:pPr>
                    <w:spacing w:after="60"/>
                    <w:jc w:val="center"/>
                    <w:rPr>
                      <w:rFonts w:cs="Arial"/>
                      <w:szCs w:val="20"/>
                      <w:lang w:eastAsia="en-AU"/>
                    </w:rPr>
                  </w:pPr>
                  <w:r w:rsidRPr="00EE73E3">
                    <w:rPr>
                      <w:rFonts w:cs="Arial"/>
                      <w:szCs w:val="20"/>
                      <w:lang w:eastAsia="en-AU"/>
                    </w:rPr>
                    <w:t>2</w:t>
                  </w:r>
                </w:p>
              </w:tc>
              <w:tc>
                <w:tcPr>
                  <w:tcW w:w="1369" w:type="dxa"/>
                  <w:tcBorders>
                    <w:top w:val="nil"/>
                    <w:left w:val="nil"/>
                    <w:bottom w:val="single" w:sz="4" w:space="0" w:color="auto"/>
                    <w:right w:val="single" w:sz="4" w:space="0" w:color="auto"/>
                  </w:tcBorders>
                  <w:shd w:val="clear" w:color="auto" w:fill="auto"/>
                  <w:vAlign w:val="center"/>
                </w:tcPr>
                <w:p w14:paraId="69FFA4D2" w14:textId="30033C1F" w:rsidR="00C452B9" w:rsidRPr="00A712F2" w:rsidRDefault="00D6081F" w:rsidP="00C452B9">
                  <w:pPr>
                    <w:spacing w:after="60"/>
                    <w:jc w:val="right"/>
                    <w:rPr>
                      <w:rFonts w:cs="Arial"/>
                      <w:szCs w:val="20"/>
                      <w:lang w:eastAsia="en-AU"/>
                    </w:rPr>
                  </w:pPr>
                  <w:r>
                    <w:rPr>
                      <w:rFonts w:cs="Arial"/>
                      <w:szCs w:val="20"/>
                      <w:lang w:eastAsia="en-AU"/>
                    </w:rPr>
                    <w:t>242</w:t>
                  </w:r>
                </w:p>
              </w:tc>
            </w:tr>
            <w:tr w:rsidR="00C452B9" w:rsidRPr="00550B7B" w14:paraId="6A319D1A" w14:textId="77777777" w:rsidTr="00A712F2">
              <w:trPr>
                <w:trHeight w:val="284"/>
              </w:trPr>
              <w:tc>
                <w:tcPr>
                  <w:tcW w:w="3031" w:type="dxa"/>
                  <w:tcBorders>
                    <w:top w:val="nil"/>
                    <w:left w:val="single" w:sz="4" w:space="0" w:color="auto"/>
                    <w:bottom w:val="single" w:sz="4" w:space="0" w:color="auto"/>
                    <w:right w:val="single" w:sz="4" w:space="0" w:color="auto"/>
                  </w:tcBorders>
                  <w:noWrap/>
                  <w:vAlign w:val="center"/>
                  <w:hideMark/>
                </w:tcPr>
                <w:p w14:paraId="660E2D81" w14:textId="77777777" w:rsidR="00C452B9" w:rsidRPr="00EE73E3" w:rsidRDefault="00C452B9" w:rsidP="00C452B9">
                  <w:pPr>
                    <w:spacing w:after="60"/>
                    <w:jc w:val="center"/>
                    <w:rPr>
                      <w:rFonts w:cs="Arial"/>
                      <w:szCs w:val="20"/>
                      <w:lang w:eastAsia="en-AU"/>
                    </w:rPr>
                  </w:pPr>
                  <w:r w:rsidRPr="00EE73E3">
                    <w:rPr>
                      <w:rFonts w:cs="Arial"/>
                      <w:szCs w:val="20"/>
                      <w:lang w:eastAsia="en-AU"/>
                    </w:rPr>
                    <w:t>3</w:t>
                  </w:r>
                </w:p>
              </w:tc>
              <w:tc>
                <w:tcPr>
                  <w:tcW w:w="1369" w:type="dxa"/>
                  <w:tcBorders>
                    <w:top w:val="nil"/>
                    <w:left w:val="nil"/>
                    <w:bottom w:val="single" w:sz="4" w:space="0" w:color="auto"/>
                    <w:right w:val="single" w:sz="4" w:space="0" w:color="auto"/>
                  </w:tcBorders>
                  <w:shd w:val="clear" w:color="auto" w:fill="auto"/>
                  <w:vAlign w:val="center"/>
                </w:tcPr>
                <w:p w14:paraId="48F4962A" w14:textId="1589DB8A" w:rsidR="00C452B9" w:rsidRPr="00A712F2" w:rsidRDefault="00D6081F" w:rsidP="00C452B9">
                  <w:pPr>
                    <w:spacing w:after="60"/>
                    <w:jc w:val="right"/>
                    <w:rPr>
                      <w:rFonts w:cs="Arial"/>
                      <w:szCs w:val="20"/>
                      <w:lang w:eastAsia="en-AU"/>
                    </w:rPr>
                  </w:pPr>
                  <w:r>
                    <w:rPr>
                      <w:rFonts w:cs="Arial"/>
                      <w:szCs w:val="20"/>
                      <w:lang w:eastAsia="en-AU"/>
                    </w:rPr>
                    <w:t>127</w:t>
                  </w:r>
                </w:p>
              </w:tc>
            </w:tr>
            <w:tr w:rsidR="00C452B9" w:rsidRPr="00550B7B" w14:paraId="4252E2DE" w14:textId="77777777" w:rsidTr="00A712F2">
              <w:trPr>
                <w:trHeight w:val="284"/>
              </w:trPr>
              <w:tc>
                <w:tcPr>
                  <w:tcW w:w="3031" w:type="dxa"/>
                  <w:tcBorders>
                    <w:top w:val="nil"/>
                    <w:left w:val="single" w:sz="4" w:space="0" w:color="auto"/>
                    <w:bottom w:val="single" w:sz="4" w:space="0" w:color="auto"/>
                    <w:right w:val="single" w:sz="4" w:space="0" w:color="auto"/>
                  </w:tcBorders>
                  <w:noWrap/>
                  <w:vAlign w:val="center"/>
                  <w:hideMark/>
                </w:tcPr>
                <w:p w14:paraId="0C64D21A" w14:textId="77777777" w:rsidR="00C452B9" w:rsidRPr="00EE73E3" w:rsidRDefault="00C452B9" w:rsidP="00C452B9">
                  <w:pPr>
                    <w:spacing w:after="60"/>
                    <w:jc w:val="center"/>
                    <w:rPr>
                      <w:rFonts w:cs="Arial"/>
                      <w:szCs w:val="20"/>
                      <w:lang w:eastAsia="en-AU"/>
                    </w:rPr>
                  </w:pPr>
                  <w:r w:rsidRPr="00EE73E3">
                    <w:rPr>
                      <w:rFonts w:cs="Arial"/>
                      <w:szCs w:val="20"/>
                      <w:lang w:eastAsia="en-AU"/>
                    </w:rPr>
                    <w:t>4</w:t>
                  </w:r>
                </w:p>
              </w:tc>
              <w:tc>
                <w:tcPr>
                  <w:tcW w:w="1369" w:type="dxa"/>
                  <w:tcBorders>
                    <w:top w:val="nil"/>
                    <w:left w:val="nil"/>
                    <w:bottom w:val="single" w:sz="4" w:space="0" w:color="auto"/>
                    <w:right w:val="single" w:sz="4" w:space="0" w:color="auto"/>
                  </w:tcBorders>
                  <w:shd w:val="clear" w:color="auto" w:fill="auto"/>
                  <w:vAlign w:val="center"/>
                </w:tcPr>
                <w:p w14:paraId="12DCF941" w14:textId="2D760891" w:rsidR="00C452B9" w:rsidRPr="00A712F2" w:rsidRDefault="00D6081F" w:rsidP="00C452B9">
                  <w:pPr>
                    <w:spacing w:after="60"/>
                    <w:jc w:val="right"/>
                    <w:rPr>
                      <w:rFonts w:cs="Arial"/>
                      <w:szCs w:val="20"/>
                      <w:lang w:eastAsia="en-AU"/>
                    </w:rPr>
                  </w:pPr>
                  <w:r>
                    <w:rPr>
                      <w:rFonts w:cs="Arial"/>
                      <w:szCs w:val="20"/>
                      <w:lang w:eastAsia="en-AU"/>
                    </w:rPr>
                    <w:t>176</w:t>
                  </w:r>
                </w:p>
              </w:tc>
            </w:tr>
            <w:tr w:rsidR="00C452B9" w:rsidRPr="00550B7B" w14:paraId="10B13956" w14:textId="77777777" w:rsidTr="00A712F2">
              <w:trPr>
                <w:trHeight w:val="284"/>
              </w:trPr>
              <w:tc>
                <w:tcPr>
                  <w:tcW w:w="3031" w:type="dxa"/>
                  <w:tcBorders>
                    <w:top w:val="nil"/>
                    <w:left w:val="single" w:sz="4" w:space="0" w:color="auto"/>
                    <w:bottom w:val="single" w:sz="4" w:space="0" w:color="auto"/>
                    <w:right w:val="single" w:sz="4" w:space="0" w:color="auto"/>
                  </w:tcBorders>
                  <w:noWrap/>
                  <w:vAlign w:val="center"/>
                  <w:hideMark/>
                </w:tcPr>
                <w:p w14:paraId="00D63798" w14:textId="77777777" w:rsidR="00C452B9" w:rsidRPr="00EE73E3" w:rsidRDefault="00C452B9" w:rsidP="00C452B9">
                  <w:pPr>
                    <w:spacing w:after="60"/>
                    <w:jc w:val="center"/>
                    <w:rPr>
                      <w:rFonts w:cs="Arial"/>
                      <w:szCs w:val="20"/>
                      <w:lang w:eastAsia="en-AU"/>
                    </w:rPr>
                  </w:pPr>
                  <w:r w:rsidRPr="00EE73E3">
                    <w:rPr>
                      <w:rFonts w:cs="Arial"/>
                      <w:szCs w:val="20"/>
                      <w:lang w:eastAsia="en-AU"/>
                    </w:rPr>
                    <w:t>5</w:t>
                  </w:r>
                </w:p>
              </w:tc>
              <w:tc>
                <w:tcPr>
                  <w:tcW w:w="1369" w:type="dxa"/>
                  <w:tcBorders>
                    <w:top w:val="nil"/>
                    <w:left w:val="nil"/>
                    <w:bottom w:val="single" w:sz="4" w:space="0" w:color="auto"/>
                    <w:right w:val="single" w:sz="4" w:space="0" w:color="auto"/>
                  </w:tcBorders>
                  <w:shd w:val="clear" w:color="auto" w:fill="auto"/>
                  <w:vAlign w:val="center"/>
                </w:tcPr>
                <w:p w14:paraId="351F66A3" w14:textId="6550FBBB" w:rsidR="00C452B9" w:rsidRPr="00A712F2" w:rsidRDefault="00D6081F" w:rsidP="00C452B9">
                  <w:pPr>
                    <w:spacing w:after="60"/>
                    <w:jc w:val="right"/>
                    <w:rPr>
                      <w:rFonts w:cs="Arial"/>
                      <w:szCs w:val="20"/>
                      <w:lang w:eastAsia="en-AU"/>
                    </w:rPr>
                  </w:pPr>
                  <w:r>
                    <w:rPr>
                      <w:rFonts w:cs="Arial"/>
                      <w:szCs w:val="20"/>
                      <w:lang w:eastAsia="en-AU"/>
                    </w:rPr>
                    <w:t>97</w:t>
                  </w:r>
                </w:p>
              </w:tc>
            </w:tr>
            <w:tr w:rsidR="00C452B9" w:rsidRPr="00550B7B" w14:paraId="518D682E" w14:textId="77777777" w:rsidTr="00A712F2">
              <w:trPr>
                <w:trHeight w:val="284"/>
              </w:trPr>
              <w:tc>
                <w:tcPr>
                  <w:tcW w:w="3031" w:type="dxa"/>
                  <w:tcBorders>
                    <w:top w:val="nil"/>
                    <w:left w:val="single" w:sz="4" w:space="0" w:color="auto"/>
                    <w:bottom w:val="single" w:sz="4" w:space="0" w:color="auto"/>
                    <w:right w:val="single" w:sz="4" w:space="0" w:color="auto"/>
                  </w:tcBorders>
                  <w:noWrap/>
                  <w:vAlign w:val="center"/>
                  <w:hideMark/>
                </w:tcPr>
                <w:p w14:paraId="79F1471B" w14:textId="77777777" w:rsidR="00C452B9" w:rsidRPr="00EE73E3" w:rsidRDefault="00C452B9" w:rsidP="00C452B9">
                  <w:pPr>
                    <w:spacing w:after="60"/>
                    <w:jc w:val="center"/>
                    <w:rPr>
                      <w:rFonts w:cs="Arial"/>
                      <w:szCs w:val="20"/>
                      <w:lang w:eastAsia="en-AU"/>
                    </w:rPr>
                  </w:pPr>
                  <w:r w:rsidRPr="00EE73E3">
                    <w:rPr>
                      <w:rFonts w:cs="Arial"/>
                      <w:szCs w:val="20"/>
                      <w:lang w:eastAsia="en-AU"/>
                    </w:rPr>
                    <w:t>&gt;5</w:t>
                  </w:r>
                </w:p>
              </w:tc>
              <w:tc>
                <w:tcPr>
                  <w:tcW w:w="1369" w:type="dxa"/>
                  <w:tcBorders>
                    <w:top w:val="nil"/>
                    <w:left w:val="nil"/>
                    <w:bottom w:val="single" w:sz="4" w:space="0" w:color="auto"/>
                    <w:right w:val="single" w:sz="4" w:space="0" w:color="auto"/>
                  </w:tcBorders>
                  <w:shd w:val="clear" w:color="auto" w:fill="auto"/>
                  <w:vAlign w:val="center"/>
                </w:tcPr>
                <w:p w14:paraId="3841DB78" w14:textId="32B49D44" w:rsidR="00C452B9" w:rsidRPr="00A712F2" w:rsidRDefault="00D6081F" w:rsidP="00C452B9">
                  <w:pPr>
                    <w:spacing w:after="60"/>
                    <w:jc w:val="right"/>
                    <w:rPr>
                      <w:rFonts w:cs="Arial"/>
                      <w:szCs w:val="20"/>
                      <w:lang w:eastAsia="en-AU"/>
                    </w:rPr>
                  </w:pPr>
                  <w:r>
                    <w:rPr>
                      <w:rFonts w:cs="Arial"/>
                      <w:szCs w:val="20"/>
                      <w:lang w:eastAsia="en-AU"/>
                    </w:rPr>
                    <w:t>347</w:t>
                  </w:r>
                </w:p>
              </w:tc>
            </w:tr>
            <w:tr w:rsidR="00C452B9" w:rsidRPr="00550B7B" w14:paraId="04CB93E9" w14:textId="77777777" w:rsidTr="00A712F2">
              <w:trPr>
                <w:trHeight w:val="284"/>
              </w:trPr>
              <w:tc>
                <w:tcPr>
                  <w:tcW w:w="3031" w:type="dxa"/>
                  <w:tcBorders>
                    <w:top w:val="nil"/>
                    <w:left w:val="single" w:sz="4" w:space="0" w:color="auto"/>
                    <w:bottom w:val="single" w:sz="4" w:space="0" w:color="auto"/>
                    <w:right w:val="single" w:sz="4" w:space="0" w:color="auto"/>
                  </w:tcBorders>
                  <w:noWrap/>
                  <w:vAlign w:val="center"/>
                  <w:hideMark/>
                </w:tcPr>
                <w:p w14:paraId="38E28188" w14:textId="77777777" w:rsidR="00C452B9" w:rsidRPr="00EE73E3" w:rsidRDefault="00C452B9" w:rsidP="00C452B9">
                  <w:pPr>
                    <w:spacing w:after="60"/>
                    <w:jc w:val="center"/>
                    <w:rPr>
                      <w:rFonts w:cs="Arial"/>
                      <w:b/>
                      <w:bCs/>
                      <w:szCs w:val="20"/>
                      <w:lang w:eastAsia="en-AU"/>
                    </w:rPr>
                  </w:pPr>
                  <w:r w:rsidRPr="00EE73E3">
                    <w:rPr>
                      <w:rFonts w:cs="Arial"/>
                      <w:b/>
                      <w:bCs/>
                      <w:szCs w:val="20"/>
                      <w:lang w:eastAsia="en-AU"/>
                    </w:rPr>
                    <w:t>TOTAL</w:t>
                  </w:r>
                </w:p>
              </w:tc>
              <w:tc>
                <w:tcPr>
                  <w:tcW w:w="1369" w:type="dxa"/>
                  <w:tcBorders>
                    <w:top w:val="nil"/>
                    <w:left w:val="nil"/>
                    <w:bottom w:val="single" w:sz="4" w:space="0" w:color="auto"/>
                    <w:right w:val="single" w:sz="4" w:space="0" w:color="auto"/>
                  </w:tcBorders>
                  <w:shd w:val="clear" w:color="auto" w:fill="auto"/>
                  <w:noWrap/>
                  <w:vAlign w:val="center"/>
                </w:tcPr>
                <w:p w14:paraId="6490098F" w14:textId="01B7292C" w:rsidR="00C452B9" w:rsidRPr="00A712F2" w:rsidRDefault="00D6081F" w:rsidP="00C452B9">
                  <w:pPr>
                    <w:spacing w:after="60"/>
                    <w:jc w:val="right"/>
                    <w:rPr>
                      <w:rFonts w:cs="Arial"/>
                      <w:b/>
                      <w:bCs/>
                      <w:szCs w:val="20"/>
                      <w:lang w:eastAsia="en-AU"/>
                    </w:rPr>
                  </w:pPr>
                  <w:r>
                    <w:rPr>
                      <w:rFonts w:cs="Arial"/>
                      <w:b/>
                      <w:bCs/>
                      <w:szCs w:val="20"/>
                      <w:lang w:eastAsia="en-AU"/>
                    </w:rPr>
                    <w:t>1300</w:t>
                  </w:r>
                </w:p>
              </w:tc>
            </w:tr>
          </w:tbl>
          <w:p w14:paraId="4FF779B3" w14:textId="77777777" w:rsidR="00C452B9" w:rsidRPr="005D104F" w:rsidRDefault="00C452B9" w:rsidP="00A90858"/>
          <w:p w14:paraId="41494146" w14:textId="77777777" w:rsidR="00B14E5E" w:rsidRPr="005D104F" w:rsidRDefault="00B14E5E" w:rsidP="00A90858">
            <w:pPr>
              <w:rPr>
                <w:i/>
              </w:rPr>
            </w:pPr>
            <w:r w:rsidRPr="005D104F">
              <w:rPr>
                <w:b/>
                <w:i/>
              </w:rPr>
              <w:t>Note:</w:t>
            </w:r>
            <w:r w:rsidRPr="005D104F">
              <w:rPr>
                <w:i/>
              </w:rPr>
              <w:t xml:space="preserve"> Agency notices are counted </w:t>
            </w:r>
            <w:proofErr w:type="gramStart"/>
            <w:r w:rsidRPr="005D104F">
              <w:rPr>
                <w:i/>
              </w:rPr>
              <w:t>on the basis of</w:t>
            </w:r>
            <w:proofErr w:type="gramEnd"/>
            <w:r w:rsidRPr="005D104F">
              <w:rPr>
                <w:i/>
              </w:rPr>
              <w:t xml:space="preserve"> the number of persons named on the notice. For </w:t>
            </w:r>
            <w:proofErr w:type="gramStart"/>
            <w:r w:rsidRPr="005D104F">
              <w:rPr>
                <w:i/>
              </w:rPr>
              <w:t>example</w:t>
            </w:r>
            <w:proofErr w:type="gramEnd"/>
            <w:r w:rsidRPr="005D104F">
              <w:rPr>
                <w:i/>
              </w:rPr>
              <w:t xml:space="preserve"> a Child Safety and Welfare notice relating to two parents is counted as two notices and if three children from one family have an unexplained absence on one day, it is counted as three individual notices.</w:t>
            </w:r>
          </w:p>
          <w:p w14:paraId="3259F5D8" w14:textId="2A3DE3FF" w:rsidR="00B14E5E" w:rsidRPr="005D104F" w:rsidRDefault="00B14E5E" w:rsidP="00A90858">
            <w:pPr>
              <w:widowControl w:val="0"/>
              <w:autoSpaceDE w:val="0"/>
              <w:autoSpaceDN w:val="0"/>
              <w:adjustRightInd w:val="0"/>
              <w:ind w:left="720" w:hanging="720"/>
              <w:rPr>
                <w:rFonts w:ascii="Helvetica" w:hAnsi="Helvetica" w:cs="Helvetica"/>
                <w:b/>
                <w:bCs/>
                <w:sz w:val="17"/>
                <w:szCs w:val="17"/>
                <w:lang w:val="en-US"/>
              </w:rPr>
            </w:pPr>
            <w:r w:rsidRPr="00A72285">
              <w:rPr>
                <w:rFonts w:ascii="Helvetica" w:hAnsi="Helvetica" w:cs="Helvetica"/>
                <w:b/>
                <w:bCs/>
                <w:sz w:val="17"/>
                <w:szCs w:val="17"/>
                <w:lang w:val="en-US"/>
              </w:rPr>
              <w:t xml:space="preserve">Table </w:t>
            </w:r>
            <w:r w:rsidR="00A72285" w:rsidRPr="00A72285">
              <w:rPr>
                <w:rFonts w:ascii="Helvetica" w:hAnsi="Helvetica" w:cs="Helvetica"/>
                <w:b/>
                <w:bCs/>
                <w:sz w:val="17"/>
                <w:szCs w:val="17"/>
                <w:lang w:val="en-US"/>
              </w:rPr>
              <w:t>8</w:t>
            </w:r>
            <w:r w:rsidRPr="00A72285">
              <w:rPr>
                <w:rFonts w:ascii="Helvetica" w:hAnsi="Helvetica" w:cs="Helvetica"/>
                <w:b/>
                <w:bCs/>
                <w:sz w:val="17"/>
                <w:szCs w:val="17"/>
                <w:lang w:val="en-US"/>
              </w:rPr>
              <w:t>: Court</w:t>
            </w:r>
            <w:r w:rsidRPr="005D104F">
              <w:rPr>
                <w:rFonts w:ascii="Helvetica" w:hAnsi="Helvetica" w:cs="Helvetica"/>
                <w:b/>
                <w:bCs/>
                <w:sz w:val="17"/>
                <w:szCs w:val="17"/>
                <w:lang w:val="en-US"/>
              </w:rPr>
              <w:t xml:space="preserve"> locations for in jurisdiction DVB and DVO notices 1 July 201</w:t>
            </w:r>
            <w:r>
              <w:rPr>
                <w:rFonts w:ascii="Helvetica" w:hAnsi="Helvetica" w:cs="Helvetica"/>
                <w:b/>
                <w:bCs/>
                <w:sz w:val="17"/>
                <w:szCs w:val="17"/>
                <w:lang w:val="en-US"/>
              </w:rPr>
              <w:t>8</w:t>
            </w:r>
            <w:r w:rsidRPr="005D104F">
              <w:rPr>
                <w:rFonts w:ascii="Helvetica" w:hAnsi="Helvetica" w:cs="Helvetica"/>
                <w:b/>
                <w:bCs/>
                <w:sz w:val="17"/>
                <w:szCs w:val="17"/>
                <w:lang w:val="en-US"/>
              </w:rPr>
              <w:t xml:space="preserve"> to 30 June 201</w:t>
            </w:r>
            <w:r>
              <w:rPr>
                <w:rFonts w:ascii="Helvetica" w:hAnsi="Helvetica" w:cs="Helvetica"/>
                <w:b/>
                <w:bCs/>
                <w:sz w:val="17"/>
                <w:szCs w:val="17"/>
                <w:lang w:val="en-US"/>
              </w:rPr>
              <w:t>9</w:t>
            </w:r>
            <w:r w:rsidRPr="005D104F">
              <w:rPr>
                <w:rFonts w:ascii="Helvetica" w:hAnsi="Helvetica" w:cs="Helvetica"/>
                <w:b/>
                <w:bCs/>
                <w:sz w:val="17"/>
                <w:szCs w:val="17"/>
                <w:lang w:val="en-US"/>
              </w:rPr>
              <w:t>.</w:t>
            </w:r>
          </w:p>
          <w:tbl>
            <w:tblPr>
              <w:tblStyle w:val="TableGrid"/>
              <w:tblW w:w="0" w:type="auto"/>
              <w:tblLayout w:type="fixed"/>
              <w:tblLook w:val="04A0" w:firstRow="1" w:lastRow="0" w:firstColumn="1" w:lastColumn="0" w:noHBand="0" w:noVBand="1"/>
            </w:tblPr>
            <w:tblGrid>
              <w:gridCol w:w="1589"/>
              <w:gridCol w:w="1134"/>
              <w:gridCol w:w="1134"/>
              <w:gridCol w:w="992"/>
            </w:tblGrid>
            <w:tr w:rsidR="00B14E5E" w:rsidRPr="005D104F" w14:paraId="065221DE" w14:textId="77777777" w:rsidTr="00A90858">
              <w:trPr>
                <w:trHeight w:val="255"/>
              </w:trPr>
              <w:tc>
                <w:tcPr>
                  <w:tcW w:w="1589" w:type="dxa"/>
                </w:tcPr>
                <w:p w14:paraId="40392A06" w14:textId="77777777" w:rsidR="00B14E5E" w:rsidRPr="005D104F" w:rsidRDefault="00B14E5E" w:rsidP="00A90858">
                  <w:pPr>
                    <w:spacing w:before="120"/>
                    <w:rPr>
                      <w:b/>
                    </w:rPr>
                  </w:pPr>
                  <w:r w:rsidRPr="005D104F">
                    <w:rPr>
                      <w:b/>
                    </w:rPr>
                    <w:t>Court Location</w:t>
                  </w:r>
                </w:p>
              </w:tc>
              <w:tc>
                <w:tcPr>
                  <w:tcW w:w="1134" w:type="dxa"/>
                </w:tcPr>
                <w:p w14:paraId="6C0DF7C0" w14:textId="77777777" w:rsidR="00B14E5E" w:rsidRPr="005D104F" w:rsidRDefault="00B14E5E" w:rsidP="00A90858">
                  <w:pPr>
                    <w:spacing w:before="120"/>
                    <w:jc w:val="center"/>
                    <w:rPr>
                      <w:b/>
                    </w:rPr>
                  </w:pPr>
                  <w:r w:rsidRPr="005D104F">
                    <w:rPr>
                      <w:b/>
                    </w:rPr>
                    <w:t>Number of DVB notices</w:t>
                  </w:r>
                </w:p>
              </w:tc>
              <w:tc>
                <w:tcPr>
                  <w:tcW w:w="1134" w:type="dxa"/>
                </w:tcPr>
                <w:p w14:paraId="6EE67D34" w14:textId="77777777" w:rsidR="00B14E5E" w:rsidRPr="005D104F" w:rsidRDefault="00B14E5E" w:rsidP="00A90858">
                  <w:pPr>
                    <w:spacing w:before="120"/>
                    <w:jc w:val="center"/>
                    <w:rPr>
                      <w:b/>
                    </w:rPr>
                  </w:pPr>
                  <w:r w:rsidRPr="005D104F">
                    <w:rPr>
                      <w:b/>
                    </w:rPr>
                    <w:t>Number of DVO notices</w:t>
                  </w:r>
                </w:p>
              </w:tc>
              <w:tc>
                <w:tcPr>
                  <w:tcW w:w="992" w:type="dxa"/>
                </w:tcPr>
                <w:p w14:paraId="1B5E28DB" w14:textId="77777777" w:rsidR="00B14E5E" w:rsidRPr="005D104F" w:rsidRDefault="00B14E5E" w:rsidP="00A90858">
                  <w:pPr>
                    <w:spacing w:before="120"/>
                    <w:jc w:val="right"/>
                    <w:rPr>
                      <w:b/>
                    </w:rPr>
                  </w:pPr>
                  <w:r w:rsidRPr="005D104F">
                    <w:rPr>
                      <w:b/>
                    </w:rPr>
                    <w:t>Total</w:t>
                  </w:r>
                </w:p>
              </w:tc>
            </w:tr>
            <w:tr w:rsidR="00B14E5E" w:rsidRPr="005D104F" w14:paraId="3D0F4A54" w14:textId="77777777" w:rsidTr="00A90858">
              <w:trPr>
                <w:trHeight w:val="255"/>
              </w:trPr>
              <w:tc>
                <w:tcPr>
                  <w:tcW w:w="1589" w:type="dxa"/>
                </w:tcPr>
                <w:p w14:paraId="17E9FFFE" w14:textId="77777777" w:rsidR="00B14E5E" w:rsidRPr="005D104F" w:rsidRDefault="00B14E5E" w:rsidP="00A90858">
                  <w:pPr>
                    <w:spacing w:after="60"/>
                    <w:rPr>
                      <w:rFonts w:cs="Arial"/>
                    </w:rPr>
                  </w:pPr>
                  <w:r w:rsidRPr="005D104F">
                    <w:rPr>
                      <w:rFonts w:cs="Arial"/>
                    </w:rPr>
                    <w:t>Aurukun</w:t>
                  </w:r>
                </w:p>
              </w:tc>
              <w:tc>
                <w:tcPr>
                  <w:tcW w:w="1134" w:type="dxa"/>
                  <w:vAlign w:val="bottom"/>
                </w:tcPr>
                <w:p w14:paraId="070E6B8C" w14:textId="77777777" w:rsidR="00B14E5E" w:rsidRPr="008E5925" w:rsidRDefault="00B14E5E" w:rsidP="00A90858">
                  <w:pPr>
                    <w:spacing w:after="60"/>
                    <w:jc w:val="right"/>
                    <w:rPr>
                      <w:rFonts w:cs="Arial"/>
                    </w:rPr>
                  </w:pPr>
                  <w:r w:rsidRPr="008E5925">
                    <w:rPr>
                      <w:rFonts w:cs="Arial"/>
                    </w:rPr>
                    <w:t>42</w:t>
                  </w:r>
                </w:p>
              </w:tc>
              <w:tc>
                <w:tcPr>
                  <w:tcW w:w="1134" w:type="dxa"/>
                  <w:vAlign w:val="bottom"/>
                </w:tcPr>
                <w:p w14:paraId="4F409D25" w14:textId="77777777" w:rsidR="00B14E5E" w:rsidRPr="008E5925" w:rsidRDefault="00B14E5E" w:rsidP="00A90858">
                  <w:pPr>
                    <w:spacing w:after="60"/>
                    <w:jc w:val="right"/>
                    <w:rPr>
                      <w:rFonts w:cs="Arial"/>
                    </w:rPr>
                  </w:pPr>
                  <w:r w:rsidRPr="008E5925">
                    <w:rPr>
                      <w:rFonts w:cs="Arial"/>
                    </w:rPr>
                    <w:t>96</w:t>
                  </w:r>
                </w:p>
              </w:tc>
              <w:tc>
                <w:tcPr>
                  <w:tcW w:w="992" w:type="dxa"/>
                  <w:vAlign w:val="bottom"/>
                </w:tcPr>
                <w:p w14:paraId="7CD9729F" w14:textId="77777777" w:rsidR="00B14E5E" w:rsidRPr="008E5925" w:rsidRDefault="00B14E5E" w:rsidP="00A90858">
                  <w:pPr>
                    <w:spacing w:after="60"/>
                    <w:jc w:val="right"/>
                    <w:rPr>
                      <w:rFonts w:cs="Arial"/>
                      <w:b/>
                    </w:rPr>
                  </w:pPr>
                  <w:r w:rsidRPr="008E5925">
                    <w:rPr>
                      <w:rFonts w:cs="Arial"/>
                      <w:b/>
                      <w:bCs/>
                    </w:rPr>
                    <w:t>138</w:t>
                  </w:r>
                </w:p>
              </w:tc>
            </w:tr>
            <w:tr w:rsidR="00B14E5E" w:rsidRPr="005D104F" w14:paraId="14C4D63D" w14:textId="77777777" w:rsidTr="00A90858">
              <w:trPr>
                <w:trHeight w:val="255"/>
              </w:trPr>
              <w:tc>
                <w:tcPr>
                  <w:tcW w:w="1589" w:type="dxa"/>
                </w:tcPr>
                <w:p w14:paraId="0EA34911" w14:textId="77777777" w:rsidR="00B14E5E" w:rsidRPr="005D104F" w:rsidRDefault="00B14E5E" w:rsidP="00A90858">
                  <w:pPr>
                    <w:spacing w:after="60"/>
                    <w:rPr>
                      <w:rFonts w:cs="Arial"/>
                    </w:rPr>
                  </w:pPr>
                  <w:r w:rsidRPr="005D104F">
                    <w:rPr>
                      <w:rFonts w:cs="Arial"/>
                    </w:rPr>
                    <w:t>Cairns</w:t>
                  </w:r>
                </w:p>
              </w:tc>
              <w:tc>
                <w:tcPr>
                  <w:tcW w:w="1134" w:type="dxa"/>
                  <w:vAlign w:val="bottom"/>
                </w:tcPr>
                <w:p w14:paraId="2936CEC5" w14:textId="77777777" w:rsidR="00B14E5E" w:rsidRPr="008E5925" w:rsidRDefault="00B14E5E" w:rsidP="00A90858">
                  <w:pPr>
                    <w:spacing w:after="60"/>
                    <w:jc w:val="right"/>
                    <w:rPr>
                      <w:rFonts w:cs="Arial"/>
                    </w:rPr>
                  </w:pPr>
                  <w:r w:rsidRPr="008E5925">
                    <w:rPr>
                      <w:rFonts w:cs="Arial"/>
                    </w:rPr>
                    <w:t>8</w:t>
                  </w:r>
                </w:p>
              </w:tc>
              <w:tc>
                <w:tcPr>
                  <w:tcW w:w="1134" w:type="dxa"/>
                  <w:vAlign w:val="bottom"/>
                </w:tcPr>
                <w:p w14:paraId="36A71AE2" w14:textId="77777777" w:rsidR="00B14E5E" w:rsidRPr="008E5925" w:rsidRDefault="00B14E5E" w:rsidP="00A90858">
                  <w:pPr>
                    <w:spacing w:after="60"/>
                    <w:jc w:val="right"/>
                    <w:rPr>
                      <w:rFonts w:cs="Arial"/>
                    </w:rPr>
                  </w:pPr>
                  <w:r w:rsidRPr="008E5925">
                    <w:rPr>
                      <w:rFonts w:cs="Arial"/>
                    </w:rPr>
                    <w:t>14</w:t>
                  </w:r>
                </w:p>
              </w:tc>
              <w:tc>
                <w:tcPr>
                  <w:tcW w:w="992" w:type="dxa"/>
                  <w:vAlign w:val="bottom"/>
                </w:tcPr>
                <w:p w14:paraId="43BF163C" w14:textId="77777777" w:rsidR="00B14E5E" w:rsidRPr="008E5925" w:rsidRDefault="00B14E5E" w:rsidP="00A90858">
                  <w:pPr>
                    <w:spacing w:after="60"/>
                    <w:jc w:val="right"/>
                    <w:rPr>
                      <w:rFonts w:cs="Arial"/>
                      <w:b/>
                    </w:rPr>
                  </w:pPr>
                  <w:r w:rsidRPr="008E5925">
                    <w:rPr>
                      <w:rFonts w:cs="Arial"/>
                      <w:b/>
                      <w:bCs/>
                    </w:rPr>
                    <w:t>22</w:t>
                  </w:r>
                </w:p>
              </w:tc>
            </w:tr>
            <w:tr w:rsidR="00B14E5E" w:rsidRPr="005D104F" w14:paraId="7F758828" w14:textId="77777777" w:rsidTr="00A90858">
              <w:trPr>
                <w:trHeight w:val="255"/>
              </w:trPr>
              <w:tc>
                <w:tcPr>
                  <w:tcW w:w="1589" w:type="dxa"/>
                </w:tcPr>
                <w:p w14:paraId="5E5B9EDA" w14:textId="77777777" w:rsidR="00B14E5E" w:rsidRPr="005D104F" w:rsidRDefault="00B14E5E" w:rsidP="00A90858">
                  <w:pPr>
                    <w:spacing w:after="60"/>
                    <w:rPr>
                      <w:rFonts w:cs="Arial"/>
                    </w:rPr>
                  </w:pPr>
                  <w:r w:rsidRPr="005D104F">
                    <w:rPr>
                      <w:rFonts w:cs="Arial"/>
                    </w:rPr>
                    <w:t>Coen</w:t>
                  </w:r>
                </w:p>
              </w:tc>
              <w:tc>
                <w:tcPr>
                  <w:tcW w:w="1134" w:type="dxa"/>
                  <w:vAlign w:val="bottom"/>
                </w:tcPr>
                <w:p w14:paraId="7BE9EFFA" w14:textId="77777777" w:rsidR="00B14E5E" w:rsidRPr="008E5925" w:rsidRDefault="00B14E5E" w:rsidP="00A90858">
                  <w:pPr>
                    <w:spacing w:after="60"/>
                    <w:jc w:val="right"/>
                    <w:rPr>
                      <w:rFonts w:cs="Arial"/>
                    </w:rPr>
                  </w:pPr>
                  <w:r w:rsidRPr="008E5925">
                    <w:rPr>
                      <w:rFonts w:cs="Arial"/>
                    </w:rPr>
                    <w:t>12</w:t>
                  </w:r>
                </w:p>
              </w:tc>
              <w:tc>
                <w:tcPr>
                  <w:tcW w:w="1134" w:type="dxa"/>
                  <w:vAlign w:val="bottom"/>
                </w:tcPr>
                <w:p w14:paraId="58A84168" w14:textId="77777777" w:rsidR="00B14E5E" w:rsidRPr="008E5925" w:rsidRDefault="00B14E5E" w:rsidP="00A90858">
                  <w:pPr>
                    <w:spacing w:after="60"/>
                    <w:jc w:val="right"/>
                    <w:rPr>
                      <w:rFonts w:cs="Arial"/>
                    </w:rPr>
                  </w:pPr>
                  <w:r w:rsidRPr="008E5925">
                    <w:rPr>
                      <w:rFonts w:cs="Arial"/>
                    </w:rPr>
                    <w:t>16</w:t>
                  </w:r>
                </w:p>
              </w:tc>
              <w:tc>
                <w:tcPr>
                  <w:tcW w:w="992" w:type="dxa"/>
                  <w:vAlign w:val="bottom"/>
                </w:tcPr>
                <w:p w14:paraId="49E208B9" w14:textId="77777777" w:rsidR="00B14E5E" w:rsidRPr="008E5925" w:rsidRDefault="00B14E5E" w:rsidP="00A90858">
                  <w:pPr>
                    <w:spacing w:after="60"/>
                    <w:jc w:val="right"/>
                    <w:rPr>
                      <w:rFonts w:cs="Arial"/>
                      <w:b/>
                    </w:rPr>
                  </w:pPr>
                  <w:r w:rsidRPr="008E5925">
                    <w:rPr>
                      <w:rFonts w:cs="Arial"/>
                      <w:b/>
                      <w:bCs/>
                    </w:rPr>
                    <w:t>28</w:t>
                  </w:r>
                </w:p>
              </w:tc>
            </w:tr>
            <w:tr w:rsidR="00B14E5E" w:rsidRPr="005D104F" w14:paraId="52D7BBF1" w14:textId="77777777" w:rsidTr="00A90858">
              <w:trPr>
                <w:trHeight w:val="255"/>
              </w:trPr>
              <w:tc>
                <w:tcPr>
                  <w:tcW w:w="1589" w:type="dxa"/>
                </w:tcPr>
                <w:p w14:paraId="5AF55666" w14:textId="77777777" w:rsidR="00B14E5E" w:rsidRPr="005D104F" w:rsidRDefault="00B14E5E" w:rsidP="00A90858">
                  <w:pPr>
                    <w:spacing w:after="60"/>
                    <w:rPr>
                      <w:rFonts w:cs="Arial"/>
                    </w:rPr>
                  </w:pPr>
                  <w:r w:rsidRPr="005D104F">
                    <w:rPr>
                      <w:rFonts w:cs="Arial"/>
                    </w:rPr>
                    <w:t>Cooktown</w:t>
                  </w:r>
                </w:p>
              </w:tc>
              <w:tc>
                <w:tcPr>
                  <w:tcW w:w="1134" w:type="dxa"/>
                  <w:vAlign w:val="bottom"/>
                </w:tcPr>
                <w:p w14:paraId="1100683D" w14:textId="77777777" w:rsidR="00B14E5E" w:rsidRPr="008E5925" w:rsidRDefault="00B14E5E" w:rsidP="00A90858">
                  <w:pPr>
                    <w:spacing w:after="60"/>
                    <w:jc w:val="right"/>
                    <w:rPr>
                      <w:rFonts w:cs="Arial"/>
                    </w:rPr>
                  </w:pPr>
                  <w:r w:rsidRPr="008E5925">
                    <w:rPr>
                      <w:rFonts w:cs="Arial"/>
                    </w:rPr>
                    <w:t>36</w:t>
                  </w:r>
                </w:p>
              </w:tc>
              <w:tc>
                <w:tcPr>
                  <w:tcW w:w="1134" w:type="dxa"/>
                  <w:vAlign w:val="bottom"/>
                </w:tcPr>
                <w:p w14:paraId="57ABB630" w14:textId="77777777" w:rsidR="00B14E5E" w:rsidRPr="008E5925" w:rsidRDefault="00B14E5E" w:rsidP="00A90858">
                  <w:pPr>
                    <w:spacing w:after="60"/>
                    <w:jc w:val="right"/>
                    <w:rPr>
                      <w:rFonts w:cs="Arial"/>
                    </w:rPr>
                  </w:pPr>
                  <w:r w:rsidRPr="008E5925">
                    <w:rPr>
                      <w:rFonts w:cs="Arial"/>
                    </w:rPr>
                    <w:t>69</w:t>
                  </w:r>
                </w:p>
              </w:tc>
              <w:tc>
                <w:tcPr>
                  <w:tcW w:w="992" w:type="dxa"/>
                  <w:vAlign w:val="bottom"/>
                </w:tcPr>
                <w:p w14:paraId="71793AF5" w14:textId="77777777" w:rsidR="00B14E5E" w:rsidRPr="008E5925" w:rsidRDefault="00B14E5E" w:rsidP="00A90858">
                  <w:pPr>
                    <w:spacing w:after="60"/>
                    <w:jc w:val="right"/>
                    <w:rPr>
                      <w:rFonts w:cs="Arial"/>
                      <w:b/>
                    </w:rPr>
                  </w:pPr>
                  <w:r w:rsidRPr="008E5925">
                    <w:rPr>
                      <w:rFonts w:cs="Arial"/>
                      <w:b/>
                      <w:bCs/>
                    </w:rPr>
                    <w:t>105</w:t>
                  </w:r>
                </w:p>
              </w:tc>
            </w:tr>
            <w:tr w:rsidR="00B14E5E" w:rsidRPr="005D104F" w14:paraId="3C77935F" w14:textId="77777777" w:rsidTr="00A90858">
              <w:trPr>
                <w:trHeight w:val="255"/>
              </w:trPr>
              <w:tc>
                <w:tcPr>
                  <w:tcW w:w="1589" w:type="dxa"/>
                </w:tcPr>
                <w:p w14:paraId="3951FEF8" w14:textId="77777777" w:rsidR="00B14E5E" w:rsidRPr="005D104F" w:rsidRDefault="00B14E5E" w:rsidP="00A90858">
                  <w:pPr>
                    <w:spacing w:after="60"/>
                    <w:rPr>
                      <w:rFonts w:cs="Arial"/>
                    </w:rPr>
                  </w:pPr>
                  <w:r>
                    <w:rPr>
                      <w:rFonts w:cs="Arial"/>
                    </w:rPr>
                    <w:t>Kowanyama</w:t>
                  </w:r>
                </w:p>
              </w:tc>
              <w:tc>
                <w:tcPr>
                  <w:tcW w:w="1134" w:type="dxa"/>
                  <w:vAlign w:val="bottom"/>
                </w:tcPr>
                <w:p w14:paraId="19AF3195" w14:textId="77777777" w:rsidR="00B14E5E" w:rsidRPr="008E5925" w:rsidRDefault="00B14E5E" w:rsidP="00A90858">
                  <w:pPr>
                    <w:spacing w:after="60"/>
                    <w:jc w:val="right"/>
                    <w:rPr>
                      <w:rFonts w:cs="Arial"/>
                    </w:rPr>
                  </w:pPr>
                  <w:r w:rsidRPr="008E5925">
                    <w:rPr>
                      <w:rFonts w:cs="Arial"/>
                    </w:rPr>
                    <w:t>0</w:t>
                  </w:r>
                </w:p>
              </w:tc>
              <w:tc>
                <w:tcPr>
                  <w:tcW w:w="1134" w:type="dxa"/>
                  <w:vAlign w:val="bottom"/>
                </w:tcPr>
                <w:p w14:paraId="710DF186" w14:textId="77777777" w:rsidR="00B14E5E" w:rsidRPr="008E5925" w:rsidRDefault="00B14E5E" w:rsidP="00A90858">
                  <w:pPr>
                    <w:spacing w:after="60"/>
                    <w:jc w:val="right"/>
                    <w:rPr>
                      <w:rFonts w:cs="Arial"/>
                    </w:rPr>
                  </w:pPr>
                  <w:r w:rsidRPr="008E5925">
                    <w:rPr>
                      <w:rFonts w:cs="Arial"/>
                    </w:rPr>
                    <w:t>1</w:t>
                  </w:r>
                </w:p>
              </w:tc>
              <w:tc>
                <w:tcPr>
                  <w:tcW w:w="992" w:type="dxa"/>
                  <w:vAlign w:val="bottom"/>
                </w:tcPr>
                <w:p w14:paraId="3EF79E10" w14:textId="77777777" w:rsidR="00B14E5E" w:rsidRPr="008E5925" w:rsidRDefault="00B14E5E" w:rsidP="00A90858">
                  <w:pPr>
                    <w:spacing w:after="60"/>
                    <w:jc w:val="right"/>
                    <w:rPr>
                      <w:rFonts w:cs="Arial"/>
                      <w:b/>
                    </w:rPr>
                  </w:pPr>
                  <w:r w:rsidRPr="008E5925">
                    <w:rPr>
                      <w:rFonts w:cs="Arial"/>
                      <w:b/>
                      <w:bCs/>
                    </w:rPr>
                    <w:t>1</w:t>
                  </w:r>
                </w:p>
              </w:tc>
            </w:tr>
            <w:tr w:rsidR="00B14E5E" w:rsidRPr="005D104F" w14:paraId="32D12F71" w14:textId="77777777" w:rsidTr="00A90858">
              <w:trPr>
                <w:trHeight w:val="255"/>
              </w:trPr>
              <w:tc>
                <w:tcPr>
                  <w:tcW w:w="1589" w:type="dxa"/>
                </w:tcPr>
                <w:p w14:paraId="525D68E5" w14:textId="77777777" w:rsidR="00B14E5E" w:rsidRPr="005D104F" w:rsidRDefault="00B14E5E" w:rsidP="00A90858">
                  <w:pPr>
                    <w:spacing w:after="60"/>
                    <w:rPr>
                      <w:rFonts w:cs="Arial"/>
                    </w:rPr>
                  </w:pPr>
                  <w:r w:rsidRPr="005D104F">
                    <w:rPr>
                      <w:rFonts w:cs="Arial"/>
                    </w:rPr>
                    <w:t>Mareeba</w:t>
                  </w:r>
                </w:p>
              </w:tc>
              <w:tc>
                <w:tcPr>
                  <w:tcW w:w="1134" w:type="dxa"/>
                  <w:vAlign w:val="bottom"/>
                </w:tcPr>
                <w:p w14:paraId="648DFAAC" w14:textId="77777777" w:rsidR="00B14E5E" w:rsidRPr="008E5925" w:rsidRDefault="00B14E5E" w:rsidP="00A90858">
                  <w:pPr>
                    <w:spacing w:after="60"/>
                    <w:jc w:val="right"/>
                    <w:rPr>
                      <w:rFonts w:cs="Arial"/>
                    </w:rPr>
                  </w:pPr>
                  <w:r w:rsidRPr="008E5925">
                    <w:rPr>
                      <w:rFonts w:cs="Arial"/>
                    </w:rPr>
                    <w:t>0</w:t>
                  </w:r>
                </w:p>
              </w:tc>
              <w:tc>
                <w:tcPr>
                  <w:tcW w:w="1134" w:type="dxa"/>
                  <w:vAlign w:val="bottom"/>
                </w:tcPr>
                <w:p w14:paraId="35D67E63" w14:textId="77777777" w:rsidR="00B14E5E" w:rsidRPr="008E5925" w:rsidRDefault="00B14E5E" w:rsidP="00A90858">
                  <w:pPr>
                    <w:spacing w:after="60"/>
                    <w:jc w:val="right"/>
                    <w:rPr>
                      <w:rFonts w:cs="Arial"/>
                    </w:rPr>
                  </w:pPr>
                  <w:r w:rsidRPr="008E5925">
                    <w:rPr>
                      <w:rFonts w:cs="Arial"/>
                    </w:rPr>
                    <w:t>1</w:t>
                  </w:r>
                </w:p>
              </w:tc>
              <w:tc>
                <w:tcPr>
                  <w:tcW w:w="992" w:type="dxa"/>
                  <w:vAlign w:val="bottom"/>
                </w:tcPr>
                <w:p w14:paraId="00BB7702" w14:textId="77777777" w:rsidR="00B14E5E" w:rsidRPr="008E5925" w:rsidRDefault="00B14E5E" w:rsidP="00A90858">
                  <w:pPr>
                    <w:spacing w:after="60"/>
                    <w:jc w:val="right"/>
                    <w:rPr>
                      <w:rFonts w:cs="Arial"/>
                      <w:b/>
                    </w:rPr>
                  </w:pPr>
                  <w:r w:rsidRPr="008E5925">
                    <w:rPr>
                      <w:rFonts w:cs="Arial"/>
                      <w:b/>
                      <w:bCs/>
                    </w:rPr>
                    <w:t>1</w:t>
                  </w:r>
                </w:p>
              </w:tc>
            </w:tr>
            <w:tr w:rsidR="00B14E5E" w:rsidRPr="005D104F" w14:paraId="556E72E5" w14:textId="77777777" w:rsidTr="00A90858">
              <w:trPr>
                <w:trHeight w:val="255"/>
              </w:trPr>
              <w:tc>
                <w:tcPr>
                  <w:tcW w:w="1589" w:type="dxa"/>
                </w:tcPr>
                <w:p w14:paraId="1E15BFDF" w14:textId="77777777" w:rsidR="00B14E5E" w:rsidRPr="005D104F" w:rsidRDefault="00B14E5E" w:rsidP="00A90858">
                  <w:pPr>
                    <w:spacing w:after="60"/>
                    <w:rPr>
                      <w:rFonts w:cs="Arial"/>
                    </w:rPr>
                  </w:pPr>
                  <w:r w:rsidRPr="005D104F">
                    <w:rPr>
                      <w:rFonts w:cs="Arial"/>
                    </w:rPr>
                    <w:t>Mossman</w:t>
                  </w:r>
                </w:p>
              </w:tc>
              <w:tc>
                <w:tcPr>
                  <w:tcW w:w="1134" w:type="dxa"/>
                  <w:vAlign w:val="bottom"/>
                </w:tcPr>
                <w:p w14:paraId="436E875F" w14:textId="77777777" w:rsidR="00B14E5E" w:rsidRPr="008E5925" w:rsidRDefault="00B14E5E" w:rsidP="00A90858">
                  <w:pPr>
                    <w:spacing w:after="60"/>
                    <w:jc w:val="right"/>
                    <w:rPr>
                      <w:rFonts w:cs="Arial"/>
                    </w:rPr>
                  </w:pPr>
                  <w:r w:rsidRPr="008E5925">
                    <w:rPr>
                      <w:rFonts w:cs="Arial"/>
                    </w:rPr>
                    <w:t>9</w:t>
                  </w:r>
                </w:p>
              </w:tc>
              <w:tc>
                <w:tcPr>
                  <w:tcW w:w="1134" w:type="dxa"/>
                  <w:vAlign w:val="bottom"/>
                </w:tcPr>
                <w:p w14:paraId="024C0FEF" w14:textId="77777777" w:rsidR="00B14E5E" w:rsidRPr="008E5925" w:rsidRDefault="00B14E5E" w:rsidP="00A90858">
                  <w:pPr>
                    <w:spacing w:after="60"/>
                    <w:jc w:val="right"/>
                    <w:rPr>
                      <w:rFonts w:cs="Arial"/>
                    </w:rPr>
                  </w:pPr>
                  <w:r w:rsidRPr="008E5925">
                    <w:rPr>
                      <w:rFonts w:cs="Arial"/>
                    </w:rPr>
                    <w:t>15</w:t>
                  </w:r>
                </w:p>
              </w:tc>
              <w:tc>
                <w:tcPr>
                  <w:tcW w:w="992" w:type="dxa"/>
                  <w:vAlign w:val="bottom"/>
                </w:tcPr>
                <w:p w14:paraId="3B0BF979" w14:textId="77777777" w:rsidR="00B14E5E" w:rsidRPr="008E5925" w:rsidRDefault="00B14E5E" w:rsidP="00A90858">
                  <w:pPr>
                    <w:spacing w:after="60"/>
                    <w:jc w:val="right"/>
                    <w:rPr>
                      <w:rFonts w:cs="Arial"/>
                      <w:b/>
                    </w:rPr>
                  </w:pPr>
                  <w:r w:rsidRPr="008E5925">
                    <w:rPr>
                      <w:rFonts w:cs="Arial"/>
                      <w:b/>
                      <w:bCs/>
                    </w:rPr>
                    <w:t>24</w:t>
                  </w:r>
                </w:p>
              </w:tc>
            </w:tr>
            <w:tr w:rsidR="00B14E5E" w:rsidRPr="005D104F" w14:paraId="6429C9AD" w14:textId="77777777" w:rsidTr="00A90858">
              <w:trPr>
                <w:trHeight w:val="255"/>
              </w:trPr>
              <w:tc>
                <w:tcPr>
                  <w:tcW w:w="1589" w:type="dxa"/>
                </w:tcPr>
                <w:p w14:paraId="093AA72B" w14:textId="77777777" w:rsidR="00B14E5E" w:rsidRPr="005D104F" w:rsidRDefault="00B14E5E" w:rsidP="00A90858">
                  <w:pPr>
                    <w:spacing w:after="60"/>
                    <w:rPr>
                      <w:rFonts w:cs="Arial"/>
                    </w:rPr>
                  </w:pPr>
                  <w:r>
                    <w:rPr>
                      <w:rFonts w:cs="Arial"/>
                    </w:rPr>
                    <w:t>Murgon</w:t>
                  </w:r>
                </w:p>
              </w:tc>
              <w:tc>
                <w:tcPr>
                  <w:tcW w:w="1134" w:type="dxa"/>
                  <w:vAlign w:val="bottom"/>
                </w:tcPr>
                <w:p w14:paraId="2A2BC648" w14:textId="77777777" w:rsidR="00B14E5E" w:rsidRPr="008E5925" w:rsidRDefault="00B14E5E" w:rsidP="00A90858">
                  <w:pPr>
                    <w:spacing w:after="60"/>
                    <w:jc w:val="right"/>
                    <w:rPr>
                      <w:rFonts w:cs="Arial"/>
                    </w:rPr>
                  </w:pPr>
                  <w:r w:rsidRPr="008E5925">
                    <w:rPr>
                      <w:rFonts w:cs="Arial"/>
                    </w:rPr>
                    <w:t>0</w:t>
                  </w:r>
                </w:p>
              </w:tc>
              <w:tc>
                <w:tcPr>
                  <w:tcW w:w="1134" w:type="dxa"/>
                  <w:vAlign w:val="bottom"/>
                </w:tcPr>
                <w:p w14:paraId="6C6291B1" w14:textId="77777777" w:rsidR="00B14E5E" w:rsidRPr="008E5925" w:rsidRDefault="00B14E5E" w:rsidP="00A90858">
                  <w:pPr>
                    <w:spacing w:after="60"/>
                    <w:jc w:val="right"/>
                    <w:rPr>
                      <w:rFonts w:cs="Arial"/>
                    </w:rPr>
                  </w:pPr>
                  <w:r w:rsidRPr="008E5925">
                    <w:rPr>
                      <w:rFonts w:cs="Arial"/>
                    </w:rPr>
                    <w:t>1</w:t>
                  </w:r>
                </w:p>
              </w:tc>
              <w:tc>
                <w:tcPr>
                  <w:tcW w:w="992" w:type="dxa"/>
                  <w:vAlign w:val="bottom"/>
                </w:tcPr>
                <w:p w14:paraId="1C7C35D4" w14:textId="77777777" w:rsidR="00B14E5E" w:rsidRPr="008E5925" w:rsidRDefault="00B14E5E" w:rsidP="00A90858">
                  <w:pPr>
                    <w:spacing w:after="60"/>
                    <w:jc w:val="right"/>
                    <w:rPr>
                      <w:rFonts w:cs="Arial"/>
                      <w:b/>
                    </w:rPr>
                  </w:pPr>
                  <w:r w:rsidRPr="008E5925">
                    <w:rPr>
                      <w:rFonts w:cs="Arial"/>
                      <w:b/>
                      <w:bCs/>
                    </w:rPr>
                    <w:t>1</w:t>
                  </w:r>
                </w:p>
              </w:tc>
            </w:tr>
            <w:tr w:rsidR="00B14E5E" w:rsidRPr="005D104F" w14:paraId="6421AA84" w14:textId="77777777" w:rsidTr="00A90858">
              <w:trPr>
                <w:trHeight w:val="255"/>
              </w:trPr>
              <w:tc>
                <w:tcPr>
                  <w:tcW w:w="1589" w:type="dxa"/>
                </w:tcPr>
                <w:p w14:paraId="322ACC83" w14:textId="77777777" w:rsidR="00B14E5E" w:rsidRPr="005D104F" w:rsidRDefault="00B14E5E" w:rsidP="00A90858">
                  <w:pPr>
                    <w:spacing w:after="60"/>
                    <w:rPr>
                      <w:rFonts w:cs="Arial"/>
                    </w:rPr>
                  </w:pPr>
                  <w:r>
                    <w:rPr>
                      <w:rFonts w:cs="Arial"/>
                    </w:rPr>
                    <w:t>Sandgate</w:t>
                  </w:r>
                </w:p>
              </w:tc>
              <w:tc>
                <w:tcPr>
                  <w:tcW w:w="1134" w:type="dxa"/>
                  <w:vAlign w:val="bottom"/>
                </w:tcPr>
                <w:p w14:paraId="2EF48F30" w14:textId="77777777" w:rsidR="00B14E5E" w:rsidRPr="008E5925" w:rsidRDefault="00B14E5E" w:rsidP="00A90858">
                  <w:pPr>
                    <w:spacing w:after="60"/>
                    <w:jc w:val="right"/>
                    <w:rPr>
                      <w:rFonts w:cs="Arial"/>
                    </w:rPr>
                  </w:pPr>
                  <w:r w:rsidRPr="008E5925">
                    <w:rPr>
                      <w:rFonts w:cs="Arial"/>
                    </w:rPr>
                    <w:t>0</w:t>
                  </w:r>
                </w:p>
              </w:tc>
              <w:tc>
                <w:tcPr>
                  <w:tcW w:w="1134" w:type="dxa"/>
                  <w:vAlign w:val="bottom"/>
                </w:tcPr>
                <w:p w14:paraId="7725F6DB" w14:textId="77777777" w:rsidR="00B14E5E" w:rsidRPr="008E5925" w:rsidRDefault="00B14E5E" w:rsidP="00A90858">
                  <w:pPr>
                    <w:spacing w:after="60"/>
                    <w:jc w:val="right"/>
                    <w:rPr>
                      <w:rFonts w:cs="Arial"/>
                    </w:rPr>
                  </w:pPr>
                  <w:r w:rsidRPr="008E5925">
                    <w:rPr>
                      <w:rFonts w:cs="Arial"/>
                    </w:rPr>
                    <w:t>1</w:t>
                  </w:r>
                </w:p>
              </w:tc>
              <w:tc>
                <w:tcPr>
                  <w:tcW w:w="992" w:type="dxa"/>
                  <w:vAlign w:val="bottom"/>
                </w:tcPr>
                <w:p w14:paraId="067C2846" w14:textId="77777777" w:rsidR="00B14E5E" w:rsidRPr="008E5925" w:rsidRDefault="00B14E5E" w:rsidP="00A90858">
                  <w:pPr>
                    <w:spacing w:after="60"/>
                    <w:jc w:val="right"/>
                    <w:rPr>
                      <w:rFonts w:cs="Arial"/>
                      <w:b/>
                    </w:rPr>
                  </w:pPr>
                  <w:r w:rsidRPr="008E5925">
                    <w:rPr>
                      <w:rFonts w:cs="Arial"/>
                      <w:b/>
                      <w:bCs/>
                    </w:rPr>
                    <w:t>1</w:t>
                  </w:r>
                </w:p>
              </w:tc>
            </w:tr>
            <w:tr w:rsidR="00B14E5E" w:rsidRPr="005D104F" w14:paraId="0BA2BFA5" w14:textId="77777777" w:rsidTr="00A90858">
              <w:trPr>
                <w:trHeight w:val="255"/>
              </w:trPr>
              <w:tc>
                <w:tcPr>
                  <w:tcW w:w="1589" w:type="dxa"/>
                </w:tcPr>
                <w:p w14:paraId="7A9786C8" w14:textId="77777777" w:rsidR="00B14E5E" w:rsidRPr="005D104F" w:rsidRDefault="00B14E5E" w:rsidP="00A90858">
                  <w:pPr>
                    <w:spacing w:after="60"/>
                    <w:rPr>
                      <w:rFonts w:cs="Arial"/>
                    </w:rPr>
                  </w:pPr>
                  <w:r>
                    <w:rPr>
                      <w:rFonts w:cs="Arial"/>
                    </w:rPr>
                    <w:t>Townsville</w:t>
                  </w:r>
                </w:p>
              </w:tc>
              <w:tc>
                <w:tcPr>
                  <w:tcW w:w="1134" w:type="dxa"/>
                  <w:vAlign w:val="bottom"/>
                </w:tcPr>
                <w:p w14:paraId="221A9806" w14:textId="77777777" w:rsidR="00B14E5E" w:rsidRPr="008E5925" w:rsidRDefault="00B14E5E" w:rsidP="00A90858">
                  <w:pPr>
                    <w:spacing w:after="60"/>
                    <w:jc w:val="right"/>
                    <w:rPr>
                      <w:rFonts w:cs="Arial"/>
                    </w:rPr>
                  </w:pPr>
                  <w:r w:rsidRPr="008E5925">
                    <w:rPr>
                      <w:rFonts w:cs="Arial"/>
                    </w:rPr>
                    <w:t>0</w:t>
                  </w:r>
                </w:p>
              </w:tc>
              <w:tc>
                <w:tcPr>
                  <w:tcW w:w="1134" w:type="dxa"/>
                  <w:vAlign w:val="bottom"/>
                </w:tcPr>
                <w:p w14:paraId="7146F146" w14:textId="77777777" w:rsidR="00B14E5E" w:rsidRPr="008E5925" w:rsidRDefault="00B14E5E" w:rsidP="00A90858">
                  <w:pPr>
                    <w:spacing w:after="60"/>
                    <w:jc w:val="right"/>
                    <w:rPr>
                      <w:rFonts w:cs="Arial"/>
                    </w:rPr>
                  </w:pPr>
                  <w:r w:rsidRPr="008E5925">
                    <w:rPr>
                      <w:rFonts w:cs="Arial"/>
                    </w:rPr>
                    <w:t>2</w:t>
                  </w:r>
                </w:p>
              </w:tc>
              <w:tc>
                <w:tcPr>
                  <w:tcW w:w="992" w:type="dxa"/>
                  <w:vAlign w:val="bottom"/>
                </w:tcPr>
                <w:p w14:paraId="49A2F521" w14:textId="77777777" w:rsidR="00B14E5E" w:rsidRPr="008E5925" w:rsidRDefault="00B14E5E" w:rsidP="00A90858">
                  <w:pPr>
                    <w:spacing w:after="60"/>
                    <w:jc w:val="right"/>
                    <w:rPr>
                      <w:rFonts w:cs="Arial"/>
                      <w:b/>
                    </w:rPr>
                  </w:pPr>
                  <w:r w:rsidRPr="008E5925">
                    <w:rPr>
                      <w:rFonts w:cs="Arial"/>
                      <w:b/>
                      <w:bCs/>
                    </w:rPr>
                    <w:t>2</w:t>
                  </w:r>
                </w:p>
              </w:tc>
            </w:tr>
            <w:tr w:rsidR="00B14E5E" w:rsidRPr="005D104F" w14:paraId="658FAFA0" w14:textId="77777777" w:rsidTr="00A90858">
              <w:trPr>
                <w:trHeight w:val="255"/>
              </w:trPr>
              <w:tc>
                <w:tcPr>
                  <w:tcW w:w="1589" w:type="dxa"/>
                </w:tcPr>
                <w:p w14:paraId="7D9EC972" w14:textId="77777777" w:rsidR="00B14E5E" w:rsidRPr="005D104F" w:rsidRDefault="00B14E5E" w:rsidP="00A90858">
                  <w:pPr>
                    <w:spacing w:after="60"/>
                    <w:rPr>
                      <w:rFonts w:cs="Arial"/>
                    </w:rPr>
                  </w:pPr>
                  <w:r w:rsidRPr="005D104F">
                    <w:rPr>
                      <w:rFonts w:cs="Arial"/>
                    </w:rPr>
                    <w:t>Weipa</w:t>
                  </w:r>
                </w:p>
              </w:tc>
              <w:tc>
                <w:tcPr>
                  <w:tcW w:w="1134" w:type="dxa"/>
                  <w:vAlign w:val="bottom"/>
                </w:tcPr>
                <w:p w14:paraId="4FA31692" w14:textId="77777777" w:rsidR="00B14E5E" w:rsidRPr="008E5925" w:rsidRDefault="00B14E5E" w:rsidP="00A90858">
                  <w:pPr>
                    <w:spacing w:after="60"/>
                    <w:jc w:val="right"/>
                    <w:rPr>
                      <w:rFonts w:cs="Arial"/>
                    </w:rPr>
                  </w:pPr>
                  <w:r w:rsidRPr="008E5925">
                    <w:rPr>
                      <w:rFonts w:cs="Arial"/>
                    </w:rPr>
                    <w:t>4</w:t>
                  </w:r>
                </w:p>
              </w:tc>
              <w:tc>
                <w:tcPr>
                  <w:tcW w:w="1134" w:type="dxa"/>
                  <w:vAlign w:val="bottom"/>
                </w:tcPr>
                <w:p w14:paraId="3EA5B821" w14:textId="77777777" w:rsidR="00B14E5E" w:rsidRPr="008E5925" w:rsidRDefault="00B14E5E" w:rsidP="00A90858">
                  <w:pPr>
                    <w:spacing w:after="60"/>
                    <w:jc w:val="right"/>
                    <w:rPr>
                      <w:rFonts w:cs="Arial"/>
                    </w:rPr>
                  </w:pPr>
                  <w:r w:rsidRPr="008E5925">
                    <w:rPr>
                      <w:rFonts w:cs="Arial"/>
                    </w:rPr>
                    <w:t>2</w:t>
                  </w:r>
                </w:p>
              </w:tc>
              <w:tc>
                <w:tcPr>
                  <w:tcW w:w="992" w:type="dxa"/>
                  <w:vAlign w:val="bottom"/>
                </w:tcPr>
                <w:p w14:paraId="7695A2B3" w14:textId="77777777" w:rsidR="00B14E5E" w:rsidRPr="008E5925" w:rsidRDefault="00B14E5E" w:rsidP="00A90858">
                  <w:pPr>
                    <w:spacing w:after="60"/>
                    <w:jc w:val="right"/>
                    <w:rPr>
                      <w:rFonts w:cs="Arial"/>
                      <w:b/>
                    </w:rPr>
                  </w:pPr>
                  <w:r w:rsidRPr="008E5925">
                    <w:rPr>
                      <w:rFonts w:cs="Arial"/>
                      <w:b/>
                      <w:bCs/>
                    </w:rPr>
                    <w:t>6</w:t>
                  </w:r>
                </w:p>
              </w:tc>
            </w:tr>
            <w:tr w:rsidR="00B14E5E" w:rsidRPr="005D104F" w14:paraId="3319DD00" w14:textId="77777777" w:rsidTr="00A90858">
              <w:trPr>
                <w:trHeight w:val="255"/>
              </w:trPr>
              <w:tc>
                <w:tcPr>
                  <w:tcW w:w="1589" w:type="dxa"/>
                </w:tcPr>
                <w:p w14:paraId="54517E0B" w14:textId="77777777" w:rsidR="00B14E5E" w:rsidRPr="005D104F" w:rsidRDefault="00B14E5E" w:rsidP="00A90858">
                  <w:pPr>
                    <w:spacing w:after="60"/>
                    <w:rPr>
                      <w:rFonts w:cs="Arial"/>
                      <w:b/>
                    </w:rPr>
                  </w:pPr>
                  <w:r w:rsidRPr="005D104F">
                    <w:rPr>
                      <w:rFonts w:cs="Arial"/>
                      <w:b/>
                    </w:rPr>
                    <w:t>Total</w:t>
                  </w:r>
                </w:p>
              </w:tc>
              <w:tc>
                <w:tcPr>
                  <w:tcW w:w="1134" w:type="dxa"/>
                  <w:vAlign w:val="bottom"/>
                </w:tcPr>
                <w:p w14:paraId="555D3B92" w14:textId="77777777" w:rsidR="00B14E5E" w:rsidRPr="008E5925" w:rsidRDefault="00B14E5E" w:rsidP="00A90858">
                  <w:pPr>
                    <w:spacing w:after="60"/>
                    <w:jc w:val="right"/>
                    <w:rPr>
                      <w:rFonts w:cs="Arial"/>
                      <w:b/>
                    </w:rPr>
                  </w:pPr>
                  <w:r w:rsidRPr="008E5925">
                    <w:rPr>
                      <w:rFonts w:cs="Arial"/>
                      <w:b/>
                      <w:bCs/>
                    </w:rPr>
                    <w:t>111</w:t>
                  </w:r>
                </w:p>
              </w:tc>
              <w:tc>
                <w:tcPr>
                  <w:tcW w:w="1134" w:type="dxa"/>
                  <w:vAlign w:val="bottom"/>
                </w:tcPr>
                <w:p w14:paraId="74C32621" w14:textId="77777777" w:rsidR="00B14E5E" w:rsidRPr="008E5925" w:rsidRDefault="00B14E5E" w:rsidP="00A90858">
                  <w:pPr>
                    <w:spacing w:after="60"/>
                    <w:jc w:val="right"/>
                    <w:rPr>
                      <w:rFonts w:cs="Arial"/>
                      <w:b/>
                    </w:rPr>
                  </w:pPr>
                  <w:r w:rsidRPr="008E5925">
                    <w:rPr>
                      <w:rFonts w:cs="Arial"/>
                      <w:b/>
                      <w:bCs/>
                    </w:rPr>
                    <w:t>218</w:t>
                  </w:r>
                </w:p>
              </w:tc>
              <w:tc>
                <w:tcPr>
                  <w:tcW w:w="992" w:type="dxa"/>
                  <w:vAlign w:val="bottom"/>
                </w:tcPr>
                <w:p w14:paraId="7D9AB4DF" w14:textId="77777777" w:rsidR="00B14E5E" w:rsidRPr="008E5925" w:rsidRDefault="00B14E5E" w:rsidP="00A90858">
                  <w:pPr>
                    <w:spacing w:after="60"/>
                    <w:jc w:val="right"/>
                    <w:rPr>
                      <w:rFonts w:cs="Arial"/>
                      <w:b/>
                    </w:rPr>
                  </w:pPr>
                  <w:r w:rsidRPr="008E5925">
                    <w:rPr>
                      <w:rFonts w:cs="Arial"/>
                      <w:b/>
                      <w:bCs/>
                    </w:rPr>
                    <w:t>329</w:t>
                  </w:r>
                </w:p>
              </w:tc>
            </w:tr>
          </w:tbl>
          <w:p w14:paraId="02402AEF" w14:textId="77777777" w:rsidR="00B14E5E" w:rsidRPr="008E7494" w:rsidRDefault="00B14E5E" w:rsidP="00A90858">
            <w:pPr>
              <w:rPr>
                <w:rFonts w:ascii="Helvetica" w:hAnsi="Helvetica" w:cs="Helvetica"/>
                <w:b/>
                <w:bCs/>
                <w:sz w:val="17"/>
                <w:szCs w:val="17"/>
                <w:lang w:val="en-US"/>
              </w:rPr>
            </w:pPr>
          </w:p>
        </w:tc>
        <w:tc>
          <w:tcPr>
            <w:tcW w:w="5539" w:type="dxa"/>
            <w:shd w:val="clear" w:color="auto" w:fill="auto"/>
          </w:tcPr>
          <w:p w14:paraId="72BBD5CF" w14:textId="77777777" w:rsidR="00B14E5E" w:rsidRPr="00B7510C" w:rsidRDefault="00B14E5E" w:rsidP="00B7510C">
            <w:pPr>
              <w:pStyle w:val="Heading3"/>
            </w:pPr>
            <w:r w:rsidRPr="00B7510C">
              <w:t>Conferences</w:t>
            </w:r>
          </w:p>
          <w:p w14:paraId="2B064EE1" w14:textId="77777777" w:rsidR="00B14E5E" w:rsidRPr="005D104F" w:rsidRDefault="00B14E5E" w:rsidP="00A90858">
            <w:r w:rsidRPr="005D104F">
              <w:t>From 1 July 201</w:t>
            </w:r>
            <w:r>
              <w:t>8</w:t>
            </w:r>
            <w:r w:rsidRPr="005D104F">
              <w:t xml:space="preserve"> to 30 June 201</w:t>
            </w:r>
            <w:r>
              <w:t>9</w:t>
            </w:r>
            <w:r w:rsidRPr="005D104F">
              <w:t xml:space="preserve"> a total </w:t>
            </w:r>
            <w:r w:rsidRPr="000F0208">
              <w:t>of 2,682</w:t>
            </w:r>
            <w:r w:rsidRPr="005D104F">
              <w:t xml:space="preserve"> conferences were held with </w:t>
            </w:r>
            <w:r w:rsidRPr="002C2DC1">
              <w:t>60.</w:t>
            </w:r>
            <w:r>
              <w:t>6</w:t>
            </w:r>
            <w:r w:rsidRPr="005D104F">
              <w:t xml:space="preserve"> percent of conferences attended by clients. Of those conferences not attended </w:t>
            </w:r>
            <w:r w:rsidRPr="002025BE">
              <w:t>27.6</w:t>
            </w:r>
            <w:r w:rsidRPr="005D104F">
              <w:t xml:space="preserve"> percent were for explained (acceptable) reasons. Conferences during the financial year resulted in </w:t>
            </w:r>
            <w:r w:rsidRPr="000F0208">
              <w:t>20</w:t>
            </w:r>
            <w:r w:rsidRPr="005D104F">
              <w:t xml:space="preserve"> FRAs being </w:t>
            </w:r>
            <w:proofErr w:type="gramStart"/>
            <w:r w:rsidRPr="005D104F">
              <w:t xml:space="preserve">entered </w:t>
            </w:r>
            <w:r w:rsidRPr="000F0208">
              <w:t>into</w:t>
            </w:r>
            <w:proofErr w:type="gramEnd"/>
            <w:r w:rsidRPr="000F0208">
              <w:t>, 70 orders made to attend community support services and 233 CIM orders</w:t>
            </w:r>
            <w:r w:rsidRPr="005D104F">
              <w:t xml:space="preserve"> issued.</w:t>
            </w:r>
          </w:p>
          <w:p w14:paraId="53AE19A1" w14:textId="47F11CFF" w:rsidR="004C0B80" w:rsidRPr="000E4D75" w:rsidRDefault="004C0B80" w:rsidP="004C0B80">
            <w:pPr>
              <w:widowControl w:val="0"/>
              <w:autoSpaceDE w:val="0"/>
              <w:autoSpaceDN w:val="0"/>
              <w:adjustRightInd w:val="0"/>
              <w:ind w:left="720" w:hanging="720"/>
              <w:rPr>
                <w:rFonts w:ascii="Helvetica" w:hAnsi="Helvetica" w:cs="Helvetica"/>
                <w:b/>
                <w:bCs/>
                <w:sz w:val="17"/>
                <w:szCs w:val="17"/>
                <w:lang w:val="en-US"/>
              </w:rPr>
            </w:pPr>
            <w:r w:rsidRPr="00A72285">
              <w:rPr>
                <w:rFonts w:ascii="Helvetica" w:hAnsi="Helvetica" w:cs="Helvetica"/>
                <w:b/>
                <w:bCs/>
                <w:sz w:val="17"/>
                <w:szCs w:val="17"/>
                <w:lang w:val="en-US"/>
              </w:rPr>
              <w:t>Table 9: FRC conferences</w:t>
            </w:r>
            <w:r w:rsidRPr="0018227B">
              <w:rPr>
                <w:rFonts w:ascii="Helvetica" w:hAnsi="Helvetica" w:cs="Helvetica"/>
                <w:b/>
                <w:bCs/>
                <w:sz w:val="17"/>
                <w:szCs w:val="17"/>
                <w:lang w:val="en-US"/>
              </w:rPr>
              <w:t xml:space="preserve"> by community and quarter</w:t>
            </w:r>
            <w:r>
              <w:rPr>
                <w:rFonts w:ascii="Helvetica" w:hAnsi="Helvetica" w:cs="Helvetica"/>
                <w:b/>
                <w:bCs/>
                <w:sz w:val="17"/>
                <w:szCs w:val="17"/>
                <w:lang w:val="en-US"/>
              </w:rPr>
              <w:br/>
              <w:t>1 July 201</w:t>
            </w:r>
            <w:r w:rsidR="00150DA5">
              <w:rPr>
                <w:rFonts w:ascii="Helvetica" w:hAnsi="Helvetica" w:cs="Helvetica"/>
                <w:b/>
                <w:bCs/>
                <w:sz w:val="17"/>
                <w:szCs w:val="17"/>
                <w:lang w:val="en-US"/>
              </w:rPr>
              <w:t>8</w:t>
            </w:r>
            <w:r>
              <w:rPr>
                <w:rFonts w:ascii="Helvetica" w:hAnsi="Helvetica" w:cs="Helvetica"/>
                <w:b/>
                <w:bCs/>
                <w:sz w:val="17"/>
                <w:szCs w:val="17"/>
                <w:lang w:val="en-US"/>
              </w:rPr>
              <w:t xml:space="preserve"> to 30 June 201</w:t>
            </w:r>
            <w:r w:rsidR="00150DA5">
              <w:rPr>
                <w:rFonts w:ascii="Helvetica" w:hAnsi="Helvetica" w:cs="Helvetica"/>
                <w:b/>
                <w:bCs/>
                <w:sz w:val="17"/>
                <w:szCs w:val="17"/>
                <w:lang w:val="en-US"/>
              </w:rPr>
              <w:t>9</w:t>
            </w:r>
            <w:r>
              <w:rPr>
                <w:rFonts w:ascii="Helvetica" w:hAnsi="Helvetica" w:cs="Helvetica"/>
                <w:b/>
                <w:bCs/>
                <w:sz w:val="17"/>
                <w:szCs w:val="17"/>
                <w:lang w:val="en-US"/>
              </w:rPr>
              <w:t>.</w:t>
            </w:r>
          </w:p>
          <w:tbl>
            <w:tblPr>
              <w:tblW w:w="5098" w:type="dxa"/>
              <w:tblLayout w:type="fixed"/>
              <w:tblLook w:val="04A0" w:firstRow="1" w:lastRow="0" w:firstColumn="1" w:lastColumn="0" w:noHBand="0" w:noVBand="1"/>
            </w:tblPr>
            <w:tblGrid>
              <w:gridCol w:w="2032"/>
              <w:gridCol w:w="766"/>
              <w:gridCol w:w="767"/>
              <w:gridCol w:w="766"/>
              <w:gridCol w:w="767"/>
            </w:tblGrid>
            <w:tr w:rsidR="004C0B80" w:rsidRPr="00550B7B" w14:paraId="761695D8" w14:textId="77777777" w:rsidTr="004C0B80">
              <w:trPr>
                <w:trHeight w:val="306"/>
              </w:trPr>
              <w:tc>
                <w:tcPr>
                  <w:tcW w:w="2032" w:type="dxa"/>
                  <w:tcBorders>
                    <w:top w:val="single" w:sz="4" w:space="0" w:color="auto"/>
                    <w:left w:val="single" w:sz="4" w:space="0" w:color="auto"/>
                    <w:bottom w:val="single" w:sz="4" w:space="0" w:color="auto"/>
                    <w:right w:val="single" w:sz="4" w:space="0" w:color="auto"/>
                  </w:tcBorders>
                  <w:noWrap/>
                  <w:vAlign w:val="center"/>
                  <w:hideMark/>
                </w:tcPr>
                <w:p w14:paraId="591A098E" w14:textId="77777777" w:rsidR="004C0B80" w:rsidRPr="00FB39EA" w:rsidRDefault="004C0B80" w:rsidP="004C0B80">
                  <w:pPr>
                    <w:spacing w:after="0"/>
                    <w:rPr>
                      <w:rFonts w:cs="Arial"/>
                      <w:b/>
                      <w:bCs/>
                      <w:szCs w:val="20"/>
                      <w:lang w:eastAsia="en-AU"/>
                    </w:rPr>
                  </w:pPr>
                  <w:r w:rsidRPr="00FB39EA">
                    <w:rPr>
                      <w:rFonts w:cs="Arial"/>
                      <w:b/>
                      <w:bCs/>
                      <w:szCs w:val="20"/>
                      <w:lang w:eastAsia="en-AU"/>
                    </w:rPr>
                    <w:t>Community</w:t>
                  </w:r>
                </w:p>
              </w:tc>
              <w:tc>
                <w:tcPr>
                  <w:tcW w:w="766" w:type="dxa"/>
                  <w:tcBorders>
                    <w:top w:val="single" w:sz="4" w:space="0" w:color="auto"/>
                    <w:bottom w:val="single" w:sz="4" w:space="0" w:color="auto"/>
                    <w:right w:val="single" w:sz="4" w:space="0" w:color="auto"/>
                  </w:tcBorders>
                  <w:vAlign w:val="center"/>
                  <w:hideMark/>
                </w:tcPr>
                <w:p w14:paraId="56ED8525" w14:textId="4721D8D4" w:rsidR="004C0B80" w:rsidRPr="00FB39EA" w:rsidRDefault="004C0B80" w:rsidP="004C0B80">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sidR="00150DA5">
                    <w:rPr>
                      <w:rFonts w:cs="Arial"/>
                      <w:b/>
                      <w:bCs/>
                      <w:szCs w:val="20"/>
                      <w:lang w:eastAsia="en-AU"/>
                    </w:rPr>
                    <w:t>41</w:t>
                  </w:r>
                </w:p>
              </w:tc>
              <w:tc>
                <w:tcPr>
                  <w:tcW w:w="767" w:type="dxa"/>
                  <w:tcBorders>
                    <w:top w:val="single" w:sz="4" w:space="0" w:color="auto"/>
                    <w:bottom w:val="single" w:sz="4" w:space="0" w:color="auto"/>
                    <w:right w:val="single" w:sz="4" w:space="0" w:color="auto"/>
                  </w:tcBorders>
                  <w:vAlign w:val="center"/>
                  <w:hideMark/>
                </w:tcPr>
                <w:p w14:paraId="7119C03E" w14:textId="14F18B19" w:rsidR="004C0B80" w:rsidRPr="00FB39EA" w:rsidRDefault="004C0B80" w:rsidP="004C0B80">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sidR="00150DA5">
                    <w:rPr>
                      <w:rFonts w:cs="Arial"/>
                      <w:b/>
                      <w:bCs/>
                      <w:szCs w:val="20"/>
                      <w:lang w:eastAsia="en-AU"/>
                    </w:rPr>
                    <w:t>42</w:t>
                  </w:r>
                </w:p>
              </w:tc>
              <w:tc>
                <w:tcPr>
                  <w:tcW w:w="766" w:type="dxa"/>
                  <w:tcBorders>
                    <w:top w:val="single" w:sz="4" w:space="0" w:color="auto"/>
                    <w:bottom w:val="single" w:sz="4" w:space="0" w:color="auto"/>
                    <w:right w:val="single" w:sz="4" w:space="0" w:color="auto"/>
                  </w:tcBorders>
                  <w:vAlign w:val="center"/>
                  <w:hideMark/>
                </w:tcPr>
                <w:p w14:paraId="03F108A2" w14:textId="1EA53563" w:rsidR="004C0B80" w:rsidRPr="00FB39EA" w:rsidRDefault="004C0B80" w:rsidP="004C0B80">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sidR="00150DA5">
                    <w:rPr>
                      <w:rFonts w:cs="Arial"/>
                      <w:b/>
                      <w:bCs/>
                      <w:szCs w:val="20"/>
                      <w:lang w:eastAsia="en-AU"/>
                    </w:rPr>
                    <w:t>43</w:t>
                  </w:r>
                </w:p>
              </w:tc>
              <w:tc>
                <w:tcPr>
                  <w:tcW w:w="767" w:type="dxa"/>
                  <w:tcBorders>
                    <w:top w:val="single" w:sz="4" w:space="0" w:color="auto"/>
                    <w:bottom w:val="single" w:sz="4" w:space="0" w:color="auto"/>
                    <w:right w:val="single" w:sz="4" w:space="0" w:color="auto"/>
                  </w:tcBorders>
                  <w:vAlign w:val="center"/>
                  <w:hideMark/>
                </w:tcPr>
                <w:p w14:paraId="50E4D6F0" w14:textId="10AAB4BA" w:rsidR="004C0B80" w:rsidRPr="00FB39EA" w:rsidRDefault="004C0B80" w:rsidP="004C0B80">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sidR="00150DA5">
                    <w:rPr>
                      <w:rFonts w:cs="Arial"/>
                      <w:b/>
                      <w:bCs/>
                      <w:szCs w:val="20"/>
                      <w:lang w:eastAsia="en-AU"/>
                    </w:rPr>
                    <w:t>44</w:t>
                  </w:r>
                </w:p>
              </w:tc>
            </w:tr>
            <w:tr w:rsidR="000A486F" w:rsidRPr="00550B7B" w14:paraId="31E0D581" w14:textId="77777777" w:rsidTr="004C0B80">
              <w:trPr>
                <w:trHeight w:val="255"/>
              </w:trPr>
              <w:tc>
                <w:tcPr>
                  <w:tcW w:w="2032" w:type="dxa"/>
                  <w:tcBorders>
                    <w:left w:val="single" w:sz="4" w:space="0" w:color="auto"/>
                    <w:bottom w:val="single" w:sz="4" w:space="0" w:color="auto"/>
                    <w:right w:val="single" w:sz="4" w:space="0" w:color="auto"/>
                  </w:tcBorders>
                  <w:noWrap/>
                  <w:vAlign w:val="bottom"/>
                  <w:hideMark/>
                </w:tcPr>
                <w:p w14:paraId="5B7F6572" w14:textId="77777777" w:rsidR="000A486F" w:rsidRPr="00FB39EA" w:rsidRDefault="000A486F" w:rsidP="000A486F">
                  <w:pPr>
                    <w:spacing w:after="60"/>
                    <w:rPr>
                      <w:rFonts w:cs="Arial"/>
                      <w:szCs w:val="20"/>
                      <w:lang w:eastAsia="en-AU"/>
                    </w:rPr>
                  </w:pPr>
                  <w:r w:rsidRPr="00FB39EA">
                    <w:rPr>
                      <w:rFonts w:cs="Arial"/>
                      <w:szCs w:val="20"/>
                      <w:lang w:eastAsia="en-AU"/>
                    </w:rPr>
                    <w:t>Aurukun</w:t>
                  </w:r>
                </w:p>
              </w:tc>
              <w:tc>
                <w:tcPr>
                  <w:tcW w:w="766" w:type="dxa"/>
                  <w:tcBorders>
                    <w:bottom w:val="single" w:sz="4" w:space="0" w:color="auto"/>
                    <w:right w:val="single" w:sz="4" w:space="0" w:color="auto"/>
                  </w:tcBorders>
                </w:tcPr>
                <w:p w14:paraId="4163A87F" w14:textId="2A0598DE" w:rsidR="000A486F" w:rsidRPr="000A486F" w:rsidRDefault="000A486F" w:rsidP="000A486F">
                  <w:pPr>
                    <w:spacing w:after="60"/>
                    <w:jc w:val="right"/>
                    <w:rPr>
                      <w:rFonts w:cs="Arial"/>
                      <w:szCs w:val="20"/>
                      <w:lang w:eastAsia="en-AU"/>
                    </w:rPr>
                  </w:pPr>
                  <w:r w:rsidRPr="000A486F">
                    <w:rPr>
                      <w:rFonts w:cs="Arial"/>
                      <w:szCs w:val="20"/>
                    </w:rPr>
                    <w:t>312</w:t>
                  </w:r>
                </w:p>
              </w:tc>
              <w:tc>
                <w:tcPr>
                  <w:tcW w:w="767" w:type="dxa"/>
                  <w:tcBorders>
                    <w:bottom w:val="single" w:sz="4" w:space="0" w:color="auto"/>
                    <w:right w:val="single" w:sz="4" w:space="0" w:color="auto"/>
                  </w:tcBorders>
                </w:tcPr>
                <w:p w14:paraId="2743E110" w14:textId="33C64E3F" w:rsidR="000A486F" w:rsidRPr="000A486F" w:rsidRDefault="000A486F" w:rsidP="000A486F">
                  <w:pPr>
                    <w:spacing w:after="60"/>
                    <w:jc w:val="right"/>
                    <w:rPr>
                      <w:rFonts w:cs="Arial"/>
                      <w:szCs w:val="20"/>
                      <w:lang w:eastAsia="en-AU"/>
                    </w:rPr>
                  </w:pPr>
                  <w:r w:rsidRPr="000A486F">
                    <w:rPr>
                      <w:rFonts w:cs="Arial"/>
                      <w:szCs w:val="20"/>
                    </w:rPr>
                    <w:t>256</w:t>
                  </w:r>
                </w:p>
              </w:tc>
              <w:tc>
                <w:tcPr>
                  <w:tcW w:w="766" w:type="dxa"/>
                  <w:tcBorders>
                    <w:bottom w:val="single" w:sz="4" w:space="0" w:color="auto"/>
                    <w:right w:val="single" w:sz="4" w:space="0" w:color="auto"/>
                  </w:tcBorders>
                </w:tcPr>
                <w:p w14:paraId="721DDCE1" w14:textId="59B4994E" w:rsidR="000A486F" w:rsidRPr="000A486F" w:rsidRDefault="000A486F" w:rsidP="000A486F">
                  <w:pPr>
                    <w:spacing w:after="60"/>
                    <w:jc w:val="right"/>
                    <w:rPr>
                      <w:rFonts w:cs="Arial"/>
                      <w:szCs w:val="20"/>
                      <w:lang w:eastAsia="en-AU"/>
                    </w:rPr>
                  </w:pPr>
                  <w:r w:rsidRPr="000A486F">
                    <w:rPr>
                      <w:rFonts w:cs="Arial"/>
                      <w:szCs w:val="20"/>
                    </w:rPr>
                    <w:t>270</w:t>
                  </w:r>
                </w:p>
              </w:tc>
              <w:tc>
                <w:tcPr>
                  <w:tcW w:w="767" w:type="dxa"/>
                  <w:tcBorders>
                    <w:bottom w:val="single" w:sz="4" w:space="0" w:color="auto"/>
                    <w:right w:val="single" w:sz="4" w:space="0" w:color="auto"/>
                  </w:tcBorders>
                </w:tcPr>
                <w:p w14:paraId="7EAF9B2C" w14:textId="006A3E0D" w:rsidR="000A486F" w:rsidRPr="000A486F" w:rsidRDefault="000A486F" w:rsidP="000A486F">
                  <w:pPr>
                    <w:spacing w:after="60"/>
                    <w:jc w:val="right"/>
                    <w:rPr>
                      <w:rFonts w:cs="Arial"/>
                      <w:szCs w:val="20"/>
                      <w:lang w:eastAsia="en-AU"/>
                    </w:rPr>
                  </w:pPr>
                  <w:r w:rsidRPr="000A486F">
                    <w:rPr>
                      <w:rFonts w:cs="Arial"/>
                      <w:szCs w:val="20"/>
                    </w:rPr>
                    <w:t>252</w:t>
                  </w:r>
                </w:p>
              </w:tc>
            </w:tr>
            <w:tr w:rsidR="000A486F" w:rsidRPr="00550B7B" w14:paraId="73D5BA63" w14:textId="77777777" w:rsidTr="004C0B80">
              <w:trPr>
                <w:trHeight w:val="255"/>
              </w:trPr>
              <w:tc>
                <w:tcPr>
                  <w:tcW w:w="2032" w:type="dxa"/>
                  <w:tcBorders>
                    <w:left w:val="single" w:sz="4" w:space="0" w:color="auto"/>
                    <w:bottom w:val="single" w:sz="4" w:space="0" w:color="auto"/>
                    <w:right w:val="single" w:sz="4" w:space="0" w:color="auto"/>
                  </w:tcBorders>
                  <w:noWrap/>
                  <w:vAlign w:val="bottom"/>
                  <w:hideMark/>
                </w:tcPr>
                <w:p w14:paraId="196B8CB5" w14:textId="77777777" w:rsidR="000A486F" w:rsidRPr="00FB39EA" w:rsidRDefault="000A486F" w:rsidP="000A486F">
                  <w:pPr>
                    <w:spacing w:after="60"/>
                    <w:rPr>
                      <w:rFonts w:cs="Arial"/>
                      <w:szCs w:val="20"/>
                      <w:lang w:eastAsia="en-AU"/>
                    </w:rPr>
                  </w:pPr>
                  <w:r w:rsidRPr="00FB39EA">
                    <w:rPr>
                      <w:rFonts w:cs="Arial"/>
                      <w:szCs w:val="20"/>
                      <w:lang w:eastAsia="en-AU"/>
                    </w:rPr>
                    <w:t>Coen</w:t>
                  </w:r>
                </w:p>
              </w:tc>
              <w:tc>
                <w:tcPr>
                  <w:tcW w:w="766" w:type="dxa"/>
                  <w:tcBorders>
                    <w:bottom w:val="single" w:sz="4" w:space="0" w:color="auto"/>
                    <w:right w:val="single" w:sz="4" w:space="0" w:color="auto"/>
                  </w:tcBorders>
                </w:tcPr>
                <w:p w14:paraId="4E01C33C" w14:textId="06DB1DBE" w:rsidR="000A486F" w:rsidRPr="000A486F" w:rsidRDefault="000A486F" w:rsidP="000A486F">
                  <w:pPr>
                    <w:spacing w:after="60"/>
                    <w:jc w:val="right"/>
                    <w:rPr>
                      <w:rFonts w:cs="Arial"/>
                      <w:szCs w:val="20"/>
                      <w:lang w:eastAsia="en-AU"/>
                    </w:rPr>
                  </w:pPr>
                  <w:r w:rsidRPr="000A486F">
                    <w:rPr>
                      <w:rFonts w:cs="Arial"/>
                      <w:szCs w:val="20"/>
                    </w:rPr>
                    <w:t>12</w:t>
                  </w:r>
                </w:p>
              </w:tc>
              <w:tc>
                <w:tcPr>
                  <w:tcW w:w="767" w:type="dxa"/>
                  <w:tcBorders>
                    <w:bottom w:val="single" w:sz="4" w:space="0" w:color="auto"/>
                    <w:right w:val="single" w:sz="4" w:space="0" w:color="auto"/>
                  </w:tcBorders>
                </w:tcPr>
                <w:p w14:paraId="34ABB994" w14:textId="1F10AB2A" w:rsidR="000A486F" w:rsidRPr="000A486F" w:rsidRDefault="000A486F" w:rsidP="000A486F">
                  <w:pPr>
                    <w:spacing w:after="60"/>
                    <w:jc w:val="right"/>
                    <w:rPr>
                      <w:rFonts w:cs="Arial"/>
                      <w:szCs w:val="20"/>
                      <w:lang w:eastAsia="en-AU"/>
                    </w:rPr>
                  </w:pPr>
                  <w:r w:rsidRPr="000A486F">
                    <w:rPr>
                      <w:rFonts w:cs="Arial"/>
                      <w:szCs w:val="20"/>
                    </w:rPr>
                    <w:t>25</w:t>
                  </w:r>
                </w:p>
              </w:tc>
              <w:tc>
                <w:tcPr>
                  <w:tcW w:w="766" w:type="dxa"/>
                  <w:tcBorders>
                    <w:bottom w:val="single" w:sz="4" w:space="0" w:color="auto"/>
                    <w:right w:val="single" w:sz="4" w:space="0" w:color="auto"/>
                  </w:tcBorders>
                </w:tcPr>
                <w:p w14:paraId="3AFB2201" w14:textId="5D831E85" w:rsidR="000A486F" w:rsidRPr="000A486F" w:rsidRDefault="000A486F" w:rsidP="000A486F">
                  <w:pPr>
                    <w:spacing w:after="60"/>
                    <w:jc w:val="right"/>
                    <w:rPr>
                      <w:rFonts w:cs="Arial"/>
                      <w:szCs w:val="20"/>
                      <w:lang w:eastAsia="en-AU"/>
                    </w:rPr>
                  </w:pPr>
                  <w:r w:rsidRPr="000A486F">
                    <w:rPr>
                      <w:rFonts w:cs="Arial"/>
                      <w:szCs w:val="20"/>
                    </w:rPr>
                    <w:t>14</w:t>
                  </w:r>
                </w:p>
              </w:tc>
              <w:tc>
                <w:tcPr>
                  <w:tcW w:w="767" w:type="dxa"/>
                  <w:tcBorders>
                    <w:bottom w:val="single" w:sz="4" w:space="0" w:color="auto"/>
                    <w:right w:val="single" w:sz="4" w:space="0" w:color="auto"/>
                  </w:tcBorders>
                </w:tcPr>
                <w:p w14:paraId="4F5465E4" w14:textId="0A36B59D" w:rsidR="000A486F" w:rsidRPr="000A486F" w:rsidRDefault="000A486F" w:rsidP="000A486F">
                  <w:pPr>
                    <w:spacing w:after="60"/>
                    <w:jc w:val="right"/>
                    <w:rPr>
                      <w:rFonts w:cs="Arial"/>
                      <w:szCs w:val="20"/>
                      <w:lang w:eastAsia="en-AU"/>
                    </w:rPr>
                  </w:pPr>
                  <w:r w:rsidRPr="000A486F">
                    <w:rPr>
                      <w:rFonts w:cs="Arial"/>
                      <w:szCs w:val="20"/>
                    </w:rPr>
                    <w:t>28</w:t>
                  </w:r>
                </w:p>
              </w:tc>
            </w:tr>
            <w:tr w:rsidR="000A486F" w:rsidRPr="00550B7B" w14:paraId="15DFD70C" w14:textId="77777777" w:rsidTr="004C0B80">
              <w:trPr>
                <w:trHeight w:val="255"/>
              </w:trPr>
              <w:tc>
                <w:tcPr>
                  <w:tcW w:w="2032" w:type="dxa"/>
                  <w:tcBorders>
                    <w:left w:val="single" w:sz="4" w:space="0" w:color="auto"/>
                    <w:bottom w:val="single" w:sz="4" w:space="0" w:color="auto"/>
                    <w:right w:val="single" w:sz="4" w:space="0" w:color="auto"/>
                  </w:tcBorders>
                  <w:noWrap/>
                  <w:vAlign w:val="bottom"/>
                </w:tcPr>
                <w:p w14:paraId="695C4AA5" w14:textId="77777777" w:rsidR="000A486F" w:rsidRPr="00FB39EA" w:rsidRDefault="000A486F" w:rsidP="000A486F">
                  <w:pPr>
                    <w:spacing w:after="60"/>
                    <w:rPr>
                      <w:rFonts w:cs="Arial"/>
                      <w:szCs w:val="20"/>
                      <w:lang w:eastAsia="en-AU"/>
                    </w:rPr>
                  </w:pPr>
                  <w:r w:rsidRPr="00FB39EA">
                    <w:rPr>
                      <w:rFonts w:cs="Arial"/>
                      <w:szCs w:val="20"/>
                      <w:lang w:eastAsia="en-AU"/>
                    </w:rPr>
                    <w:t>Doomadgee</w:t>
                  </w:r>
                </w:p>
              </w:tc>
              <w:tc>
                <w:tcPr>
                  <w:tcW w:w="766" w:type="dxa"/>
                  <w:tcBorders>
                    <w:bottom w:val="single" w:sz="4" w:space="0" w:color="auto"/>
                    <w:right w:val="single" w:sz="4" w:space="0" w:color="auto"/>
                  </w:tcBorders>
                </w:tcPr>
                <w:p w14:paraId="14A87E53" w14:textId="6FE2095F" w:rsidR="000A486F" w:rsidRPr="000A486F" w:rsidRDefault="000A486F" w:rsidP="000A486F">
                  <w:pPr>
                    <w:spacing w:after="60"/>
                    <w:jc w:val="right"/>
                    <w:rPr>
                      <w:rFonts w:cs="Arial"/>
                      <w:szCs w:val="20"/>
                      <w:lang w:eastAsia="en-AU"/>
                    </w:rPr>
                  </w:pPr>
                  <w:r w:rsidRPr="000A486F">
                    <w:rPr>
                      <w:rFonts w:cs="Arial"/>
                      <w:szCs w:val="20"/>
                    </w:rPr>
                    <w:t>245</w:t>
                  </w:r>
                </w:p>
              </w:tc>
              <w:tc>
                <w:tcPr>
                  <w:tcW w:w="767" w:type="dxa"/>
                  <w:tcBorders>
                    <w:bottom w:val="single" w:sz="4" w:space="0" w:color="auto"/>
                    <w:right w:val="single" w:sz="4" w:space="0" w:color="auto"/>
                  </w:tcBorders>
                </w:tcPr>
                <w:p w14:paraId="1F02FC96" w14:textId="4D8E6A56" w:rsidR="000A486F" w:rsidRPr="000A486F" w:rsidRDefault="000A486F" w:rsidP="000A486F">
                  <w:pPr>
                    <w:spacing w:after="60"/>
                    <w:jc w:val="right"/>
                    <w:rPr>
                      <w:rFonts w:cs="Arial"/>
                      <w:szCs w:val="20"/>
                      <w:lang w:eastAsia="en-AU"/>
                    </w:rPr>
                  </w:pPr>
                  <w:r w:rsidRPr="000A486F">
                    <w:rPr>
                      <w:rFonts w:cs="Arial"/>
                      <w:szCs w:val="20"/>
                    </w:rPr>
                    <w:t>263</w:t>
                  </w:r>
                </w:p>
              </w:tc>
              <w:tc>
                <w:tcPr>
                  <w:tcW w:w="766" w:type="dxa"/>
                  <w:tcBorders>
                    <w:bottom w:val="single" w:sz="4" w:space="0" w:color="auto"/>
                    <w:right w:val="single" w:sz="4" w:space="0" w:color="auto"/>
                  </w:tcBorders>
                </w:tcPr>
                <w:p w14:paraId="50A0D671" w14:textId="6B924393" w:rsidR="000A486F" w:rsidRPr="000A486F" w:rsidRDefault="000A486F" w:rsidP="000A486F">
                  <w:pPr>
                    <w:spacing w:after="60"/>
                    <w:jc w:val="right"/>
                    <w:rPr>
                      <w:rFonts w:cs="Arial"/>
                      <w:szCs w:val="20"/>
                      <w:lang w:eastAsia="en-AU"/>
                    </w:rPr>
                  </w:pPr>
                  <w:r w:rsidRPr="000A486F">
                    <w:rPr>
                      <w:rFonts w:cs="Arial"/>
                      <w:szCs w:val="20"/>
                    </w:rPr>
                    <w:t>240</w:t>
                  </w:r>
                </w:p>
              </w:tc>
              <w:tc>
                <w:tcPr>
                  <w:tcW w:w="767" w:type="dxa"/>
                  <w:tcBorders>
                    <w:bottom w:val="single" w:sz="4" w:space="0" w:color="auto"/>
                    <w:right w:val="single" w:sz="4" w:space="0" w:color="auto"/>
                  </w:tcBorders>
                </w:tcPr>
                <w:p w14:paraId="454F7F9F" w14:textId="6537528A" w:rsidR="000A486F" w:rsidRPr="000A486F" w:rsidRDefault="000A486F" w:rsidP="000A486F">
                  <w:pPr>
                    <w:spacing w:after="60"/>
                    <w:jc w:val="right"/>
                    <w:rPr>
                      <w:rFonts w:cs="Arial"/>
                      <w:szCs w:val="20"/>
                      <w:lang w:eastAsia="en-AU"/>
                    </w:rPr>
                  </w:pPr>
                  <w:r w:rsidRPr="000A486F">
                    <w:rPr>
                      <w:rFonts w:cs="Arial"/>
                      <w:szCs w:val="20"/>
                    </w:rPr>
                    <w:t>303</w:t>
                  </w:r>
                </w:p>
              </w:tc>
            </w:tr>
            <w:tr w:rsidR="000A486F" w:rsidRPr="00550B7B" w14:paraId="75B2E859" w14:textId="77777777" w:rsidTr="004C0B80">
              <w:trPr>
                <w:trHeight w:val="255"/>
              </w:trPr>
              <w:tc>
                <w:tcPr>
                  <w:tcW w:w="2032" w:type="dxa"/>
                  <w:tcBorders>
                    <w:left w:val="single" w:sz="4" w:space="0" w:color="auto"/>
                    <w:bottom w:val="single" w:sz="4" w:space="0" w:color="auto"/>
                    <w:right w:val="single" w:sz="4" w:space="0" w:color="auto"/>
                  </w:tcBorders>
                  <w:noWrap/>
                  <w:vAlign w:val="bottom"/>
                  <w:hideMark/>
                </w:tcPr>
                <w:p w14:paraId="4749AA7F" w14:textId="77777777" w:rsidR="000A486F" w:rsidRPr="00FB39EA" w:rsidRDefault="000A486F" w:rsidP="000A486F">
                  <w:pPr>
                    <w:spacing w:after="60"/>
                    <w:rPr>
                      <w:rFonts w:cs="Arial"/>
                      <w:szCs w:val="20"/>
                      <w:lang w:eastAsia="en-AU"/>
                    </w:rPr>
                  </w:pPr>
                  <w:r w:rsidRPr="00FB39EA">
                    <w:rPr>
                      <w:rFonts w:cs="Arial"/>
                      <w:szCs w:val="20"/>
                      <w:lang w:eastAsia="en-AU"/>
                    </w:rPr>
                    <w:t>Hope Vale</w:t>
                  </w:r>
                </w:p>
              </w:tc>
              <w:tc>
                <w:tcPr>
                  <w:tcW w:w="766" w:type="dxa"/>
                  <w:tcBorders>
                    <w:bottom w:val="single" w:sz="4" w:space="0" w:color="auto"/>
                    <w:right w:val="single" w:sz="4" w:space="0" w:color="auto"/>
                  </w:tcBorders>
                </w:tcPr>
                <w:p w14:paraId="701E9A62" w14:textId="166666F4" w:rsidR="000A486F" w:rsidRPr="000A486F" w:rsidRDefault="000A486F" w:rsidP="000A486F">
                  <w:pPr>
                    <w:spacing w:after="60"/>
                    <w:jc w:val="right"/>
                    <w:rPr>
                      <w:rFonts w:cs="Arial"/>
                      <w:szCs w:val="20"/>
                      <w:lang w:eastAsia="en-AU"/>
                    </w:rPr>
                  </w:pPr>
                  <w:r w:rsidRPr="000A486F">
                    <w:rPr>
                      <w:rFonts w:cs="Arial"/>
                      <w:szCs w:val="20"/>
                    </w:rPr>
                    <w:t>97</w:t>
                  </w:r>
                </w:p>
              </w:tc>
              <w:tc>
                <w:tcPr>
                  <w:tcW w:w="767" w:type="dxa"/>
                  <w:tcBorders>
                    <w:bottom w:val="single" w:sz="4" w:space="0" w:color="auto"/>
                    <w:right w:val="single" w:sz="4" w:space="0" w:color="auto"/>
                  </w:tcBorders>
                </w:tcPr>
                <w:p w14:paraId="6115900B" w14:textId="71886AEA" w:rsidR="000A486F" w:rsidRPr="000A486F" w:rsidRDefault="000A486F" w:rsidP="000A486F">
                  <w:pPr>
                    <w:spacing w:after="60"/>
                    <w:jc w:val="right"/>
                    <w:rPr>
                      <w:rFonts w:cs="Arial"/>
                      <w:szCs w:val="20"/>
                      <w:lang w:eastAsia="en-AU"/>
                    </w:rPr>
                  </w:pPr>
                  <w:r w:rsidRPr="000A486F">
                    <w:rPr>
                      <w:rFonts w:cs="Arial"/>
                      <w:szCs w:val="20"/>
                    </w:rPr>
                    <w:t>66</w:t>
                  </w:r>
                </w:p>
              </w:tc>
              <w:tc>
                <w:tcPr>
                  <w:tcW w:w="766" w:type="dxa"/>
                  <w:tcBorders>
                    <w:bottom w:val="single" w:sz="4" w:space="0" w:color="auto"/>
                    <w:right w:val="single" w:sz="4" w:space="0" w:color="auto"/>
                  </w:tcBorders>
                </w:tcPr>
                <w:p w14:paraId="1343EC50" w14:textId="197A8FC4" w:rsidR="000A486F" w:rsidRPr="000A486F" w:rsidRDefault="000A486F" w:rsidP="000A486F">
                  <w:pPr>
                    <w:spacing w:after="60"/>
                    <w:jc w:val="right"/>
                    <w:rPr>
                      <w:rFonts w:cs="Arial"/>
                      <w:szCs w:val="20"/>
                      <w:lang w:eastAsia="en-AU"/>
                    </w:rPr>
                  </w:pPr>
                  <w:r w:rsidRPr="000A486F">
                    <w:rPr>
                      <w:rFonts w:cs="Arial"/>
                      <w:szCs w:val="20"/>
                    </w:rPr>
                    <w:t>63</w:t>
                  </w:r>
                </w:p>
              </w:tc>
              <w:tc>
                <w:tcPr>
                  <w:tcW w:w="767" w:type="dxa"/>
                  <w:tcBorders>
                    <w:bottom w:val="single" w:sz="4" w:space="0" w:color="auto"/>
                    <w:right w:val="single" w:sz="4" w:space="0" w:color="auto"/>
                  </w:tcBorders>
                </w:tcPr>
                <w:p w14:paraId="2FCD6546" w14:textId="0DEA1651" w:rsidR="000A486F" w:rsidRPr="000A486F" w:rsidRDefault="000A486F" w:rsidP="000A486F">
                  <w:pPr>
                    <w:spacing w:after="60"/>
                    <w:jc w:val="right"/>
                    <w:rPr>
                      <w:rFonts w:cs="Arial"/>
                      <w:szCs w:val="20"/>
                      <w:lang w:eastAsia="en-AU"/>
                    </w:rPr>
                  </w:pPr>
                  <w:r w:rsidRPr="000A486F">
                    <w:rPr>
                      <w:rFonts w:cs="Arial"/>
                      <w:szCs w:val="20"/>
                    </w:rPr>
                    <w:t>111</w:t>
                  </w:r>
                </w:p>
              </w:tc>
            </w:tr>
            <w:tr w:rsidR="000A486F" w:rsidRPr="00550B7B" w14:paraId="09EADF48" w14:textId="77777777" w:rsidTr="004C0B80">
              <w:trPr>
                <w:trHeight w:val="255"/>
              </w:trPr>
              <w:tc>
                <w:tcPr>
                  <w:tcW w:w="2032" w:type="dxa"/>
                  <w:tcBorders>
                    <w:left w:val="single" w:sz="4" w:space="0" w:color="auto"/>
                    <w:bottom w:val="single" w:sz="4" w:space="0" w:color="auto"/>
                    <w:right w:val="single" w:sz="4" w:space="0" w:color="auto"/>
                  </w:tcBorders>
                  <w:noWrap/>
                  <w:vAlign w:val="bottom"/>
                  <w:hideMark/>
                </w:tcPr>
                <w:p w14:paraId="6B8887D4" w14:textId="77777777" w:rsidR="000A486F" w:rsidRPr="00FB39EA" w:rsidRDefault="000A486F" w:rsidP="000A486F">
                  <w:pPr>
                    <w:spacing w:after="60"/>
                    <w:rPr>
                      <w:rFonts w:cs="Arial"/>
                      <w:szCs w:val="20"/>
                      <w:lang w:eastAsia="en-AU"/>
                    </w:rPr>
                  </w:pPr>
                  <w:r w:rsidRPr="00FB39EA">
                    <w:rPr>
                      <w:rFonts w:cs="Arial"/>
                      <w:szCs w:val="20"/>
                      <w:lang w:eastAsia="en-AU"/>
                    </w:rPr>
                    <w:t>Mossman Gorge</w:t>
                  </w:r>
                </w:p>
              </w:tc>
              <w:tc>
                <w:tcPr>
                  <w:tcW w:w="766" w:type="dxa"/>
                  <w:tcBorders>
                    <w:bottom w:val="single" w:sz="4" w:space="0" w:color="auto"/>
                    <w:right w:val="single" w:sz="4" w:space="0" w:color="auto"/>
                  </w:tcBorders>
                </w:tcPr>
                <w:p w14:paraId="6FCFC6A0" w14:textId="6866D92C" w:rsidR="000A486F" w:rsidRPr="000A486F" w:rsidRDefault="000A486F" w:rsidP="000A486F">
                  <w:pPr>
                    <w:spacing w:after="60"/>
                    <w:jc w:val="right"/>
                    <w:rPr>
                      <w:rFonts w:cs="Arial"/>
                      <w:szCs w:val="20"/>
                      <w:lang w:eastAsia="en-AU"/>
                    </w:rPr>
                  </w:pPr>
                  <w:r w:rsidRPr="000A486F">
                    <w:rPr>
                      <w:rFonts w:cs="Arial"/>
                      <w:szCs w:val="20"/>
                    </w:rPr>
                    <w:t>32</w:t>
                  </w:r>
                </w:p>
              </w:tc>
              <w:tc>
                <w:tcPr>
                  <w:tcW w:w="767" w:type="dxa"/>
                  <w:tcBorders>
                    <w:bottom w:val="single" w:sz="4" w:space="0" w:color="auto"/>
                    <w:right w:val="single" w:sz="4" w:space="0" w:color="auto"/>
                  </w:tcBorders>
                </w:tcPr>
                <w:p w14:paraId="1103D6A6" w14:textId="4CA64C38" w:rsidR="000A486F" w:rsidRPr="000A486F" w:rsidRDefault="000A486F" w:rsidP="000A486F">
                  <w:pPr>
                    <w:spacing w:after="60"/>
                    <w:jc w:val="right"/>
                    <w:rPr>
                      <w:rFonts w:cs="Arial"/>
                      <w:szCs w:val="20"/>
                      <w:lang w:eastAsia="en-AU"/>
                    </w:rPr>
                  </w:pPr>
                  <w:r w:rsidRPr="000A486F">
                    <w:rPr>
                      <w:rFonts w:cs="Arial"/>
                      <w:szCs w:val="20"/>
                    </w:rPr>
                    <w:t>21</w:t>
                  </w:r>
                </w:p>
              </w:tc>
              <w:tc>
                <w:tcPr>
                  <w:tcW w:w="766" w:type="dxa"/>
                  <w:tcBorders>
                    <w:bottom w:val="single" w:sz="4" w:space="0" w:color="auto"/>
                    <w:right w:val="single" w:sz="4" w:space="0" w:color="auto"/>
                  </w:tcBorders>
                </w:tcPr>
                <w:p w14:paraId="5B4E4EC8" w14:textId="22C6D504" w:rsidR="000A486F" w:rsidRPr="000A486F" w:rsidRDefault="000A486F" w:rsidP="000A486F">
                  <w:pPr>
                    <w:spacing w:after="60"/>
                    <w:jc w:val="right"/>
                    <w:rPr>
                      <w:rFonts w:cs="Arial"/>
                      <w:szCs w:val="20"/>
                      <w:lang w:eastAsia="en-AU"/>
                    </w:rPr>
                  </w:pPr>
                  <w:r w:rsidRPr="000A486F">
                    <w:rPr>
                      <w:rFonts w:cs="Arial"/>
                      <w:szCs w:val="20"/>
                    </w:rPr>
                    <w:t>29</w:t>
                  </w:r>
                </w:p>
              </w:tc>
              <w:tc>
                <w:tcPr>
                  <w:tcW w:w="767" w:type="dxa"/>
                  <w:tcBorders>
                    <w:bottom w:val="single" w:sz="4" w:space="0" w:color="auto"/>
                    <w:right w:val="single" w:sz="4" w:space="0" w:color="auto"/>
                  </w:tcBorders>
                </w:tcPr>
                <w:p w14:paraId="66313C80" w14:textId="40E6B7AB" w:rsidR="000A486F" w:rsidRPr="000A486F" w:rsidRDefault="000A486F" w:rsidP="000A486F">
                  <w:pPr>
                    <w:spacing w:after="60"/>
                    <w:jc w:val="right"/>
                    <w:rPr>
                      <w:rFonts w:cs="Arial"/>
                      <w:szCs w:val="20"/>
                      <w:lang w:eastAsia="en-AU"/>
                    </w:rPr>
                  </w:pPr>
                  <w:r w:rsidRPr="000A486F">
                    <w:rPr>
                      <w:rFonts w:cs="Arial"/>
                      <w:szCs w:val="20"/>
                    </w:rPr>
                    <w:t>43</w:t>
                  </w:r>
                </w:p>
              </w:tc>
            </w:tr>
            <w:tr w:rsidR="000A486F" w:rsidRPr="00550B7B" w14:paraId="4AC38397" w14:textId="77777777" w:rsidTr="004C0B80">
              <w:trPr>
                <w:trHeight w:val="255"/>
              </w:trPr>
              <w:tc>
                <w:tcPr>
                  <w:tcW w:w="2032" w:type="dxa"/>
                  <w:tcBorders>
                    <w:left w:val="single" w:sz="4" w:space="0" w:color="auto"/>
                    <w:bottom w:val="single" w:sz="4" w:space="0" w:color="auto"/>
                    <w:right w:val="single" w:sz="4" w:space="0" w:color="auto"/>
                  </w:tcBorders>
                  <w:noWrap/>
                  <w:vAlign w:val="bottom"/>
                  <w:hideMark/>
                </w:tcPr>
                <w:p w14:paraId="12848C66" w14:textId="77777777" w:rsidR="000A486F" w:rsidRPr="00FB39EA" w:rsidRDefault="000A486F" w:rsidP="000A486F">
                  <w:pPr>
                    <w:spacing w:after="60"/>
                    <w:rPr>
                      <w:rFonts w:cs="Arial"/>
                      <w:b/>
                      <w:bCs/>
                      <w:szCs w:val="20"/>
                      <w:lang w:eastAsia="en-AU"/>
                    </w:rPr>
                  </w:pPr>
                  <w:r w:rsidRPr="00FB39EA">
                    <w:rPr>
                      <w:rFonts w:cs="Arial"/>
                      <w:b/>
                      <w:bCs/>
                      <w:szCs w:val="20"/>
                      <w:lang w:eastAsia="en-AU"/>
                    </w:rPr>
                    <w:t>TOTAL</w:t>
                  </w:r>
                </w:p>
              </w:tc>
              <w:tc>
                <w:tcPr>
                  <w:tcW w:w="766" w:type="dxa"/>
                  <w:tcBorders>
                    <w:bottom w:val="single" w:sz="4" w:space="0" w:color="auto"/>
                    <w:right w:val="single" w:sz="4" w:space="0" w:color="auto"/>
                  </w:tcBorders>
                  <w:noWrap/>
                </w:tcPr>
                <w:p w14:paraId="020AE439" w14:textId="6E210451" w:rsidR="000A486F" w:rsidRPr="000A486F" w:rsidRDefault="000A486F" w:rsidP="000A486F">
                  <w:pPr>
                    <w:spacing w:after="60"/>
                    <w:jc w:val="right"/>
                    <w:rPr>
                      <w:rFonts w:cs="Arial"/>
                      <w:b/>
                      <w:bCs/>
                      <w:szCs w:val="20"/>
                      <w:lang w:eastAsia="en-AU"/>
                    </w:rPr>
                  </w:pPr>
                  <w:r w:rsidRPr="000A486F">
                    <w:rPr>
                      <w:rFonts w:cs="Arial"/>
                      <w:b/>
                      <w:bCs/>
                      <w:szCs w:val="20"/>
                    </w:rPr>
                    <w:t>698</w:t>
                  </w:r>
                </w:p>
              </w:tc>
              <w:tc>
                <w:tcPr>
                  <w:tcW w:w="767" w:type="dxa"/>
                  <w:tcBorders>
                    <w:bottom w:val="single" w:sz="4" w:space="0" w:color="auto"/>
                    <w:right w:val="single" w:sz="4" w:space="0" w:color="auto"/>
                  </w:tcBorders>
                  <w:noWrap/>
                </w:tcPr>
                <w:p w14:paraId="76E216E6" w14:textId="03AF9888" w:rsidR="000A486F" w:rsidRPr="000A486F" w:rsidRDefault="000A486F" w:rsidP="000A486F">
                  <w:pPr>
                    <w:spacing w:after="60"/>
                    <w:jc w:val="right"/>
                    <w:rPr>
                      <w:rFonts w:cs="Arial"/>
                      <w:b/>
                      <w:bCs/>
                      <w:szCs w:val="20"/>
                      <w:lang w:eastAsia="en-AU"/>
                    </w:rPr>
                  </w:pPr>
                  <w:r w:rsidRPr="000A486F">
                    <w:rPr>
                      <w:rFonts w:cs="Arial"/>
                      <w:b/>
                      <w:bCs/>
                      <w:szCs w:val="20"/>
                    </w:rPr>
                    <w:t>631</w:t>
                  </w:r>
                </w:p>
              </w:tc>
              <w:tc>
                <w:tcPr>
                  <w:tcW w:w="766" w:type="dxa"/>
                  <w:tcBorders>
                    <w:bottom w:val="single" w:sz="4" w:space="0" w:color="auto"/>
                    <w:right w:val="single" w:sz="4" w:space="0" w:color="auto"/>
                  </w:tcBorders>
                  <w:noWrap/>
                </w:tcPr>
                <w:p w14:paraId="5A957E99" w14:textId="027B4BB0" w:rsidR="000A486F" w:rsidRPr="000A486F" w:rsidRDefault="000A486F" w:rsidP="000A486F">
                  <w:pPr>
                    <w:spacing w:after="60"/>
                    <w:jc w:val="right"/>
                    <w:rPr>
                      <w:rFonts w:cs="Arial"/>
                      <w:b/>
                      <w:bCs/>
                      <w:szCs w:val="20"/>
                      <w:lang w:eastAsia="en-AU"/>
                    </w:rPr>
                  </w:pPr>
                  <w:r w:rsidRPr="000A486F">
                    <w:rPr>
                      <w:rFonts w:cs="Arial"/>
                      <w:b/>
                      <w:bCs/>
                      <w:szCs w:val="20"/>
                    </w:rPr>
                    <w:t>616</w:t>
                  </w:r>
                </w:p>
              </w:tc>
              <w:tc>
                <w:tcPr>
                  <w:tcW w:w="767" w:type="dxa"/>
                  <w:tcBorders>
                    <w:bottom w:val="single" w:sz="4" w:space="0" w:color="auto"/>
                    <w:right w:val="single" w:sz="4" w:space="0" w:color="auto"/>
                  </w:tcBorders>
                  <w:noWrap/>
                </w:tcPr>
                <w:p w14:paraId="3426ACE4" w14:textId="4F134DD8" w:rsidR="000A486F" w:rsidRPr="000A486F" w:rsidRDefault="000A486F" w:rsidP="000A486F">
                  <w:pPr>
                    <w:spacing w:after="60"/>
                    <w:jc w:val="right"/>
                    <w:rPr>
                      <w:rFonts w:cs="Arial"/>
                      <w:b/>
                      <w:bCs/>
                      <w:szCs w:val="20"/>
                      <w:lang w:eastAsia="en-AU"/>
                    </w:rPr>
                  </w:pPr>
                  <w:r w:rsidRPr="000A486F">
                    <w:rPr>
                      <w:rFonts w:cs="Arial"/>
                      <w:b/>
                      <w:bCs/>
                      <w:szCs w:val="20"/>
                    </w:rPr>
                    <w:t>737</w:t>
                  </w:r>
                </w:p>
              </w:tc>
            </w:tr>
          </w:tbl>
          <w:p w14:paraId="499C0CC0" w14:textId="77777777" w:rsidR="004C0B80" w:rsidRPr="005D104F" w:rsidRDefault="004C0B80" w:rsidP="004C0B80"/>
          <w:p w14:paraId="1B095061" w14:textId="77777777" w:rsidR="00B14E5E" w:rsidRPr="00BC3193" w:rsidRDefault="00B14E5E" w:rsidP="00BC3193">
            <w:pPr>
              <w:pStyle w:val="Heading4"/>
            </w:pPr>
            <w:r w:rsidRPr="00BC3193">
              <w:t>Conferences for domestic violence related matters</w:t>
            </w:r>
          </w:p>
          <w:p w14:paraId="4F5D5E2D" w14:textId="77777777" w:rsidR="00B14E5E" w:rsidRPr="005D104F" w:rsidRDefault="00B14E5E" w:rsidP="00A90858">
            <w:r w:rsidRPr="005D104F">
              <w:t xml:space="preserve">As a subset of the total number of conferences conducted for the financial year a total of </w:t>
            </w:r>
            <w:r w:rsidRPr="007449E1">
              <w:t>295</w:t>
            </w:r>
            <w:r w:rsidRPr="005D104F">
              <w:t xml:space="preserve"> conferences were held in relation to domestic violence related matters.</w:t>
            </w:r>
          </w:p>
          <w:p w14:paraId="35794768" w14:textId="3060247F" w:rsidR="00A712F2" w:rsidRPr="000E4D75" w:rsidRDefault="00A712F2" w:rsidP="00A712F2">
            <w:pPr>
              <w:widowControl w:val="0"/>
              <w:autoSpaceDE w:val="0"/>
              <w:autoSpaceDN w:val="0"/>
              <w:adjustRightInd w:val="0"/>
              <w:ind w:left="720" w:hanging="720"/>
              <w:rPr>
                <w:rFonts w:ascii="Helvetica" w:hAnsi="Helvetica" w:cs="Helvetica"/>
                <w:b/>
                <w:bCs/>
                <w:sz w:val="17"/>
                <w:szCs w:val="17"/>
                <w:lang w:val="en-US"/>
              </w:rPr>
            </w:pPr>
            <w:r w:rsidRPr="00A72285">
              <w:rPr>
                <w:rFonts w:ascii="Helvetica" w:hAnsi="Helvetica" w:cs="Helvetica"/>
                <w:b/>
                <w:bCs/>
                <w:sz w:val="17"/>
                <w:szCs w:val="17"/>
                <w:lang w:val="en-US"/>
              </w:rPr>
              <w:t>Table 10: Domestic</w:t>
            </w:r>
            <w:r w:rsidRPr="005D104F">
              <w:rPr>
                <w:rFonts w:ascii="Helvetica" w:hAnsi="Helvetica" w:cs="Helvetica"/>
                <w:b/>
                <w:bCs/>
                <w:sz w:val="17"/>
                <w:szCs w:val="17"/>
                <w:lang w:val="en-US"/>
              </w:rPr>
              <w:t xml:space="preserve"> violence conferences by type and quarter</w:t>
            </w:r>
            <w:r>
              <w:rPr>
                <w:rFonts w:ascii="Helvetica" w:hAnsi="Helvetica" w:cs="Helvetica"/>
                <w:b/>
                <w:bCs/>
                <w:sz w:val="17"/>
                <w:szCs w:val="17"/>
                <w:lang w:val="en-US"/>
              </w:rPr>
              <w:br/>
              <w:t>1 July 201</w:t>
            </w:r>
            <w:r>
              <w:rPr>
                <w:rFonts w:ascii="Helvetica" w:hAnsi="Helvetica" w:cs="Helvetica"/>
                <w:b/>
                <w:bCs/>
                <w:sz w:val="17"/>
                <w:szCs w:val="17"/>
                <w:lang w:val="en-US"/>
              </w:rPr>
              <w:t>8</w:t>
            </w:r>
            <w:r>
              <w:rPr>
                <w:rFonts w:ascii="Helvetica" w:hAnsi="Helvetica" w:cs="Helvetica"/>
                <w:b/>
                <w:bCs/>
                <w:sz w:val="17"/>
                <w:szCs w:val="17"/>
                <w:lang w:val="en-US"/>
              </w:rPr>
              <w:t xml:space="preserve"> to 30 June 201</w:t>
            </w:r>
            <w:r>
              <w:rPr>
                <w:rFonts w:ascii="Helvetica" w:hAnsi="Helvetica" w:cs="Helvetica"/>
                <w:b/>
                <w:bCs/>
                <w:sz w:val="17"/>
                <w:szCs w:val="17"/>
                <w:lang w:val="en-US"/>
              </w:rPr>
              <w:t>9</w:t>
            </w:r>
            <w:r>
              <w:rPr>
                <w:rFonts w:ascii="Helvetica" w:hAnsi="Helvetica" w:cs="Helvetica"/>
                <w:b/>
                <w:bCs/>
                <w:sz w:val="17"/>
                <w:szCs w:val="17"/>
                <w:lang w:val="en-US"/>
              </w:rPr>
              <w:t>.</w:t>
            </w:r>
          </w:p>
          <w:tbl>
            <w:tblPr>
              <w:tblW w:w="5098" w:type="dxa"/>
              <w:tblLayout w:type="fixed"/>
              <w:tblLook w:val="04A0" w:firstRow="1" w:lastRow="0" w:firstColumn="1" w:lastColumn="0" w:noHBand="0" w:noVBand="1"/>
            </w:tblPr>
            <w:tblGrid>
              <w:gridCol w:w="2032"/>
              <w:gridCol w:w="766"/>
              <w:gridCol w:w="767"/>
              <w:gridCol w:w="766"/>
              <w:gridCol w:w="767"/>
            </w:tblGrid>
            <w:tr w:rsidR="00A712F2" w:rsidRPr="00550B7B" w14:paraId="59BF218C" w14:textId="77777777" w:rsidTr="00B25249">
              <w:trPr>
                <w:trHeight w:val="306"/>
              </w:trPr>
              <w:tc>
                <w:tcPr>
                  <w:tcW w:w="2032" w:type="dxa"/>
                  <w:tcBorders>
                    <w:top w:val="single" w:sz="4" w:space="0" w:color="auto"/>
                    <w:left w:val="single" w:sz="4" w:space="0" w:color="auto"/>
                    <w:bottom w:val="single" w:sz="4" w:space="0" w:color="auto"/>
                    <w:right w:val="single" w:sz="4" w:space="0" w:color="auto"/>
                  </w:tcBorders>
                  <w:noWrap/>
                  <w:vAlign w:val="center"/>
                  <w:hideMark/>
                </w:tcPr>
                <w:p w14:paraId="08B52E56" w14:textId="77777777" w:rsidR="00A712F2" w:rsidRPr="00FB39EA" w:rsidRDefault="00A712F2" w:rsidP="00A712F2">
                  <w:pPr>
                    <w:spacing w:after="0"/>
                    <w:rPr>
                      <w:rFonts w:cs="Arial"/>
                      <w:b/>
                      <w:bCs/>
                      <w:szCs w:val="20"/>
                      <w:lang w:eastAsia="en-AU"/>
                    </w:rPr>
                  </w:pPr>
                  <w:r w:rsidRPr="00FB39EA">
                    <w:rPr>
                      <w:rFonts w:cs="Arial"/>
                      <w:b/>
                      <w:bCs/>
                      <w:szCs w:val="20"/>
                      <w:lang w:eastAsia="en-AU"/>
                    </w:rPr>
                    <w:t>Community</w:t>
                  </w:r>
                </w:p>
              </w:tc>
              <w:tc>
                <w:tcPr>
                  <w:tcW w:w="766" w:type="dxa"/>
                  <w:tcBorders>
                    <w:top w:val="single" w:sz="4" w:space="0" w:color="auto"/>
                    <w:bottom w:val="single" w:sz="4" w:space="0" w:color="auto"/>
                    <w:right w:val="single" w:sz="4" w:space="0" w:color="auto"/>
                  </w:tcBorders>
                  <w:vAlign w:val="center"/>
                  <w:hideMark/>
                </w:tcPr>
                <w:p w14:paraId="29BF4CA5" w14:textId="1ACF5C4E" w:rsidR="00A712F2" w:rsidRPr="00FB39EA" w:rsidRDefault="00A712F2" w:rsidP="00A712F2">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Pr>
                      <w:rFonts w:cs="Arial"/>
                      <w:b/>
                      <w:bCs/>
                      <w:szCs w:val="20"/>
                      <w:lang w:eastAsia="en-AU"/>
                    </w:rPr>
                    <w:t>41</w:t>
                  </w:r>
                </w:p>
              </w:tc>
              <w:tc>
                <w:tcPr>
                  <w:tcW w:w="767" w:type="dxa"/>
                  <w:tcBorders>
                    <w:top w:val="single" w:sz="4" w:space="0" w:color="auto"/>
                    <w:bottom w:val="single" w:sz="4" w:space="0" w:color="auto"/>
                    <w:right w:val="single" w:sz="4" w:space="0" w:color="auto"/>
                  </w:tcBorders>
                  <w:vAlign w:val="center"/>
                  <w:hideMark/>
                </w:tcPr>
                <w:p w14:paraId="2AEC20A6" w14:textId="22E0E4FA" w:rsidR="00A712F2" w:rsidRPr="00FB39EA" w:rsidRDefault="00A712F2" w:rsidP="00A712F2">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Pr>
                      <w:rFonts w:cs="Arial"/>
                      <w:b/>
                      <w:bCs/>
                      <w:szCs w:val="20"/>
                      <w:lang w:eastAsia="en-AU"/>
                    </w:rPr>
                    <w:t>42</w:t>
                  </w:r>
                </w:p>
              </w:tc>
              <w:tc>
                <w:tcPr>
                  <w:tcW w:w="766" w:type="dxa"/>
                  <w:tcBorders>
                    <w:top w:val="single" w:sz="4" w:space="0" w:color="auto"/>
                    <w:bottom w:val="single" w:sz="4" w:space="0" w:color="auto"/>
                    <w:right w:val="single" w:sz="4" w:space="0" w:color="auto"/>
                  </w:tcBorders>
                  <w:vAlign w:val="center"/>
                  <w:hideMark/>
                </w:tcPr>
                <w:p w14:paraId="3FAD3774" w14:textId="0BE3A191" w:rsidR="00A712F2" w:rsidRPr="00FB39EA" w:rsidRDefault="00A712F2" w:rsidP="00A712F2">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Pr>
                      <w:rFonts w:cs="Arial"/>
                      <w:b/>
                      <w:bCs/>
                      <w:szCs w:val="20"/>
                      <w:lang w:eastAsia="en-AU"/>
                    </w:rPr>
                    <w:t>43</w:t>
                  </w:r>
                </w:p>
              </w:tc>
              <w:tc>
                <w:tcPr>
                  <w:tcW w:w="767" w:type="dxa"/>
                  <w:tcBorders>
                    <w:top w:val="single" w:sz="4" w:space="0" w:color="auto"/>
                    <w:bottom w:val="single" w:sz="4" w:space="0" w:color="auto"/>
                    <w:right w:val="single" w:sz="4" w:space="0" w:color="auto"/>
                  </w:tcBorders>
                  <w:vAlign w:val="center"/>
                  <w:hideMark/>
                </w:tcPr>
                <w:p w14:paraId="73352AFD" w14:textId="23F6B158" w:rsidR="00A712F2" w:rsidRPr="00FB39EA" w:rsidRDefault="00A712F2" w:rsidP="00A712F2">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Pr>
                      <w:rFonts w:cs="Arial"/>
                      <w:b/>
                      <w:bCs/>
                      <w:szCs w:val="20"/>
                      <w:lang w:eastAsia="en-AU"/>
                    </w:rPr>
                    <w:t>44</w:t>
                  </w:r>
                </w:p>
              </w:tc>
            </w:tr>
            <w:tr w:rsidR="000A486F" w:rsidRPr="00550B7B" w14:paraId="10C59731" w14:textId="77777777" w:rsidTr="009B73EB">
              <w:trPr>
                <w:trHeight w:val="255"/>
              </w:trPr>
              <w:tc>
                <w:tcPr>
                  <w:tcW w:w="2032" w:type="dxa"/>
                  <w:tcBorders>
                    <w:left w:val="single" w:sz="4" w:space="0" w:color="auto"/>
                    <w:bottom w:val="single" w:sz="4" w:space="0" w:color="auto"/>
                    <w:right w:val="single" w:sz="4" w:space="0" w:color="auto"/>
                  </w:tcBorders>
                  <w:noWrap/>
                  <w:vAlign w:val="bottom"/>
                  <w:hideMark/>
                </w:tcPr>
                <w:p w14:paraId="1476D898" w14:textId="77777777" w:rsidR="000A486F" w:rsidRPr="00FB39EA" w:rsidRDefault="000A486F" w:rsidP="000A486F">
                  <w:pPr>
                    <w:spacing w:after="60"/>
                    <w:rPr>
                      <w:rFonts w:cs="Arial"/>
                      <w:szCs w:val="20"/>
                      <w:lang w:eastAsia="en-AU"/>
                    </w:rPr>
                  </w:pPr>
                  <w:r>
                    <w:rPr>
                      <w:rFonts w:cs="Arial"/>
                      <w:szCs w:val="20"/>
                      <w:lang w:eastAsia="en-AU"/>
                    </w:rPr>
                    <w:t>Relating to both a DVB and a DVO notice</w:t>
                  </w:r>
                </w:p>
              </w:tc>
              <w:tc>
                <w:tcPr>
                  <w:tcW w:w="766" w:type="dxa"/>
                  <w:tcBorders>
                    <w:bottom w:val="single" w:sz="4" w:space="0" w:color="auto"/>
                    <w:right w:val="single" w:sz="4" w:space="0" w:color="auto"/>
                  </w:tcBorders>
                  <w:vAlign w:val="bottom"/>
                </w:tcPr>
                <w:p w14:paraId="2E6005CD" w14:textId="4CE99CDD" w:rsidR="000A486F" w:rsidRPr="000A486F" w:rsidRDefault="000A486F" w:rsidP="000A486F">
                  <w:pPr>
                    <w:spacing w:after="60"/>
                    <w:jc w:val="right"/>
                    <w:rPr>
                      <w:rFonts w:cs="Arial"/>
                      <w:szCs w:val="20"/>
                      <w:lang w:eastAsia="en-AU"/>
                    </w:rPr>
                  </w:pPr>
                  <w:r w:rsidRPr="000A486F">
                    <w:rPr>
                      <w:rFonts w:cs="Arial"/>
                      <w:szCs w:val="20"/>
                    </w:rPr>
                    <w:t>10</w:t>
                  </w:r>
                </w:p>
              </w:tc>
              <w:tc>
                <w:tcPr>
                  <w:tcW w:w="767" w:type="dxa"/>
                  <w:tcBorders>
                    <w:bottom w:val="single" w:sz="4" w:space="0" w:color="auto"/>
                    <w:right w:val="single" w:sz="4" w:space="0" w:color="auto"/>
                  </w:tcBorders>
                  <w:vAlign w:val="bottom"/>
                </w:tcPr>
                <w:p w14:paraId="34CB675C" w14:textId="3933B61C" w:rsidR="000A486F" w:rsidRPr="000A486F" w:rsidRDefault="000A486F" w:rsidP="000A486F">
                  <w:pPr>
                    <w:spacing w:after="60"/>
                    <w:jc w:val="right"/>
                    <w:rPr>
                      <w:rFonts w:cs="Arial"/>
                      <w:szCs w:val="20"/>
                      <w:lang w:eastAsia="en-AU"/>
                    </w:rPr>
                  </w:pPr>
                  <w:r w:rsidRPr="000A486F">
                    <w:rPr>
                      <w:rFonts w:cs="Arial"/>
                      <w:szCs w:val="20"/>
                    </w:rPr>
                    <w:t>0</w:t>
                  </w:r>
                </w:p>
              </w:tc>
              <w:tc>
                <w:tcPr>
                  <w:tcW w:w="766" w:type="dxa"/>
                  <w:tcBorders>
                    <w:bottom w:val="single" w:sz="4" w:space="0" w:color="auto"/>
                    <w:right w:val="single" w:sz="4" w:space="0" w:color="auto"/>
                  </w:tcBorders>
                  <w:vAlign w:val="bottom"/>
                </w:tcPr>
                <w:p w14:paraId="7A48FEBF" w14:textId="0FDE1243" w:rsidR="000A486F" w:rsidRPr="000A486F" w:rsidRDefault="000A486F" w:rsidP="000A486F">
                  <w:pPr>
                    <w:spacing w:after="60"/>
                    <w:jc w:val="right"/>
                    <w:rPr>
                      <w:rFonts w:cs="Arial"/>
                      <w:szCs w:val="20"/>
                      <w:lang w:eastAsia="en-AU"/>
                    </w:rPr>
                  </w:pPr>
                  <w:r w:rsidRPr="000A486F">
                    <w:rPr>
                      <w:rFonts w:cs="Arial"/>
                      <w:szCs w:val="20"/>
                    </w:rPr>
                    <w:t>4</w:t>
                  </w:r>
                </w:p>
              </w:tc>
              <w:tc>
                <w:tcPr>
                  <w:tcW w:w="767" w:type="dxa"/>
                  <w:tcBorders>
                    <w:bottom w:val="single" w:sz="4" w:space="0" w:color="auto"/>
                    <w:right w:val="single" w:sz="4" w:space="0" w:color="auto"/>
                  </w:tcBorders>
                  <w:vAlign w:val="bottom"/>
                </w:tcPr>
                <w:p w14:paraId="5D61ECC8" w14:textId="556F4FC2" w:rsidR="000A486F" w:rsidRPr="000A486F" w:rsidRDefault="000A486F" w:rsidP="000A486F">
                  <w:pPr>
                    <w:spacing w:after="60"/>
                    <w:jc w:val="right"/>
                    <w:rPr>
                      <w:rFonts w:cs="Arial"/>
                      <w:szCs w:val="20"/>
                      <w:lang w:eastAsia="en-AU"/>
                    </w:rPr>
                  </w:pPr>
                  <w:r w:rsidRPr="000A486F">
                    <w:rPr>
                      <w:rFonts w:cs="Arial"/>
                      <w:szCs w:val="20"/>
                    </w:rPr>
                    <w:t>4</w:t>
                  </w:r>
                </w:p>
              </w:tc>
            </w:tr>
            <w:tr w:rsidR="000A486F" w:rsidRPr="00550B7B" w14:paraId="54473490" w14:textId="77777777" w:rsidTr="009B73EB">
              <w:trPr>
                <w:trHeight w:val="255"/>
              </w:trPr>
              <w:tc>
                <w:tcPr>
                  <w:tcW w:w="2032" w:type="dxa"/>
                  <w:tcBorders>
                    <w:left w:val="single" w:sz="4" w:space="0" w:color="auto"/>
                    <w:bottom w:val="single" w:sz="4" w:space="0" w:color="auto"/>
                    <w:right w:val="single" w:sz="4" w:space="0" w:color="auto"/>
                  </w:tcBorders>
                  <w:noWrap/>
                  <w:vAlign w:val="bottom"/>
                  <w:hideMark/>
                </w:tcPr>
                <w:p w14:paraId="0745E0CF" w14:textId="77777777" w:rsidR="000A486F" w:rsidRPr="00FB39EA" w:rsidRDefault="000A486F" w:rsidP="000A486F">
                  <w:pPr>
                    <w:spacing w:after="60"/>
                    <w:rPr>
                      <w:rFonts w:cs="Arial"/>
                      <w:szCs w:val="20"/>
                      <w:lang w:eastAsia="en-AU"/>
                    </w:rPr>
                  </w:pPr>
                  <w:r>
                    <w:rPr>
                      <w:rFonts w:cs="Arial"/>
                      <w:szCs w:val="20"/>
                      <w:lang w:eastAsia="en-AU"/>
                    </w:rPr>
                    <w:t>Relating to a DVB notice</w:t>
                  </w:r>
                </w:p>
              </w:tc>
              <w:tc>
                <w:tcPr>
                  <w:tcW w:w="766" w:type="dxa"/>
                  <w:tcBorders>
                    <w:bottom w:val="single" w:sz="4" w:space="0" w:color="auto"/>
                    <w:right w:val="single" w:sz="4" w:space="0" w:color="auto"/>
                  </w:tcBorders>
                  <w:vAlign w:val="bottom"/>
                </w:tcPr>
                <w:p w14:paraId="1ECE2CE8" w14:textId="2A53A0E4" w:rsidR="000A486F" w:rsidRPr="000A486F" w:rsidRDefault="000A486F" w:rsidP="000A486F">
                  <w:pPr>
                    <w:spacing w:after="60"/>
                    <w:jc w:val="right"/>
                    <w:rPr>
                      <w:rFonts w:cs="Arial"/>
                      <w:szCs w:val="20"/>
                      <w:lang w:eastAsia="en-AU"/>
                    </w:rPr>
                  </w:pPr>
                  <w:r w:rsidRPr="000A486F">
                    <w:rPr>
                      <w:rFonts w:cs="Arial"/>
                      <w:szCs w:val="20"/>
                    </w:rPr>
                    <w:t>19</w:t>
                  </w:r>
                </w:p>
              </w:tc>
              <w:tc>
                <w:tcPr>
                  <w:tcW w:w="767" w:type="dxa"/>
                  <w:tcBorders>
                    <w:bottom w:val="single" w:sz="4" w:space="0" w:color="auto"/>
                    <w:right w:val="single" w:sz="4" w:space="0" w:color="auto"/>
                  </w:tcBorders>
                  <w:vAlign w:val="bottom"/>
                </w:tcPr>
                <w:p w14:paraId="669D9399" w14:textId="65501561" w:rsidR="000A486F" w:rsidRPr="000A486F" w:rsidRDefault="000A486F" w:rsidP="000A486F">
                  <w:pPr>
                    <w:spacing w:after="60"/>
                    <w:jc w:val="right"/>
                    <w:rPr>
                      <w:rFonts w:cs="Arial"/>
                      <w:szCs w:val="20"/>
                      <w:lang w:eastAsia="en-AU"/>
                    </w:rPr>
                  </w:pPr>
                  <w:r w:rsidRPr="000A486F">
                    <w:rPr>
                      <w:rFonts w:cs="Arial"/>
                      <w:szCs w:val="20"/>
                    </w:rPr>
                    <w:t>19</w:t>
                  </w:r>
                </w:p>
              </w:tc>
              <w:tc>
                <w:tcPr>
                  <w:tcW w:w="766" w:type="dxa"/>
                  <w:tcBorders>
                    <w:bottom w:val="single" w:sz="4" w:space="0" w:color="auto"/>
                    <w:right w:val="single" w:sz="4" w:space="0" w:color="auto"/>
                  </w:tcBorders>
                  <w:vAlign w:val="bottom"/>
                </w:tcPr>
                <w:p w14:paraId="4634542F" w14:textId="4C51202D" w:rsidR="000A486F" w:rsidRPr="000A486F" w:rsidRDefault="000A486F" w:rsidP="000A486F">
                  <w:pPr>
                    <w:spacing w:after="60"/>
                    <w:jc w:val="right"/>
                    <w:rPr>
                      <w:rFonts w:cs="Arial"/>
                      <w:szCs w:val="20"/>
                      <w:lang w:eastAsia="en-AU"/>
                    </w:rPr>
                  </w:pPr>
                  <w:r w:rsidRPr="000A486F">
                    <w:rPr>
                      <w:rFonts w:cs="Arial"/>
                      <w:szCs w:val="20"/>
                    </w:rPr>
                    <w:t>20</w:t>
                  </w:r>
                </w:p>
              </w:tc>
              <w:tc>
                <w:tcPr>
                  <w:tcW w:w="767" w:type="dxa"/>
                  <w:tcBorders>
                    <w:bottom w:val="single" w:sz="4" w:space="0" w:color="auto"/>
                    <w:right w:val="single" w:sz="4" w:space="0" w:color="auto"/>
                  </w:tcBorders>
                  <w:vAlign w:val="bottom"/>
                </w:tcPr>
                <w:p w14:paraId="608E75B9" w14:textId="5F4C3470" w:rsidR="000A486F" w:rsidRPr="000A486F" w:rsidRDefault="000A486F" w:rsidP="000A486F">
                  <w:pPr>
                    <w:spacing w:after="60"/>
                    <w:jc w:val="right"/>
                    <w:rPr>
                      <w:rFonts w:cs="Arial"/>
                      <w:szCs w:val="20"/>
                      <w:lang w:eastAsia="en-AU"/>
                    </w:rPr>
                  </w:pPr>
                  <w:r w:rsidRPr="000A486F">
                    <w:rPr>
                      <w:rFonts w:cs="Arial"/>
                      <w:szCs w:val="20"/>
                    </w:rPr>
                    <w:t>21</w:t>
                  </w:r>
                </w:p>
              </w:tc>
            </w:tr>
            <w:tr w:rsidR="000A486F" w:rsidRPr="00550B7B" w14:paraId="4A778074" w14:textId="77777777" w:rsidTr="009B73EB">
              <w:trPr>
                <w:trHeight w:val="255"/>
              </w:trPr>
              <w:tc>
                <w:tcPr>
                  <w:tcW w:w="2032" w:type="dxa"/>
                  <w:tcBorders>
                    <w:left w:val="single" w:sz="4" w:space="0" w:color="auto"/>
                    <w:bottom w:val="single" w:sz="4" w:space="0" w:color="auto"/>
                    <w:right w:val="single" w:sz="4" w:space="0" w:color="auto"/>
                  </w:tcBorders>
                  <w:noWrap/>
                  <w:vAlign w:val="bottom"/>
                </w:tcPr>
                <w:p w14:paraId="4AB869E7" w14:textId="77777777" w:rsidR="000A486F" w:rsidRPr="00FB39EA" w:rsidRDefault="000A486F" w:rsidP="000A486F">
                  <w:pPr>
                    <w:spacing w:after="60"/>
                    <w:rPr>
                      <w:rFonts w:cs="Arial"/>
                      <w:szCs w:val="20"/>
                      <w:lang w:eastAsia="en-AU"/>
                    </w:rPr>
                  </w:pPr>
                  <w:r>
                    <w:rPr>
                      <w:rFonts w:cs="Arial"/>
                      <w:szCs w:val="20"/>
                      <w:lang w:eastAsia="en-AU"/>
                    </w:rPr>
                    <w:t>Relating to a DVO notice</w:t>
                  </w:r>
                </w:p>
              </w:tc>
              <w:tc>
                <w:tcPr>
                  <w:tcW w:w="766" w:type="dxa"/>
                  <w:tcBorders>
                    <w:bottom w:val="single" w:sz="4" w:space="0" w:color="auto"/>
                    <w:right w:val="single" w:sz="4" w:space="0" w:color="auto"/>
                  </w:tcBorders>
                  <w:vAlign w:val="bottom"/>
                </w:tcPr>
                <w:p w14:paraId="1FC3AAD9" w14:textId="0984A194" w:rsidR="000A486F" w:rsidRPr="000A486F" w:rsidRDefault="000A486F" w:rsidP="000A486F">
                  <w:pPr>
                    <w:spacing w:after="60"/>
                    <w:jc w:val="right"/>
                    <w:rPr>
                      <w:rFonts w:cs="Arial"/>
                      <w:szCs w:val="20"/>
                      <w:lang w:eastAsia="en-AU"/>
                    </w:rPr>
                  </w:pPr>
                  <w:r w:rsidRPr="000A486F">
                    <w:rPr>
                      <w:rFonts w:cs="Arial"/>
                      <w:szCs w:val="20"/>
                    </w:rPr>
                    <w:t>64</w:t>
                  </w:r>
                </w:p>
              </w:tc>
              <w:tc>
                <w:tcPr>
                  <w:tcW w:w="767" w:type="dxa"/>
                  <w:tcBorders>
                    <w:bottom w:val="single" w:sz="4" w:space="0" w:color="auto"/>
                    <w:right w:val="single" w:sz="4" w:space="0" w:color="auto"/>
                  </w:tcBorders>
                  <w:vAlign w:val="bottom"/>
                </w:tcPr>
                <w:p w14:paraId="307DF7D6" w14:textId="40376C07" w:rsidR="000A486F" w:rsidRPr="000A486F" w:rsidRDefault="000A486F" w:rsidP="000A486F">
                  <w:pPr>
                    <w:spacing w:after="60"/>
                    <w:jc w:val="right"/>
                    <w:rPr>
                      <w:rFonts w:cs="Arial"/>
                      <w:szCs w:val="20"/>
                      <w:lang w:eastAsia="en-AU"/>
                    </w:rPr>
                  </w:pPr>
                  <w:r w:rsidRPr="000A486F">
                    <w:rPr>
                      <w:rFonts w:cs="Arial"/>
                      <w:szCs w:val="20"/>
                    </w:rPr>
                    <w:t>42</w:t>
                  </w:r>
                </w:p>
              </w:tc>
              <w:tc>
                <w:tcPr>
                  <w:tcW w:w="766" w:type="dxa"/>
                  <w:tcBorders>
                    <w:bottom w:val="single" w:sz="4" w:space="0" w:color="auto"/>
                    <w:right w:val="single" w:sz="4" w:space="0" w:color="auto"/>
                  </w:tcBorders>
                  <w:vAlign w:val="bottom"/>
                </w:tcPr>
                <w:p w14:paraId="6B999EA3" w14:textId="29382A67" w:rsidR="000A486F" w:rsidRPr="000A486F" w:rsidRDefault="000A486F" w:rsidP="000A486F">
                  <w:pPr>
                    <w:spacing w:after="60"/>
                    <w:jc w:val="right"/>
                    <w:rPr>
                      <w:rFonts w:cs="Arial"/>
                      <w:szCs w:val="20"/>
                      <w:lang w:eastAsia="en-AU"/>
                    </w:rPr>
                  </w:pPr>
                  <w:r w:rsidRPr="000A486F">
                    <w:rPr>
                      <w:rFonts w:cs="Arial"/>
                      <w:szCs w:val="20"/>
                    </w:rPr>
                    <w:t>35</w:t>
                  </w:r>
                </w:p>
              </w:tc>
              <w:tc>
                <w:tcPr>
                  <w:tcW w:w="767" w:type="dxa"/>
                  <w:tcBorders>
                    <w:bottom w:val="single" w:sz="4" w:space="0" w:color="auto"/>
                    <w:right w:val="single" w:sz="4" w:space="0" w:color="auto"/>
                  </w:tcBorders>
                  <w:vAlign w:val="bottom"/>
                </w:tcPr>
                <w:p w14:paraId="7F67C181" w14:textId="6ABF6D6F" w:rsidR="000A486F" w:rsidRPr="000A486F" w:rsidRDefault="000A486F" w:rsidP="000A486F">
                  <w:pPr>
                    <w:spacing w:after="60"/>
                    <w:jc w:val="right"/>
                    <w:rPr>
                      <w:rFonts w:cs="Arial"/>
                      <w:szCs w:val="20"/>
                      <w:lang w:eastAsia="en-AU"/>
                    </w:rPr>
                  </w:pPr>
                  <w:r w:rsidRPr="000A486F">
                    <w:rPr>
                      <w:rFonts w:cs="Arial"/>
                      <w:szCs w:val="20"/>
                    </w:rPr>
                    <w:t>57</w:t>
                  </w:r>
                </w:p>
              </w:tc>
            </w:tr>
            <w:tr w:rsidR="000A486F" w:rsidRPr="00550B7B" w14:paraId="64F65C77" w14:textId="77777777" w:rsidTr="009B73EB">
              <w:trPr>
                <w:trHeight w:val="255"/>
              </w:trPr>
              <w:tc>
                <w:tcPr>
                  <w:tcW w:w="2032" w:type="dxa"/>
                  <w:tcBorders>
                    <w:left w:val="single" w:sz="4" w:space="0" w:color="auto"/>
                    <w:bottom w:val="single" w:sz="4" w:space="0" w:color="auto"/>
                    <w:right w:val="single" w:sz="4" w:space="0" w:color="auto"/>
                  </w:tcBorders>
                  <w:noWrap/>
                  <w:vAlign w:val="bottom"/>
                  <w:hideMark/>
                </w:tcPr>
                <w:p w14:paraId="6587AF17" w14:textId="77777777" w:rsidR="000A486F" w:rsidRPr="00FB39EA" w:rsidRDefault="000A486F" w:rsidP="000A486F">
                  <w:pPr>
                    <w:spacing w:after="60"/>
                    <w:rPr>
                      <w:rFonts w:cs="Arial"/>
                      <w:b/>
                      <w:bCs/>
                      <w:szCs w:val="20"/>
                      <w:lang w:eastAsia="en-AU"/>
                    </w:rPr>
                  </w:pPr>
                  <w:r w:rsidRPr="00FB39EA">
                    <w:rPr>
                      <w:rFonts w:cs="Arial"/>
                      <w:b/>
                      <w:bCs/>
                      <w:szCs w:val="20"/>
                      <w:lang w:eastAsia="en-AU"/>
                    </w:rPr>
                    <w:t>TOTAL</w:t>
                  </w:r>
                </w:p>
              </w:tc>
              <w:tc>
                <w:tcPr>
                  <w:tcW w:w="766" w:type="dxa"/>
                  <w:tcBorders>
                    <w:bottom w:val="single" w:sz="4" w:space="0" w:color="auto"/>
                    <w:right w:val="single" w:sz="4" w:space="0" w:color="auto"/>
                  </w:tcBorders>
                  <w:noWrap/>
                  <w:vAlign w:val="bottom"/>
                </w:tcPr>
                <w:p w14:paraId="2154F41A" w14:textId="4CD6281F" w:rsidR="000A486F" w:rsidRPr="000A486F" w:rsidRDefault="000A486F" w:rsidP="000A486F">
                  <w:pPr>
                    <w:spacing w:after="60"/>
                    <w:jc w:val="right"/>
                    <w:rPr>
                      <w:rFonts w:cs="Arial"/>
                      <w:b/>
                      <w:bCs/>
                      <w:szCs w:val="20"/>
                      <w:lang w:eastAsia="en-AU"/>
                    </w:rPr>
                  </w:pPr>
                  <w:r w:rsidRPr="000A486F">
                    <w:rPr>
                      <w:rFonts w:cs="Arial"/>
                      <w:b/>
                      <w:bCs/>
                      <w:szCs w:val="20"/>
                    </w:rPr>
                    <w:t>93</w:t>
                  </w:r>
                </w:p>
              </w:tc>
              <w:tc>
                <w:tcPr>
                  <w:tcW w:w="767" w:type="dxa"/>
                  <w:tcBorders>
                    <w:bottom w:val="single" w:sz="4" w:space="0" w:color="auto"/>
                    <w:right w:val="single" w:sz="4" w:space="0" w:color="auto"/>
                  </w:tcBorders>
                  <w:noWrap/>
                  <w:vAlign w:val="bottom"/>
                </w:tcPr>
                <w:p w14:paraId="53254EC1" w14:textId="4ECDFD36" w:rsidR="000A486F" w:rsidRPr="000A486F" w:rsidRDefault="000A486F" w:rsidP="000A486F">
                  <w:pPr>
                    <w:spacing w:after="60"/>
                    <w:jc w:val="right"/>
                    <w:rPr>
                      <w:rFonts w:cs="Arial"/>
                      <w:b/>
                      <w:bCs/>
                      <w:szCs w:val="20"/>
                      <w:lang w:eastAsia="en-AU"/>
                    </w:rPr>
                  </w:pPr>
                  <w:r w:rsidRPr="000A486F">
                    <w:rPr>
                      <w:rFonts w:cs="Arial"/>
                      <w:b/>
                      <w:bCs/>
                      <w:szCs w:val="20"/>
                    </w:rPr>
                    <w:t>61</w:t>
                  </w:r>
                </w:p>
              </w:tc>
              <w:tc>
                <w:tcPr>
                  <w:tcW w:w="766" w:type="dxa"/>
                  <w:tcBorders>
                    <w:bottom w:val="single" w:sz="4" w:space="0" w:color="auto"/>
                    <w:right w:val="single" w:sz="4" w:space="0" w:color="auto"/>
                  </w:tcBorders>
                  <w:noWrap/>
                  <w:vAlign w:val="bottom"/>
                </w:tcPr>
                <w:p w14:paraId="594B1CA0" w14:textId="4F77D330" w:rsidR="000A486F" w:rsidRPr="000A486F" w:rsidRDefault="000A486F" w:rsidP="000A486F">
                  <w:pPr>
                    <w:spacing w:after="60"/>
                    <w:jc w:val="right"/>
                    <w:rPr>
                      <w:rFonts w:cs="Arial"/>
                      <w:b/>
                      <w:bCs/>
                      <w:szCs w:val="20"/>
                      <w:lang w:eastAsia="en-AU"/>
                    </w:rPr>
                  </w:pPr>
                  <w:r w:rsidRPr="000A486F">
                    <w:rPr>
                      <w:rFonts w:cs="Arial"/>
                      <w:b/>
                      <w:bCs/>
                      <w:szCs w:val="20"/>
                    </w:rPr>
                    <w:t>59</w:t>
                  </w:r>
                </w:p>
              </w:tc>
              <w:tc>
                <w:tcPr>
                  <w:tcW w:w="767" w:type="dxa"/>
                  <w:tcBorders>
                    <w:bottom w:val="single" w:sz="4" w:space="0" w:color="auto"/>
                    <w:right w:val="single" w:sz="4" w:space="0" w:color="auto"/>
                  </w:tcBorders>
                  <w:noWrap/>
                  <w:vAlign w:val="bottom"/>
                </w:tcPr>
                <w:p w14:paraId="31961026" w14:textId="42EDB8B8" w:rsidR="000A486F" w:rsidRPr="000A486F" w:rsidRDefault="000A486F" w:rsidP="000A486F">
                  <w:pPr>
                    <w:spacing w:after="60"/>
                    <w:jc w:val="right"/>
                    <w:rPr>
                      <w:rFonts w:cs="Arial"/>
                      <w:b/>
                      <w:bCs/>
                      <w:szCs w:val="20"/>
                      <w:lang w:eastAsia="en-AU"/>
                    </w:rPr>
                  </w:pPr>
                  <w:r w:rsidRPr="000A486F">
                    <w:rPr>
                      <w:rFonts w:cs="Arial"/>
                      <w:b/>
                      <w:bCs/>
                      <w:szCs w:val="20"/>
                    </w:rPr>
                    <w:t>82</w:t>
                  </w:r>
                </w:p>
              </w:tc>
            </w:tr>
          </w:tbl>
          <w:p w14:paraId="38CABC61" w14:textId="25C9456E" w:rsidR="00B14E5E" w:rsidRPr="008E7494" w:rsidRDefault="00B14E5E" w:rsidP="00A90858">
            <w:pPr>
              <w:widowControl w:val="0"/>
              <w:autoSpaceDE w:val="0"/>
              <w:autoSpaceDN w:val="0"/>
              <w:adjustRightInd w:val="0"/>
              <w:ind w:left="720" w:hanging="720"/>
              <w:rPr>
                <w:rFonts w:ascii="Helvetica" w:hAnsi="Helvetica" w:cs="Helvetica"/>
                <w:b/>
                <w:bCs/>
                <w:sz w:val="17"/>
                <w:szCs w:val="17"/>
                <w:lang w:val="en-US"/>
              </w:rPr>
            </w:pPr>
          </w:p>
        </w:tc>
      </w:tr>
    </w:tbl>
    <w:p w14:paraId="0CA5C454" w14:textId="77777777" w:rsidR="00B14E5E" w:rsidRPr="008E7494" w:rsidRDefault="00B14E5E" w:rsidP="00B14E5E"/>
    <w:tbl>
      <w:tblPr>
        <w:tblW w:w="11079" w:type="dxa"/>
        <w:tblInd w:w="-34" w:type="dxa"/>
        <w:tblLayout w:type="fixed"/>
        <w:tblLook w:val="01E0" w:firstRow="1" w:lastRow="1" w:firstColumn="1" w:lastColumn="1" w:noHBand="0" w:noVBand="0"/>
      </w:tblPr>
      <w:tblGrid>
        <w:gridCol w:w="5540"/>
        <w:gridCol w:w="5539"/>
      </w:tblGrid>
      <w:tr w:rsidR="00B14E5E" w:rsidRPr="008E7494" w14:paraId="64323C5C" w14:textId="77777777" w:rsidTr="00A90858">
        <w:trPr>
          <w:trHeight w:val="67"/>
        </w:trPr>
        <w:tc>
          <w:tcPr>
            <w:tcW w:w="5540" w:type="dxa"/>
            <w:shd w:val="clear" w:color="auto" w:fill="auto"/>
          </w:tcPr>
          <w:p w14:paraId="5C9B7FDB" w14:textId="77FC9810" w:rsidR="00A65158" w:rsidRPr="000E4D75" w:rsidRDefault="00A65158" w:rsidP="00A65158">
            <w:pPr>
              <w:widowControl w:val="0"/>
              <w:autoSpaceDE w:val="0"/>
              <w:autoSpaceDN w:val="0"/>
              <w:adjustRightInd w:val="0"/>
              <w:ind w:left="720" w:hanging="720"/>
              <w:rPr>
                <w:rFonts w:ascii="Helvetica" w:hAnsi="Helvetica" w:cs="Helvetica"/>
                <w:b/>
                <w:bCs/>
                <w:sz w:val="17"/>
                <w:szCs w:val="17"/>
                <w:lang w:val="en-US"/>
              </w:rPr>
            </w:pPr>
            <w:r>
              <w:rPr>
                <w:rFonts w:ascii="Helvetica" w:hAnsi="Helvetica" w:cs="Helvetica"/>
                <w:b/>
                <w:bCs/>
                <w:sz w:val="17"/>
                <w:szCs w:val="17"/>
                <w:lang w:val="en-US"/>
              </w:rPr>
              <w:lastRenderedPageBreak/>
              <w:t>Table 11</w:t>
            </w:r>
            <w:r w:rsidRPr="00447E70">
              <w:rPr>
                <w:rFonts w:ascii="Helvetica" w:hAnsi="Helvetica" w:cs="Helvetica"/>
                <w:b/>
                <w:bCs/>
                <w:sz w:val="17"/>
                <w:szCs w:val="17"/>
                <w:lang w:val="en-US"/>
              </w:rPr>
              <w:t xml:space="preserve">: </w:t>
            </w:r>
            <w:r w:rsidRPr="005D104F">
              <w:rPr>
                <w:rFonts w:ascii="Helvetica" w:hAnsi="Helvetica" w:cs="Helvetica"/>
                <w:b/>
                <w:bCs/>
                <w:sz w:val="17"/>
                <w:szCs w:val="17"/>
                <w:lang w:val="en-US"/>
              </w:rPr>
              <w:t xml:space="preserve">Domestic violence conferences by </w:t>
            </w:r>
            <w:r>
              <w:rPr>
                <w:rFonts w:ascii="Helvetica" w:hAnsi="Helvetica" w:cs="Helvetica"/>
                <w:b/>
                <w:bCs/>
                <w:sz w:val="17"/>
                <w:szCs w:val="17"/>
                <w:lang w:val="en-US"/>
              </w:rPr>
              <w:t>community</w:t>
            </w:r>
            <w:r w:rsidRPr="005D104F">
              <w:rPr>
                <w:rFonts w:ascii="Helvetica" w:hAnsi="Helvetica" w:cs="Helvetica"/>
                <w:b/>
                <w:bCs/>
                <w:sz w:val="17"/>
                <w:szCs w:val="17"/>
                <w:lang w:val="en-US"/>
              </w:rPr>
              <w:t xml:space="preserve"> and quarter</w:t>
            </w:r>
            <w:r>
              <w:rPr>
                <w:rFonts w:ascii="Helvetica" w:hAnsi="Helvetica" w:cs="Helvetica"/>
                <w:b/>
                <w:bCs/>
                <w:sz w:val="17"/>
                <w:szCs w:val="17"/>
                <w:lang w:val="en-US"/>
              </w:rPr>
              <w:t xml:space="preserve"> 1 July 201</w:t>
            </w:r>
            <w:r>
              <w:rPr>
                <w:rFonts w:ascii="Helvetica" w:hAnsi="Helvetica" w:cs="Helvetica"/>
                <w:b/>
                <w:bCs/>
                <w:sz w:val="17"/>
                <w:szCs w:val="17"/>
                <w:lang w:val="en-US"/>
              </w:rPr>
              <w:t>8</w:t>
            </w:r>
            <w:r>
              <w:rPr>
                <w:rFonts w:ascii="Helvetica" w:hAnsi="Helvetica" w:cs="Helvetica"/>
                <w:b/>
                <w:bCs/>
                <w:sz w:val="17"/>
                <w:szCs w:val="17"/>
                <w:lang w:val="en-US"/>
              </w:rPr>
              <w:t xml:space="preserve"> to 30 June 201</w:t>
            </w:r>
            <w:r>
              <w:rPr>
                <w:rFonts w:ascii="Helvetica" w:hAnsi="Helvetica" w:cs="Helvetica"/>
                <w:b/>
                <w:bCs/>
                <w:sz w:val="17"/>
                <w:szCs w:val="17"/>
                <w:lang w:val="en-US"/>
              </w:rPr>
              <w:t>9</w:t>
            </w:r>
            <w:r>
              <w:rPr>
                <w:rFonts w:ascii="Helvetica" w:hAnsi="Helvetica" w:cs="Helvetica"/>
                <w:b/>
                <w:bCs/>
                <w:sz w:val="17"/>
                <w:szCs w:val="17"/>
                <w:lang w:val="en-US"/>
              </w:rPr>
              <w:t>.</w:t>
            </w:r>
          </w:p>
          <w:tbl>
            <w:tblPr>
              <w:tblW w:w="5098" w:type="dxa"/>
              <w:tblLayout w:type="fixed"/>
              <w:tblLook w:val="04A0" w:firstRow="1" w:lastRow="0" w:firstColumn="1" w:lastColumn="0" w:noHBand="0" w:noVBand="1"/>
            </w:tblPr>
            <w:tblGrid>
              <w:gridCol w:w="2032"/>
              <w:gridCol w:w="766"/>
              <w:gridCol w:w="767"/>
              <w:gridCol w:w="766"/>
              <w:gridCol w:w="767"/>
            </w:tblGrid>
            <w:tr w:rsidR="00A65158" w:rsidRPr="00550B7B" w14:paraId="190FD0B5" w14:textId="77777777" w:rsidTr="00B25249">
              <w:trPr>
                <w:trHeight w:val="306"/>
              </w:trPr>
              <w:tc>
                <w:tcPr>
                  <w:tcW w:w="2032" w:type="dxa"/>
                  <w:tcBorders>
                    <w:top w:val="single" w:sz="4" w:space="0" w:color="auto"/>
                    <w:left w:val="single" w:sz="4" w:space="0" w:color="auto"/>
                    <w:bottom w:val="single" w:sz="4" w:space="0" w:color="auto"/>
                    <w:right w:val="single" w:sz="4" w:space="0" w:color="auto"/>
                  </w:tcBorders>
                  <w:noWrap/>
                  <w:vAlign w:val="center"/>
                  <w:hideMark/>
                </w:tcPr>
                <w:p w14:paraId="5484E301" w14:textId="77777777" w:rsidR="00A65158" w:rsidRPr="00FB39EA" w:rsidRDefault="00A65158" w:rsidP="00A65158">
                  <w:pPr>
                    <w:spacing w:after="0"/>
                    <w:rPr>
                      <w:rFonts w:cs="Arial"/>
                      <w:b/>
                      <w:bCs/>
                      <w:szCs w:val="20"/>
                      <w:lang w:eastAsia="en-AU"/>
                    </w:rPr>
                  </w:pPr>
                  <w:r w:rsidRPr="00FB39EA">
                    <w:rPr>
                      <w:rFonts w:cs="Arial"/>
                      <w:b/>
                      <w:bCs/>
                      <w:szCs w:val="20"/>
                      <w:lang w:eastAsia="en-AU"/>
                    </w:rPr>
                    <w:t>Community</w:t>
                  </w:r>
                </w:p>
              </w:tc>
              <w:tc>
                <w:tcPr>
                  <w:tcW w:w="766" w:type="dxa"/>
                  <w:tcBorders>
                    <w:top w:val="single" w:sz="4" w:space="0" w:color="auto"/>
                    <w:bottom w:val="single" w:sz="4" w:space="0" w:color="auto"/>
                    <w:right w:val="single" w:sz="4" w:space="0" w:color="auto"/>
                  </w:tcBorders>
                  <w:vAlign w:val="center"/>
                  <w:hideMark/>
                </w:tcPr>
                <w:p w14:paraId="09056D2A" w14:textId="09AA7056" w:rsidR="00A65158" w:rsidRPr="00FB39EA" w:rsidRDefault="00A65158" w:rsidP="00A65158">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Pr>
                      <w:rFonts w:cs="Arial"/>
                      <w:b/>
                      <w:bCs/>
                      <w:szCs w:val="20"/>
                      <w:lang w:eastAsia="en-AU"/>
                    </w:rPr>
                    <w:t>41</w:t>
                  </w:r>
                </w:p>
              </w:tc>
              <w:tc>
                <w:tcPr>
                  <w:tcW w:w="767" w:type="dxa"/>
                  <w:tcBorders>
                    <w:top w:val="single" w:sz="4" w:space="0" w:color="auto"/>
                    <w:bottom w:val="single" w:sz="4" w:space="0" w:color="auto"/>
                    <w:right w:val="single" w:sz="4" w:space="0" w:color="auto"/>
                  </w:tcBorders>
                  <w:vAlign w:val="center"/>
                  <w:hideMark/>
                </w:tcPr>
                <w:p w14:paraId="3039A8E5" w14:textId="3FF57DF1" w:rsidR="00A65158" w:rsidRPr="00FB39EA" w:rsidRDefault="00A65158" w:rsidP="00A65158">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Pr>
                      <w:rFonts w:cs="Arial"/>
                      <w:b/>
                      <w:bCs/>
                      <w:szCs w:val="20"/>
                      <w:lang w:eastAsia="en-AU"/>
                    </w:rPr>
                    <w:t>42</w:t>
                  </w:r>
                </w:p>
              </w:tc>
              <w:tc>
                <w:tcPr>
                  <w:tcW w:w="766" w:type="dxa"/>
                  <w:tcBorders>
                    <w:top w:val="single" w:sz="4" w:space="0" w:color="auto"/>
                    <w:bottom w:val="single" w:sz="4" w:space="0" w:color="auto"/>
                    <w:right w:val="single" w:sz="4" w:space="0" w:color="auto"/>
                  </w:tcBorders>
                  <w:vAlign w:val="center"/>
                  <w:hideMark/>
                </w:tcPr>
                <w:p w14:paraId="2F111B5B" w14:textId="56CB074D" w:rsidR="00A65158" w:rsidRPr="00FB39EA" w:rsidRDefault="00A65158" w:rsidP="00A65158">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Pr>
                      <w:rFonts w:cs="Arial"/>
                      <w:b/>
                      <w:bCs/>
                      <w:szCs w:val="20"/>
                      <w:lang w:eastAsia="en-AU"/>
                    </w:rPr>
                    <w:t>43</w:t>
                  </w:r>
                </w:p>
              </w:tc>
              <w:tc>
                <w:tcPr>
                  <w:tcW w:w="767" w:type="dxa"/>
                  <w:tcBorders>
                    <w:top w:val="single" w:sz="4" w:space="0" w:color="auto"/>
                    <w:bottom w:val="single" w:sz="4" w:space="0" w:color="auto"/>
                    <w:right w:val="single" w:sz="4" w:space="0" w:color="auto"/>
                  </w:tcBorders>
                  <w:vAlign w:val="center"/>
                  <w:hideMark/>
                </w:tcPr>
                <w:p w14:paraId="3E533472" w14:textId="2833B0C2" w:rsidR="00A65158" w:rsidRPr="00FB39EA" w:rsidRDefault="00A65158" w:rsidP="00A65158">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Pr>
                      <w:rFonts w:cs="Arial"/>
                      <w:b/>
                      <w:bCs/>
                      <w:szCs w:val="20"/>
                      <w:lang w:eastAsia="en-AU"/>
                    </w:rPr>
                    <w:t>44</w:t>
                  </w:r>
                </w:p>
              </w:tc>
            </w:tr>
            <w:tr w:rsidR="00DF5737" w:rsidRPr="00550B7B" w14:paraId="0A96A7FF" w14:textId="77777777" w:rsidTr="00B25249">
              <w:trPr>
                <w:trHeight w:val="255"/>
              </w:trPr>
              <w:tc>
                <w:tcPr>
                  <w:tcW w:w="2032" w:type="dxa"/>
                  <w:tcBorders>
                    <w:left w:val="single" w:sz="4" w:space="0" w:color="auto"/>
                    <w:bottom w:val="single" w:sz="4" w:space="0" w:color="auto"/>
                    <w:right w:val="single" w:sz="4" w:space="0" w:color="auto"/>
                  </w:tcBorders>
                  <w:noWrap/>
                  <w:vAlign w:val="bottom"/>
                  <w:hideMark/>
                </w:tcPr>
                <w:p w14:paraId="0EC67AAF" w14:textId="77777777" w:rsidR="00DF5737" w:rsidRPr="00FB39EA" w:rsidRDefault="00DF5737" w:rsidP="00DF5737">
                  <w:pPr>
                    <w:spacing w:after="60"/>
                    <w:rPr>
                      <w:rFonts w:cs="Arial"/>
                      <w:szCs w:val="20"/>
                      <w:lang w:eastAsia="en-AU"/>
                    </w:rPr>
                  </w:pPr>
                  <w:r w:rsidRPr="00FB39EA">
                    <w:rPr>
                      <w:rFonts w:cs="Arial"/>
                      <w:szCs w:val="20"/>
                      <w:lang w:eastAsia="en-AU"/>
                    </w:rPr>
                    <w:t>Aurukun</w:t>
                  </w:r>
                </w:p>
              </w:tc>
              <w:tc>
                <w:tcPr>
                  <w:tcW w:w="766" w:type="dxa"/>
                  <w:tcBorders>
                    <w:bottom w:val="single" w:sz="4" w:space="0" w:color="auto"/>
                    <w:right w:val="single" w:sz="4" w:space="0" w:color="auto"/>
                  </w:tcBorders>
                </w:tcPr>
                <w:p w14:paraId="6F5D57A0" w14:textId="768B621F" w:rsidR="00DF5737" w:rsidRPr="00DF5737" w:rsidRDefault="00DF5737" w:rsidP="00DF5737">
                  <w:pPr>
                    <w:spacing w:after="60"/>
                    <w:jc w:val="right"/>
                    <w:rPr>
                      <w:rFonts w:cs="Arial"/>
                      <w:szCs w:val="20"/>
                      <w:lang w:eastAsia="en-AU"/>
                    </w:rPr>
                  </w:pPr>
                  <w:r w:rsidRPr="00DF5737">
                    <w:rPr>
                      <w:rFonts w:cs="Arial"/>
                      <w:szCs w:val="20"/>
                    </w:rPr>
                    <w:t>56</w:t>
                  </w:r>
                </w:p>
              </w:tc>
              <w:tc>
                <w:tcPr>
                  <w:tcW w:w="767" w:type="dxa"/>
                  <w:tcBorders>
                    <w:bottom w:val="single" w:sz="4" w:space="0" w:color="auto"/>
                    <w:right w:val="single" w:sz="4" w:space="0" w:color="auto"/>
                  </w:tcBorders>
                </w:tcPr>
                <w:p w14:paraId="6AF77CF9" w14:textId="5C402FE1" w:rsidR="00DF5737" w:rsidRPr="00DF5737" w:rsidRDefault="00DF5737" w:rsidP="00DF5737">
                  <w:pPr>
                    <w:spacing w:after="60"/>
                    <w:jc w:val="right"/>
                    <w:rPr>
                      <w:rFonts w:cs="Arial"/>
                      <w:szCs w:val="20"/>
                      <w:lang w:eastAsia="en-AU"/>
                    </w:rPr>
                  </w:pPr>
                  <w:r w:rsidRPr="00DF5737">
                    <w:rPr>
                      <w:rFonts w:cs="Arial"/>
                      <w:szCs w:val="20"/>
                    </w:rPr>
                    <w:t>39</w:t>
                  </w:r>
                </w:p>
              </w:tc>
              <w:tc>
                <w:tcPr>
                  <w:tcW w:w="766" w:type="dxa"/>
                  <w:tcBorders>
                    <w:bottom w:val="single" w:sz="4" w:space="0" w:color="auto"/>
                    <w:right w:val="single" w:sz="4" w:space="0" w:color="auto"/>
                  </w:tcBorders>
                </w:tcPr>
                <w:p w14:paraId="3382535F" w14:textId="2579A4E1" w:rsidR="00DF5737" w:rsidRPr="00DF5737" w:rsidRDefault="00DF5737" w:rsidP="00DF5737">
                  <w:pPr>
                    <w:spacing w:after="60"/>
                    <w:jc w:val="right"/>
                    <w:rPr>
                      <w:rFonts w:cs="Arial"/>
                      <w:szCs w:val="20"/>
                      <w:lang w:eastAsia="en-AU"/>
                    </w:rPr>
                  </w:pPr>
                  <w:r w:rsidRPr="00DF5737">
                    <w:rPr>
                      <w:rFonts w:cs="Arial"/>
                      <w:szCs w:val="20"/>
                    </w:rPr>
                    <w:t>37</w:t>
                  </w:r>
                </w:p>
              </w:tc>
              <w:tc>
                <w:tcPr>
                  <w:tcW w:w="767" w:type="dxa"/>
                  <w:tcBorders>
                    <w:bottom w:val="single" w:sz="4" w:space="0" w:color="auto"/>
                    <w:right w:val="single" w:sz="4" w:space="0" w:color="auto"/>
                  </w:tcBorders>
                </w:tcPr>
                <w:p w14:paraId="29C5212E" w14:textId="46B712EC" w:rsidR="00DF5737" w:rsidRPr="00DF5737" w:rsidRDefault="00DF5737" w:rsidP="00DF5737">
                  <w:pPr>
                    <w:spacing w:after="60"/>
                    <w:jc w:val="right"/>
                    <w:rPr>
                      <w:rFonts w:cs="Arial"/>
                      <w:szCs w:val="20"/>
                      <w:lang w:eastAsia="en-AU"/>
                    </w:rPr>
                  </w:pPr>
                  <w:r w:rsidRPr="00DF5737">
                    <w:rPr>
                      <w:rFonts w:cs="Arial"/>
                      <w:szCs w:val="20"/>
                    </w:rPr>
                    <w:t>34</w:t>
                  </w:r>
                </w:p>
              </w:tc>
            </w:tr>
            <w:tr w:rsidR="00DF5737" w:rsidRPr="00550B7B" w14:paraId="7D0700B3" w14:textId="77777777" w:rsidTr="00B25249">
              <w:trPr>
                <w:trHeight w:val="255"/>
              </w:trPr>
              <w:tc>
                <w:tcPr>
                  <w:tcW w:w="2032" w:type="dxa"/>
                  <w:tcBorders>
                    <w:left w:val="single" w:sz="4" w:space="0" w:color="auto"/>
                    <w:bottom w:val="single" w:sz="4" w:space="0" w:color="auto"/>
                    <w:right w:val="single" w:sz="4" w:space="0" w:color="auto"/>
                  </w:tcBorders>
                  <w:noWrap/>
                  <w:vAlign w:val="bottom"/>
                  <w:hideMark/>
                </w:tcPr>
                <w:p w14:paraId="50B7A3A6" w14:textId="77777777" w:rsidR="00DF5737" w:rsidRPr="00FB39EA" w:rsidRDefault="00DF5737" w:rsidP="00DF5737">
                  <w:pPr>
                    <w:spacing w:after="60"/>
                    <w:rPr>
                      <w:rFonts w:cs="Arial"/>
                      <w:szCs w:val="20"/>
                      <w:lang w:eastAsia="en-AU"/>
                    </w:rPr>
                  </w:pPr>
                  <w:r w:rsidRPr="00FB39EA">
                    <w:rPr>
                      <w:rFonts w:cs="Arial"/>
                      <w:szCs w:val="20"/>
                      <w:lang w:eastAsia="en-AU"/>
                    </w:rPr>
                    <w:t>Coen</w:t>
                  </w:r>
                </w:p>
              </w:tc>
              <w:tc>
                <w:tcPr>
                  <w:tcW w:w="766" w:type="dxa"/>
                  <w:tcBorders>
                    <w:bottom w:val="single" w:sz="4" w:space="0" w:color="auto"/>
                    <w:right w:val="single" w:sz="4" w:space="0" w:color="auto"/>
                  </w:tcBorders>
                </w:tcPr>
                <w:p w14:paraId="300DF21E" w14:textId="785DB0A3" w:rsidR="00DF5737" w:rsidRPr="00DF5737" w:rsidRDefault="00DF5737" w:rsidP="00DF5737">
                  <w:pPr>
                    <w:spacing w:after="60"/>
                    <w:jc w:val="right"/>
                    <w:rPr>
                      <w:rFonts w:cs="Arial"/>
                      <w:szCs w:val="20"/>
                      <w:lang w:eastAsia="en-AU"/>
                    </w:rPr>
                  </w:pPr>
                  <w:r w:rsidRPr="00DF5737">
                    <w:rPr>
                      <w:rFonts w:cs="Arial"/>
                      <w:szCs w:val="20"/>
                    </w:rPr>
                    <w:t>6</w:t>
                  </w:r>
                </w:p>
              </w:tc>
              <w:tc>
                <w:tcPr>
                  <w:tcW w:w="767" w:type="dxa"/>
                  <w:tcBorders>
                    <w:bottom w:val="single" w:sz="4" w:space="0" w:color="auto"/>
                    <w:right w:val="single" w:sz="4" w:space="0" w:color="auto"/>
                  </w:tcBorders>
                </w:tcPr>
                <w:p w14:paraId="220E486F" w14:textId="3D4E534D" w:rsidR="00DF5737" w:rsidRPr="00DF5737" w:rsidRDefault="00DF5737" w:rsidP="00DF5737">
                  <w:pPr>
                    <w:spacing w:after="60"/>
                    <w:jc w:val="right"/>
                    <w:rPr>
                      <w:rFonts w:cs="Arial"/>
                      <w:szCs w:val="20"/>
                      <w:lang w:eastAsia="en-AU"/>
                    </w:rPr>
                  </w:pPr>
                  <w:r w:rsidRPr="00DF5737">
                    <w:rPr>
                      <w:rFonts w:cs="Arial"/>
                      <w:szCs w:val="20"/>
                    </w:rPr>
                    <w:t>14</w:t>
                  </w:r>
                </w:p>
              </w:tc>
              <w:tc>
                <w:tcPr>
                  <w:tcW w:w="766" w:type="dxa"/>
                  <w:tcBorders>
                    <w:bottom w:val="single" w:sz="4" w:space="0" w:color="auto"/>
                    <w:right w:val="single" w:sz="4" w:space="0" w:color="auto"/>
                  </w:tcBorders>
                </w:tcPr>
                <w:p w14:paraId="18FD9482" w14:textId="00DE9502" w:rsidR="00DF5737" w:rsidRPr="00DF5737" w:rsidRDefault="00DF5737" w:rsidP="00DF5737">
                  <w:pPr>
                    <w:spacing w:after="60"/>
                    <w:jc w:val="right"/>
                    <w:rPr>
                      <w:rFonts w:cs="Arial"/>
                      <w:szCs w:val="20"/>
                      <w:lang w:eastAsia="en-AU"/>
                    </w:rPr>
                  </w:pPr>
                  <w:r w:rsidRPr="00DF5737">
                    <w:rPr>
                      <w:rFonts w:cs="Arial"/>
                      <w:szCs w:val="20"/>
                    </w:rPr>
                    <w:t>3</w:t>
                  </w:r>
                </w:p>
              </w:tc>
              <w:tc>
                <w:tcPr>
                  <w:tcW w:w="767" w:type="dxa"/>
                  <w:tcBorders>
                    <w:bottom w:val="single" w:sz="4" w:space="0" w:color="auto"/>
                    <w:right w:val="single" w:sz="4" w:space="0" w:color="auto"/>
                  </w:tcBorders>
                </w:tcPr>
                <w:p w14:paraId="5336EBF5" w14:textId="76070DA5" w:rsidR="00DF5737" w:rsidRPr="00DF5737" w:rsidRDefault="00DF5737" w:rsidP="00DF5737">
                  <w:pPr>
                    <w:spacing w:after="60"/>
                    <w:jc w:val="right"/>
                    <w:rPr>
                      <w:rFonts w:cs="Arial"/>
                      <w:szCs w:val="20"/>
                      <w:lang w:eastAsia="en-AU"/>
                    </w:rPr>
                  </w:pPr>
                  <w:r w:rsidRPr="00DF5737">
                    <w:rPr>
                      <w:rFonts w:cs="Arial"/>
                      <w:szCs w:val="20"/>
                    </w:rPr>
                    <w:t>9</w:t>
                  </w:r>
                </w:p>
              </w:tc>
            </w:tr>
            <w:tr w:rsidR="00DF5737" w:rsidRPr="00550B7B" w14:paraId="7375AE75" w14:textId="77777777" w:rsidTr="00B25249">
              <w:trPr>
                <w:trHeight w:val="255"/>
              </w:trPr>
              <w:tc>
                <w:tcPr>
                  <w:tcW w:w="2032" w:type="dxa"/>
                  <w:tcBorders>
                    <w:left w:val="single" w:sz="4" w:space="0" w:color="auto"/>
                    <w:bottom w:val="single" w:sz="4" w:space="0" w:color="auto"/>
                    <w:right w:val="single" w:sz="4" w:space="0" w:color="auto"/>
                  </w:tcBorders>
                  <w:noWrap/>
                  <w:vAlign w:val="bottom"/>
                  <w:hideMark/>
                </w:tcPr>
                <w:p w14:paraId="10B2C60C" w14:textId="77777777" w:rsidR="00DF5737" w:rsidRPr="00FB39EA" w:rsidRDefault="00DF5737" w:rsidP="00DF5737">
                  <w:pPr>
                    <w:spacing w:after="60"/>
                    <w:rPr>
                      <w:rFonts w:cs="Arial"/>
                      <w:szCs w:val="20"/>
                      <w:lang w:eastAsia="en-AU"/>
                    </w:rPr>
                  </w:pPr>
                  <w:r w:rsidRPr="00FB39EA">
                    <w:rPr>
                      <w:rFonts w:cs="Arial"/>
                      <w:szCs w:val="20"/>
                      <w:lang w:eastAsia="en-AU"/>
                    </w:rPr>
                    <w:t>Hope Vale</w:t>
                  </w:r>
                </w:p>
              </w:tc>
              <w:tc>
                <w:tcPr>
                  <w:tcW w:w="766" w:type="dxa"/>
                  <w:tcBorders>
                    <w:bottom w:val="single" w:sz="4" w:space="0" w:color="auto"/>
                    <w:right w:val="single" w:sz="4" w:space="0" w:color="auto"/>
                  </w:tcBorders>
                </w:tcPr>
                <w:p w14:paraId="356466F1" w14:textId="07A35B52" w:rsidR="00DF5737" w:rsidRPr="00DF5737" w:rsidRDefault="00DF5737" w:rsidP="00DF5737">
                  <w:pPr>
                    <w:spacing w:after="60"/>
                    <w:jc w:val="right"/>
                    <w:rPr>
                      <w:rFonts w:cs="Arial"/>
                      <w:szCs w:val="20"/>
                      <w:lang w:eastAsia="en-AU"/>
                    </w:rPr>
                  </w:pPr>
                  <w:r w:rsidRPr="00DF5737">
                    <w:rPr>
                      <w:rFonts w:cs="Arial"/>
                      <w:szCs w:val="20"/>
                    </w:rPr>
                    <w:t>20</w:t>
                  </w:r>
                </w:p>
              </w:tc>
              <w:tc>
                <w:tcPr>
                  <w:tcW w:w="767" w:type="dxa"/>
                  <w:tcBorders>
                    <w:bottom w:val="single" w:sz="4" w:space="0" w:color="auto"/>
                    <w:right w:val="single" w:sz="4" w:space="0" w:color="auto"/>
                  </w:tcBorders>
                </w:tcPr>
                <w:p w14:paraId="67CE084F" w14:textId="20F318DB" w:rsidR="00DF5737" w:rsidRPr="00DF5737" w:rsidRDefault="00DF5737" w:rsidP="00DF5737">
                  <w:pPr>
                    <w:spacing w:after="60"/>
                    <w:jc w:val="right"/>
                    <w:rPr>
                      <w:rFonts w:cs="Arial"/>
                      <w:szCs w:val="20"/>
                      <w:lang w:eastAsia="en-AU"/>
                    </w:rPr>
                  </w:pPr>
                  <w:r w:rsidRPr="00DF5737">
                    <w:rPr>
                      <w:rFonts w:cs="Arial"/>
                      <w:szCs w:val="20"/>
                    </w:rPr>
                    <w:t>4</w:t>
                  </w:r>
                </w:p>
              </w:tc>
              <w:tc>
                <w:tcPr>
                  <w:tcW w:w="766" w:type="dxa"/>
                  <w:tcBorders>
                    <w:bottom w:val="single" w:sz="4" w:space="0" w:color="auto"/>
                    <w:right w:val="single" w:sz="4" w:space="0" w:color="auto"/>
                  </w:tcBorders>
                </w:tcPr>
                <w:p w14:paraId="6621B9F4" w14:textId="290D48A6" w:rsidR="00DF5737" w:rsidRPr="00DF5737" w:rsidRDefault="00DF5737" w:rsidP="00DF5737">
                  <w:pPr>
                    <w:spacing w:after="60"/>
                    <w:jc w:val="right"/>
                    <w:rPr>
                      <w:rFonts w:cs="Arial"/>
                      <w:szCs w:val="20"/>
                      <w:lang w:eastAsia="en-AU"/>
                    </w:rPr>
                  </w:pPr>
                  <w:r w:rsidRPr="00DF5737">
                    <w:rPr>
                      <w:rFonts w:cs="Arial"/>
                      <w:szCs w:val="20"/>
                    </w:rPr>
                    <w:t>13</w:t>
                  </w:r>
                </w:p>
              </w:tc>
              <w:tc>
                <w:tcPr>
                  <w:tcW w:w="767" w:type="dxa"/>
                  <w:tcBorders>
                    <w:bottom w:val="single" w:sz="4" w:space="0" w:color="auto"/>
                    <w:right w:val="single" w:sz="4" w:space="0" w:color="auto"/>
                  </w:tcBorders>
                </w:tcPr>
                <w:p w14:paraId="36E7BE20" w14:textId="7DA8DFE4" w:rsidR="00DF5737" w:rsidRPr="00DF5737" w:rsidRDefault="00DF5737" w:rsidP="00DF5737">
                  <w:pPr>
                    <w:spacing w:after="60"/>
                    <w:jc w:val="right"/>
                    <w:rPr>
                      <w:rFonts w:cs="Arial"/>
                      <w:szCs w:val="20"/>
                      <w:lang w:eastAsia="en-AU"/>
                    </w:rPr>
                  </w:pPr>
                  <w:r w:rsidRPr="00DF5737">
                    <w:rPr>
                      <w:rFonts w:cs="Arial"/>
                      <w:szCs w:val="20"/>
                    </w:rPr>
                    <w:t>29</w:t>
                  </w:r>
                </w:p>
              </w:tc>
            </w:tr>
            <w:tr w:rsidR="00DF5737" w:rsidRPr="00550B7B" w14:paraId="3EF70BBB" w14:textId="77777777" w:rsidTr="00B25249">
              <w:trPr>
                <w:trHeight w:val="255"/>
              </w:trPr>
              <w:tc>
                <w:tcPr>
                  <w:tcW w:w="2032" w:type="dxa"/>
                  <w:tcBorders>
                    <w:left w:val="single" w:sz="4" w:space="0" w:color="auto"/>
                    <w:bottom w:val="single" w:sz="4" w:space="0" w:color="auto"/>
                    <w:right w:val="single" w:sz="4" w:space="0" w:color="auto"/>
                  </w:tcBorders>
                  <w:noWrap/>
                  <w:vAlign w:val="bottom"/>
                  <w:hideMark/>
                </w:tcPr>
                <w:p w14:paraId="04B2C0BC" w14:textId="77777777" w:rsidR="00DF5737" w:rsidRPr="00FB39EA" w:rsidRDefault="00DF5737" w:rsidP="00DF5737">
                  <w:pPr>
                    <w:spacing w:after="60"/>
                    <w:rPr>
                      <w:rFonts w:cs="Arial"/>
                      <w:szCs w:val="20"/>
                      <w:lang w:eastAsia="en-AU"/>
                    </w:rPr>
                  </w:pPr>
                  <w:r w:rsidRPr="00FB39EA">
                    <w:rPr>
                      <w:rFonts w:cs="Arial"/>
                      <w:szCs w:val="20"/>
                      <w:lang w:eastAsia="en-AU"/>
                    </w:rPr>
                    <w:t>Mossman Gorge</w:t>
                  </w:r>
                </w:p>
              </w:tc>
              <w:tc>
                <w:tcPr>
                  <w:tcW w:w="766" w:type="dxa"/>
                  <w:tcBorders>
                    <w:bottom w:val="single" w:sz="4" w:space="0" w:color="auto"/>
                    <w:right w:val="single" w:sz="4" w:space="0" w:color="auto"/>
                  </w:tcBorders>
                </w:tcPr>
                <w:p w14:paraId="58989415" w14:textId="52A23AFE" w:rsidR="00DF5737" w:rsidRPr="00DF5737" w:rsidRDefault="00DF5737" w:rsidP="00DF5737">
                  <w:pPr>
                    <w:spacing w:after="60"/>
                    <w:jc w:val="right"/>
                    <w:rPr>
                      <w:rFonts w:cs="Arial"/>
                      <w:szCs w:val="20"/>
                      <w:lang w:eastAsia="en-AU"/>
                    </w:rPr>
                  </w:pPr>
                  <w:r w:rsidRPr="00DF5737">
                    <w:rPr>
                      <w:rFonts w:cs="Arial"/>
                      <w:szCs w:val="20"/>
                    </w:rPr>
                    <w:t>11</w:t>
                  </w:r>
                </w:p>
              </w:tc>
              <w:tc>
                <w:tcPr>
                  <w:tcW w:w="767" w:type="dxa"/>
                  <w:tcBorders>
                    <w:bottom w:val="single" w:sz="4" w:space="0" w:color="auto"/>
                    <w:right w:val="single" w:sz="4" w:space="0" w:color="auto"/>
                  </w:tcBorders>
                </w:tcPr>
                <w:p w14:paraId="7075D4C6" w14:textId="34BE0435" w:rsidR="00DF5737" w:rsidRPr="00DF5737" w:rsidRDefault="00DF5737" w:rsidP="00DF5737">
                  <w:pPr>
                    <w:spacing w:after="60"/>
                    <w:jc w:val="right"/>
                    <w:rPr>
                      <w:rFonts w:cs="Arial"/>
                      <w:szCs w:val="20"/>
                      <w:lang w:eastAsia="en-AU"/>
                    </w:rPr>
                  </w:pPr>
                  <w:r w:rsidRPr="00DF5737">
                    <w:rPr>
                      <w:rFonts w:cs="Arial"/>
                      <w:szCs w:val="20"/>
                    </w:rPr>
                    <w:t>4</w:t>
                  </w:r>
                </w:p>
              </w:tc>
              <w:tc>
                <w:tcPr>
                  <w:tcW w:w="766" w:type="dxa"/>
                  <w:tcBorders>
                    <w:bottom w:val="single" w:sz="4" w:space="0" w:color="auto"/>
                    <w:right w:val="single" w:sz="4" w:space="0" w:color="auto"/>
                  </w:tcBorders>
                </w:tcPr>
                <w:p w14:paraId="7370A663" w14:textId="78B4283D" w:rsidR="00DF5737" w:rsidRPr="00DF5737" w:rsidRDefault="00DF5737" w:rsidP="00DF5737">
                  <w:pPr>
                    <w:spacing w:after="60"/>
                    <w:jc w:val="right"/>
                    <w:rPr>
                      <w:rFonts w:cs="Arial"/>
                      <w:szCs w:val="20"/>
                      <w:lang w:eastAsia="en-AU"/>
                    </w:rPr>
                  </w:pPr>
                  <w:r w:rsidRPr="00DF5737">
                    <w:rPr>
                      <w:rFonts w:cs="Arial"/>
                      <w:szCs w:val="20"/>
                    </w:rPr>
                    <w:t>6</w:t>
                  </w:r>
                </w:p>
              </w:tc>
              <w:tc>
                <w:tcPr>
                  <w:tcW w:w="767" w:type="dxa"/>
                  <w:tcBorders>
                    <w:bottom w:val="single" w:sz="4" w:space="0" w:color="auto"/>
                    <w:right w:val="single" w:sz="4" w:space="0" w:color="auto"/>
                  </w:tcBorders>
                </w:tcPr>
                <w:p w14:paraId="43AC2AE9" w14:textId="327894D6" w:rsidR="00DF5737" w:rsidRPr="00DF5737" w:rsidRDefault="00DF5737" w:rsidP="00DF5737">
                  <w:pPr>
                    <w:spacing w:after="60"/>
                    <w:jc w:val="right"/>
                    <w:rPr>
                      <w:rFonts w:cs="Arial"/>
                      <w:szCs w:val="20"/>
                      <w:lang w:eastAsia="en-AU"/>
                    </w:rPr>
                  </w:pPr>
                  <w:r w:rsidRPr="00DF5737">
                    <w:rPr>
                      <w:rFonts w:cs="Arial"/>
                      <w:szCs w:val="20"/>
                    </w:rPr>
                    <w:t>10</w:t>
                  </w:r>
                </w:p>
              </w:tc>
            </w:tr>
            <w:tr w:rsidR="00DF5737" w:rsidRPr="00550B7B" w14:paraId="5D4FF52A" w14:textId="77777777" w:rsidTr="00B25249">
              <w:trPr>
                <w:trHeight w:val="255"/>
              </w:trPr>
              <w:tc>
                <w:tcPr>
                  <w:tcW w:w="2032" w:type="dxa"/>
                  <w:tcBorders>
                    <w:left w:val="single" w:sz="4" w:space="0" w:color="auto"/>
                    <w:bottom w:val="single" w:sz="4" w:space="0" w:color="auto"/>
                    <w:right w:val="single" w:sz="4" w:space="0" w:color="auto"/>
                  </w:tcBorders>
                  <w:noWrap/>
                  <w:vAlign w:val="bottom"/>
                  <w:hideMark/>
                </w:tcPr>
                <w:p w14:paraId="2689CBAB" w14:textId="77777777" w:rsidR="00DF5737" w:rsidRPr="00FB39EA" w:rsidRDefault="00DF5737" w:rsidP="00DF5737">
                  <w:pPr>
                    <w:spacing w:after="60"/>
                    <w:rPr>
                      <w:rFonts w:cs="Arial"/>
                      <w:b/>
                      <w:bCs/>
                      <w:szCs w:val="20"/>
                      <w:lang w:eastAsia="en-AU"/>
                    </w:rPr>
                  </w:pPr>
                  <w:r w:rsidRPr="00FB39EA">
                    <w:rPr>
                      <w:rFonts w:cs="Arial"/>
                      <w:b/>
                      <w:bCs/>
                      <w:szCs w:val="20"/>
                      <w:lang w:eastAsia="en-AU"/>
                    </w:rPr>
                    <w:t>TOTAL</w:t>
                  </w:r>
                </w:p>
              </w:tc>
              <w:tc>
                <w:tcPr>
                  <w:tcW w:w="766" w:type="dxa"/>
                  <w:tcBorders>
                    <w:bottom w:val="single" w:sz="4" w:space="0" w:color="auto"/>
                    <w:right w:val="single" w:sz="4" w:space="0" w:color="auto"/>
                  </w:tcBorders>
                  <w:noWrap/>
                </w:tcPr>
                <w:p w14:paraId="0F572495" w14:textId="56F2A624" w:rsidR="00DF5737" w:rsidRPr="00DF5737" w:rsidRDefault="00DF5737" w:rsidP="00DF5737">
                  <w:pPr>
                    <w:spacing w:after="60"/>
                    <w:jc w:val="right"/>
                    <w:rPr>
                      <w:rFonts w:cs="Arial"/>
                      <w:b/>
                      <w:bCs/>
                      <w:szCs w:val="20"/>
                      <w:lang w:eastAsia="en-AU"/>
                    </w:rPr>
                  </w:pPr>
                  <w:r w:rsidRPr="00DF5737">
                    <w:rPr>
                      <w:rFonts w:cs="Arial"/>
                      <w:b/>
                      <w:bCs/>
                      <w:szCs w:val="20"/>
                    </w:rPr>
                    <w:t>93</w:t>
                  </w:r>
                </w:p>
              </w:tc>
              <w:tc>
                <w:tcPr>
                  <w:tcW w:w="767" w:type="dxa"/>
                  <w:tcBorders>
                    <w:bottom w:val="single" w:sz="4" w:space="0" w:color="auto"/>
                    <w:right w:val="single" w:sz="4" w:space="0" w:color="auto"/>
                  </w:tcBorders>
                  <w:noWrap/>
                </w:tcPr>
                <w:p w14:paraId="1D232A38" w14:textId="35DC8919" w:rsidR="00DF5737" w:rsidRPr="00DF5737" w:rsidRDefault="00DF5737" w:rsidP="00DF5737">
                  <w:pPr>
                    <w:spacing w:after="60"/>
                    <w:jc w:val="right"/>
                    <w:rPr>
                      <w:rFonts w:cs="Arial"/>
                      <w:b/>
                      <w:bCs/>
                      <w:szCs w:val="20"/>
                      <w:lang w:eastAsia="en-AU"/>
                    </w:rPr>
                  </w:pPr>
                  <w:r w:rsidRPr="00DF5737">
                    <w:rPr>
                      <w:rFonts w:cs="Arial"/>
                      <w:b/>
                      <w:bCs/>
                      <w:szCs w:val="20"/>
                    </w:rPr>
                    <w:t>61</w:t>
                  </w:r>
                </w:p>
              </w:tc>
              <w:tc>
                <w:tcPr>
                  <w:tcW w:w="766" w:type="dxa"/>
                  <w:tcBorders>
                    <w:bottom w:val="single" w:sz="4" w:space="0" w:color="auto"/>
                    <w:right w:val="single" w:sz="4" w:space="0" w:color="auto"/>
                  </w:tcBorders>
                  <w:noWrap/>
                </w:tcPr>
                <w:p w14:paraId="691761C2" w14:textId="68844BA3" w:rsidR="00DF5737" w:rsidRPr="00DF5737" w:rsidRDefault="00DF5737" w:rsidP="00DF5737">
                  <w:pPr>
                    <w:spacing w:after="60"/>
                    <w:jc w:val="right"/>
                    <w:rPr>
                      <w:rFonts w:cs="Arial"/>
                      <w:b/>
                      <w:bCs/>
                      <w:szCs w:val="20"/>
                      <w:lang w:eastAsia="en-AU"/>
                    </w:rPr>
                  </w:pPr>
                  <w:r w:rsidRPr="00DF5737">
                    <w:rPr>
                      <w:rFonts w:cs="Arial"/>
                      <w:b/>
                      <w:bCs/>
                      <w:szCs w:val="20"/>
                    </w:rPr>
                    <w:t>59</w:t>
                  </w:r>
                </w:p>
              </w:tc>
              <w:tc>
                <w:tcPr>
                  <w:tcW w:w="767" w:type="dxa"/>
                  <w:tcBorders>
                    <w:bottom w:val="single" w:sz="4" w:space="0" w:color="auto"/>
                    <w:right w:val="single" w:sz="4" w:space="0" w:color="auto"/>
                  </w:tcBorders>
                  <w:noWrap/>
                </w:tcPr>
                <w:p w14:paraId="410E5141" w14:textId="365697F6" w:rsidR="00DF5737" w:rsidRPr="00DF5737" w:rsidRDefault="00DF5737" w:rsidP="00DF5737">
                  <w:pPr>
                    <w:spacing w:after="60"/>
                    <w:jc w:val="right"/>
                    <w:rPr>
                      <w:rFonts w:cs="Arial"/>
                      <w:b/>
                      <w:bCs/>
                      <w:szCs w:val="20"/>
                      <w:lang w:eastAsia="en-AU"/>
                    </w:rPr>
                  </w:pPr>
                  <w:r w:rsidRPr="00DF5737">
                    <w:rPr>
                      <w:rFonts w:cs="Arial"/>
                      <w:b/>
                      <w:bCs/>
                      <w:szCs w:val="20"/>
                    </w:rPr>
                    <w:t>82</w:t>
                  </w:r>
                </w:p>
              </w:tc>
            </w:tr>
          </w:tbl>
          <w:p w14:paraId="63614E41" w14:textId="77777777" w:rsidR="00A65158" w:rsidRDefault="00A65158" w:rsidP="00A90858">
            <w:pPr>
              <w:widowControl w:val="0"/>
              <w:autoSpaceDE w:val="0"/>
              <w:autoSpaceDN w:val="0"/>
              <w:adjustRightInd w:val="0"/>
              <w:ind w:left="720" w:hanging="720"/>
              <w:rPr>
                <w:rFonts w:ascii="Helvetica" w:hAnsi="Helvetica" w:cs="Helvetica"/>
                <w:b/>
                <w:bCs/>
                <w:sz w:val="17"/>
                <w:szCs w:val="17"/>
                <w:lang w:val="en-US"/>
              </w:rPr>
            </w:pPr>
          </w:p>
          <w:p w14:paraId="41DC5662" w14:textId="146B391B" w:rsidR="00B14E5E" w:rsidRDefault="00B14E5E" w:rsidP="00A90858">
            <w:pPr>
              <w:widowControl w:val="0"/>
              <w:autoSpaceDE w:val="0"/>
              <w:autoSpaceDN w:val="0"/>
              <w:adjustRightInd w:val="0"/>
              <w:ind w:left="720" w:hanging="720"/>
              <w:rPr>
                <w:rFonts w:ascii="Helvetica" w:hAnsi="Helvetica" w:cs="Helvetica"/>
                <w:b/>
                <w:bCs/>
                <w:sz w:val="17"/>
                <w:szCs w:val="17"/>
                <w:lang w:val="en-US"/>
              </w:rPr>
            </w:pPr>
            <w:r w:rsidRPr="00A72285">
              <w:rPr>
                <w:rFonts w:ascii="Helvetica" w:hAnsi="Helvetica" w:cs="Helvetica"/>
                <w:b/>
                <w:bCs/>
                <w:sz w:val="17"/>
                <w:szCs w:val="17"/>
                <w:lang w:val="en-US"/>
              </w:rPr>
              <w:t xml:space="preserve">Table </w:t>
            </w:r>
            <w:r w:rsidR="00A72285" w:rsidRPr="00A72285">
              <w:rPr>
                <w:rFonts w:ascii="Helvetica" w:hAnsi="Helvetica" w:cs="Helvetica"/>
                <w:b/>
                <w:bCs/>
                <w:sz w:val="17"/>
                <w:szCs w:val="17"/>
                <w:lang w:val="en-US"/>
              </w:rPr>
              <w:t>12</w:t>
            </w:r>
            <w:r w:rsidRPr="00A72285">
              <w:rPr>
                <w:rFonts w:ascii="Helvetica" w:hAnsi="Helvetica" w:cs="Helvetica"/>
                <w:b/>
                <w:bCs/>
                <w:sz w:val="17"/>
                <w:szCs w:val="17"/>
                <w:lang w:val="en-US"/>
              </w:rPr>
              <w:t>: Number</w:t>
            </w:r>
            <w:r w:rsidRPr="005D104F">
              <w:rPr>
                <w:rFonts w:ascii="Helvetica" w:hAnsi="Helvetica" w:cs="Helvetica"/>
                <w:b/>
                <w:bCs/>
                <w:sz w:val="17"/>
                <w:szCs w:val="17"/>
                <w:lang w:val="en-US"/>
              </w:rPr>
              <w:t xml:space="preserve"> of conferences held in relation to domestic violence notices (breaches and orders) per community</w:t>
            </w:r>
            <w:r w:rsidRPr="005D104F">
              <w:rPr>
                <w:rFonts w:ascii="Helvetica" w:hAnsi="Helvetica" w:cs="Helvetica"/>
                <w:b/>
                <w:bCs/>
                <w:sz w:val="17"/>
                <w:szCs w:val="17"/>
                <w:lang w:val="en-US"/>
              </w:rPr>
              <w:br/>
              <w:t>1 July 201</w:t>
            </w:r>
            <w:r>
              <w:rPr>
                <w:rFonts w:ascii="Helvetica" w:hAnsi="Helvetica" w:cs="Helvetica"/>
                <w:b/>
                <w:bCs/>
                <w:sz w:val="17"/>
                <w:szCs w:val="17"/>
                <w:lang w:val="en-US"/>
              </w:rPr>
              <w:t>8</w:t>
            </w:r>
            <w:r w:rsidRPr="005D104F">
              <w:rPr>
                <w:rFonts w:ascii="Helvetica" w:hAnsi="Helvetica" w:cs="Helvetica"/>
                <w:b/>
                <w:bCs/>
                <w:sz w:val="17"/>
                <w:szCs w:val="17"/>
                <w:lang w:val="en-US"/>
              </w:rPr>
              <w:t xml:space="preserve"> to 30 June 201</w:t>
            </w:r>
            <w:r>
              <w:rPr>
                <w:rFonts w:ascii="Helvetica" w:hAnsi="Helvetica" w:cs="Helvetica"/>
                <w:b/>
                <w:bCs/>
                <w:sz w:val="17"/>
                <w:szCs w:val="17"/>
                <w:lang w:val="en-US"/>
              </w:rPr>
              <w:t>9</w:t>
            </w:r>
            <w:r w:rsidRPr="005D104F">
              <w:rPr>
                <w:rFonts w:ascii="Helvetica" w:hAnsi="Helvetica" w:cs="Helvetica"/>
                <w:b/>
                <w:bCs/>
                <w:sz w:val="17"/>
                <w:szCs w:val="17"/>
                <w:lang w:val="en-US"/>
              </w:rPr>
              <w:t>.</w:t>
            </w:r>
          </w:p>
          <w:tbl>
            <w:tblPr>
              <w:tblStyle w:val="TableGrid"/>
              <w:tblW w:w="0" w:type="auto"/>
              <w:tblLayout w:type="fixed"/>
              <w:tblLook w:val="04A0" w:firstRow="1" w:lastRow="0" w:firstColumn="1" w:lastColumn="0" w:noHBand="0" w:noVBand="1"/>
            </w:tblPr>
            <w:tblGrid>
              <w:gridCol w:w="1719"/>
              <w:gridCol w:w="717"/>
              <w:gridCol w:w="718"/>
              <w:gridCol w:w="718"/>
              <w:gridCol w:w="718"/>
              <w:gridCol w:w="718"/>
            </w:tblGrid>
            <w:tr w:rsidR="00B14E5E" w14:paraId="71B20B05" w14:textId="77777777" w:rsidTr="00A90858">
              <w:tc>
                <w:tcPr>
                  <w:tcW w:w="1719" w:type="dxa"/>
                  <w:tcBorders>
                    <w:top w:val="single" w:sz="4" w:space="0" w:color="auto"/>
                    <w:left w:val="single" w:sz="4" w:space="0" w:color="auto"/>
                    <w:bottom w:val="single" w:sz="4" w:space="0" w:color="auto"/>
                    <w:right w:val="single" w:sz="4" w:space="0" w:color="auto"/>
                  </w:tcBorders>
                  <w:hideMark/>
                </w:tcPr>
                <w:p w14:paraId="3CEAC3EB" w14:textId="77777777" w:rsidR="00B14E5E" w:rsidRDefault="00B14E5E" w:rsidP="00A90858">
                  <w:pPr>
                    <w:rPr>
                      <w:b/>
                    </w:rPr>
                  </w:pPr>
                  <w:r>
                    <w:rPr>
                      <w:b/>
                    </w:rPr>
                    <w:t>Number of DV conferences</w:t>
                  </w:r>
                </w:p>
              </w:tc>
              <w:tc>
                <w:tcPr>
                  <w:tcW w:w="717" w:type="dxa"/>
                  <w:tcBorders>
                    <w:top w:val="single" w:sz="4" w:space="0" w:color="auto"/>
                    <w:left w:val="single" w:sz="4" w:space="0" w:color="auto"/>
                    <w:bottom w:val="single" w:sz="4" w:space="0" w:color="auto"/>
                    <w:right w:val="single" w:sz="4" w:space="0" w:color="auto"/>
                  </w:tcBorders>
                  <w:hideMark/>
                </w:tcPr>
                <w:p w14:paraId="156AF1CE" w14:textId="77777777" w:rsidR="00B14E5E" w:rsidRDefault="00B14E5E" w:rsidP="00A90858">
                  <w:pPr>
                    <w:jc w:val="right"/>
                    <w:rPr>
                      <w:b/>
                    </w:rPr>
                  </w:pPr>
                  <w:r>
                    <w:rPr>
                      <w:b/>
                    </w:rPr>
                    <w:t>AU</w:t>
                  </w:r>
                </w:p>
              </w:tc>
              <w:tc>
                <w:tcPr>
                  <w:tcW w:w="718" w:type="dxa"/>
                  <w:tcBorders>
                    <w:top w:val="single" w:sz="4" w:space="0" w:color="auto"/>
                    <w:left w:val="single" w:sz="4" w:space="0" w:color="auto"/>
                    <w:bottom w:val="single" w:sz="4" w:space="0" w:color="auto"/>
                    <w:right w:val="single" w:sz="4" w:space="0" w:color="auto"/>
                  </w:tcBorders>
                  <w:hideMark/>
                </w:tcPr>
                <w:p w14:paraId="42CB20BC" w14:textId="77777777" w:rsidR="00B14E5E" w:rsidRDefault="00B14E5E" w:rsidP="00A90858">
                  <w:pPr>
                    <w:jc w:val="right"/>
                    <w:rPr>
                      <w:b/>
                    </w:rPr>
                  </w:pPr>
                  <w:r>
                    <w:rPr>
                      <w:b/>
                    </w:rPr>
                    <w:t>CO</w:t>
                  </w:r>
                </w:p>
              </w:tc>
              <w:tc>
                <w:tcPr>
                  <w:tcW w:w="718" w:type="dxa"/>
                  <w:tcBorders>
                    <w:top w:val="single" w:sz="4" w:space="0" w:color="auto"/>
                    <w:left w:val="single" w:sz="4" w:space="0" w:color="auto"/>
                    <w:bottom w:val="single" w:sz="4" w:space="0" w:color="auto"/>
                    <w:right w:val="single" w:sz="4" w:space="0" w:color="auto"/>
                  </w:tcBorders>
                  <w:hideMark/>
                </w:tcPr>
                <w:p w14:paraId="05B3AF48" w14:textId="77777777" w:rsidR="00B14E5E" w:rsidRDefault="00B14E5E" w:rsidP="00A90858">
                  <w:pPr>
                    <w:jc w:val="right"/>
                    <w:rPr>
                      <w:b/>
                    </w:rPr>
                  </w:pPr>
                  <w:r>
                    <w:rPr>
                      <w:b/>
                    </w:rPr>
                    <w:t>HV</w:t>
                  </w:r>
                </w:p>
              </w:tc>
              <w:tc>
                <w:tcPr>
                  <w:tcW w:w="718" w:type="dxa"/>
                  <w:tcBorders>
                    <w:top w:val="single" w:sz="4" w:space="0" w:color="auto"/>
                    <w:left w:val="single" w:sz="4" w:space="0" w:color="auto"/>
                    <w:bottom w:val="single" w:sz="4" w:space="0" w:color="auto"/>
                    <w:right w:val="single" w:sz="4" w:space="0" w:color="auto"/>
                  </w:tcBorders>
                  <w:hideMark/>
                </w:tcPr>
                <w:p w14:paraId="59580E9C" w14:textId="77777777" w:rsidR="00B14E5E" w:rsidRDefault="00B14E5E" w:rsidP="00A90858">
                  <w:pPr>
                    <w:jc w:val="right"/>
                    <w:rPr>
                      <w:b/>
                    </w:rPr>
                  </w:pPr>
                  <w:r>
                    <w:rPr>
                      <w:b/>
                    </w:rPr>
                    <w:t>MG</w:t>
                  </w:r>
                </w:p>
              </w:tc>
              <w:tc>
                <w:tcPr>
                  <w:tcW w:w="718" w:type="dxa"/>
                  <w:tcBorders>
                    <w:top w:val="single" w:sz="4" w:space="0" w:color="auto"/>
                    <w:left w:val="single" w:sz="4" w:space="0" w:color="auto"/>
                    <w:bottom w:val="single" w:sz="4" w:space="0" w:color="auto"/>
                    <w:right w:val="single" w:sz="4" w:space="0" w:color="auto"/>
                  </w:tcBorders>
                  <w:hideMark/>
                </w:tcPr>
                <w:p w14:paraId="22354C04" w14:textId="77777777" w:rsidR="00B14E5E" w:rsidRDefault="00B14E5E" w:rsidP="00A90858">
                  <w:pPr>
                    <w:jc w:val="right"/>
                    <w:rPr>
                      <w:b/>
                    </w:rPr>
                  </w:pPr>
                  <w:r>
                    <w:rPr>
                      <w:b/>
                    </w:rPr>
                    <w:t>Total</w:t>
                  </w:r>
                </w:p>
              </w:tc>
            </w:tr>
            <w:tr w:rsidR="00B14E5E" w14:paraId="5AAC55D9" w14:textId="77777777" w:rsidTr="00A90858">
              <w:trPr>
                <w:trHeight w:hRule="exact" w:val="839"/>
              </w:trPr>
              <w:tc>
                <w:tcPr>
                  <w:tcW w:w="1719" w:type="dxa"/>
                  <w:tcBorders>
                    <w:top w:val="single" w:sz="4" w:space="0" w:color="auto"/>
                    <w:left w:val="single" w:sz="4" w:space="0" w:color="auto"/>
                    <w:bottom w:val="single" w:sz="4" w:space="0" w:color="auto"/>
                    <w:right w:val="single" w:sz="4" w:space="0" w:color="auto"/>
                  </w:tcBorders>
                  <w:hideMark/>
                </w:tcPr>
                <w:p w14:paraId="565DA94A" w14:textId="77777777" w:rsidR="00B14E5E" w:rsidRDefault="00B14E5E" w:rsidP="00A90858">
                  <w:r>
                    <w:t>Relating to both a DVB and a DVO notice</w:t>
                  </w:r>
                </w:p>
              </w:tc>
              <w:tc>
                <w:tcPr>
                  <w:tcW w:w="717" w:type="dxa"/>
                  <w:tcBorders>
                    <w:top w:val="single" w:sz="4" w:space="0" w:color="auto"/>
                    <w:left w:val="single" w:sz="4" w:space="0" w:color="auto"/>
                    <w:bottom w:val="single" w:sz="4" w:space="0" w:color="auto"/>
                    <w:right w:val="single" w:sz="4" w:space="0" w:color="auto"/>
                  </w:tcBorders>
                  <w:vAlign w:val="bottom"/>
                  <w:hideMark/>
                </w:tcPr>
                <w:p w14:paraId="62345A11" w14:textId="77777777" w:rsidR="00B14E5E" w:rsidRPr="00073564" w:rsidRDefault="00B14E5E" w:rsidP="00A90858">
                  <w:pPr>
                    <w:jc w:val="right"/>
                    <w:rPr>
                      <w:rFonts w:cs="Arial"/>
                    </w:rPr>
                  </w:pPr>
                  <w:r w:rsidRPr="00073564">
                    <w:rPr>
                      <w:rFonts w:cs="Arial"/>
                    </w:rPr>
                    <w:t>9</w:t>
                  </w:r>
                </w:p>
              </w:tc>
              <w:tc>
                <w:tcPr>
                  <w:tcW w:w="718" w:type="dxa"/>
                  <w:tcBorders>
                    <w:top w:val="single" w:sz="4" w:space="0" w:color="auto"/>
                    <w:left w:val="single" w:sz="4" w:space="0" w:color="auto"/>
                    <w:bottom w:val="single" w:sz="4" w:space="0" w:color="auto"/>
                    <w:right w:val="single" w:sz="4" w:space="0" w:color="auto"/>
                  </w:tcBorders>
                  <w:vAlign w:val="bottom"/>
                  <w:hideMark/>
                </w:tcPr>
                <w:p w14:paraId="0D702462" w14:textId="77777777" w:rsidR="00B14E5E" w:rsidRPr="00073564" w:rsidRDefault="00B14E5E" w:rsidP="00A90858">
                  <w:pPr>
                    <w:jc w:val="right"/>
                    <w:rPr>
                      <w:rFonts w:cs="Arial"/>
                    </w:rPr>
                  </w:pPr>
                  <w:r w:rsidRPr="00073564">
                    <w:rPr>
                      <w:rFonts w:cs="Arial"/>
                    </w:rPr>
                    <w:t>0</w:t>
                  </w:r>
                </w:p>
              </w:tc>
              <w:tc>
                <w:tcPr>
                  <w:tcW w:w="718" w:type="dxa"/>
                  <w:tcBorders>
                    <w:top w:val="single" w:sz="4" w:space="0" w:color="auto"/>
                    <w:left w:val="single" w:sz="4" w:space="0" w:color="auto"/>
                    <w:bottom w:val="single" w:sz="4" w:space="0" w:color="auto"/>
                    <w:right w:val="single" w:sz="4" w:space="0" w:color="auto"/>
                  </w:tcBorders>
                  <w:vAlign w:val="bottom"/>
                  <w:hideMark/>
                </w:tcPr>
                <w:p w14:paraId="22306DCA" w14:textId="77777777" w:rsidR="00B14E5E" w:rsidRPr="00073564" w:rsidRDefault="00B14E5E" w:rsidP="00A90858">
                  <w:pPr>
                    <w:jc w:val="right"/>
                    <w:rPr>
                      <w:rFonts w:cs="Arial"/>
                    </w:rPr>
                  </w:pPr>
                  <w:r w:rsidRPr="00073564">
                    <w:rPr>
                      <w:rFonts w:cs="Arial"/>
                    </w:rPr>
                    <w:t>6</w:t>
                  </w:r>
                </w:p>
              </w:tc>
              <w:tc>
                <w:tcPr>
                  <w:tcW w:w="718" w:type="dxa"/>
                  <w:tcBorders>
                    <w:top w:val="single" w:sz="4" w:space="0" w:color="auto"/>
                    <w:left w:val="single" w:sz="4" w:space="0" w:color="auto"/>
                    <w:bottom w:val="single" w:sz="4" w:space="0" w:color="auto"/>
                    <w:right w:val="single" w:sz="4" w:space="0" w:color="auto"/>
                  </w:tcBorders>
                  <w:vAlign w:val="bottom"/>
                  <w:hideMark/>
                </w:tcPr>
                <w:p w14:paraId="36F09BFA" w14:textId="77777777" w:rsidR="00B14E5E" w:rsidRPr="00073564" w:rsidRDefault="00B14E5E" w:rsidP="00A90858">
                  <w:pPr>
                    <w:jc w:val="right"/>
                    <w:rPr>
                      <w:rFonts w:cs="Arial"/>
                    </w:rPr>
                  </w:pPr>
                  <w:r w:rsidRPr="00073564">
                    <w:rPr>
                      <w:rFonts w:cs="Arial"/>
                    </w:rPr>
                    <w:t>3</w:t>
                  </w:r>
                </w:p>
              </w:tc>
              <w:tc>
                <w:tcPr>
                  <w:tcW w:w="718" w:type="dxa"/>
                  <w:tcBorders>
                    <w:top w:val="single" w:sz="4" w:space="0" w:color="auto"/>
                    <w:left w:val="single" w:sz="4" w:space="0" w:color="auto"/>
                    <w:bottom w:val="single" w:sz="4" w:space="0" w:color="auto"/>
                    <w:right w:val="single" w:sz="4" w:space="0" w:color="auto"/>
                  </w:tcBorders>
                  <w:vAlign w:val="bottom"/>
                  <w:hideMark/>
                </w:tcPr>
                <w:p w14:paraId="479C8522" w14:textId="77777777" w:rsidR="00B14E5E" w:rsidRPr="00073564" w:rsidRDefault="00B14E5E" w:rsidP="00A90858">
                  <w:pPr>
                    <w:jc w:val="right"/>
                    <w:rPr>
                      <w:rFonts w:cs="Arial"/>
                      <w:b/>
                    </w:rPr>
                  </w:pPr>
                  <w:r w:rsidRPr="00073564">
                    <w:rPr>
                      <w:rFonts w:cs="Arial"/>
                      <w:b/>
                      <w:bCs/>
                    </w:rPr>
                    <w:t>18</w:t>
                  </w:r>
                </w:p>
              </w:tc>
            </w:tr>
            <w:tr w:rsidR="00B14E5E" w14:paraId="668FE126" w14:textId="77777777" w:rsidTr="00A90858">
              <w:trPr>
                <w:trHeight w:hRule="exact" w:val="567"/>
              </w:trPr>
              <w:tc>
                <w:tcPr>
                  <w:tcW w:w="1719" w:type="dxa"/>
                  <w:tcBorders>
                    <w:top w:val="single" w:sz="4" w:space="0" w:color="auto"/>
                    <w:left w:val="single" w:sz="4" w:space="0" w:color="auto"/>
                    <w:bottom w:val="single" w:sz="4" w:space="0" w:color="auto"/>
                    <w:right w:val="single" w:sz="4" w:space="0" w:color="auto"/>
                  </w:tcBorders>
                  <w:hideMark/>
                </w:tcPr>
                <w:p w14:paraId="20664046" w14:textId="77777777" w:rsidR="00B14E5E" w:rsidRDefault="00B14E5E" w:rsidP="00A90858">
                  <w:r>
                    <w:t>Relating to a DVB notice</w:t>
                  </w:r>
                </w:p>
              </w:tc>
              <w:tc>
                <w:tcPr>
                  <w:tcW w:w="717" w:type="dxa"/>
                  <w:tcBorders>
                    <w:top w:val="single" w:sz="4" w:space="0" w:color="auto"/>
                    <w:left w:val="single" w:sz="4" w:space="0" w:color="auto"/>
                    <w:bottom w:val="single" w:sz="4" w:space="0" w:color="auto"/>
                    <w:right w:val="single" w:sz="4" w:space="0" w:color="auto"/>
                  </w:tcBorders>
                  <w:vAlign w:val="bottom"/>
                  <w:hideMark/>
                </w:tcPr>
                <w:p w14:paraId="0DBC7A20" w14:textId="77777777" w:rsidR="00B14E5E" w:rsidRPr="00073564" w:rsidRDefault="00B14E5E" w:rsidP="00A90858">
                  <w:pPr>
                    <w:jc w:val="right"/>
                    <w:rPr>
                      <w:rFonts w:cs="Arial"/>
                    </w:rPr>
                  </w:pPr>
                  <w:r w:rsidRPr="00073564">
                    <w:rPr>
                      <w:rFonts w:cs="Arial"/>
                    </w:rPr>
                    <w:t>38</w:t>
                  </w:r>
                </w:p>
              </w:tc>
              <w:tc>
                <w:tcPr>
                  <w:tcW w:w="718" w:type="dxa"/>
                  <w:tcBorders>
                    <w:top w:val="single" w:sz="4" w:space="0" w:color="auto"/>
                    <w:left w:val="single" w:sz="4" w:space="0" w:color="auto"/>
                    <w:bottom w:val="single" w:sz="4" w:space="0" w:color="auto"/>
                    <w:right w:val="single" w:sz="4" w:space="0" w:color="auto"/>
                  </w:tcBorders>
                  <w:vAlign w:val="bottom"/>
                  <w:hideMark/>
                </w:tcPr>
                <w:p w14:paraId="12A5D60D" w14:textId="77777777" w:rsidR="00B14E5E" w:rsidRPr="00073564" w:rsidRDefault="00B14E5E" w:rsidP="00A90858">
                  <w:pPr>
                    <w:jc w:val="right"/>
                    <w:rPr>
                      <w:rFonts w:cs="Arial"/>
                    </w:rPr>
                  </w:pPr>
                  <w:r w:rsidRPr="00073564">
                    <w:rPr>
                      <w:rFonts w:cs="Arial"/>
                    </w:rPr>
                    <w:t>15</w:t>
                  </w:r>
                </w:p>
              </w:tc>
              <w:tc>
                <w:tcPr>
                  <w:tcW w:w="718" w:type="dxa"/>
                  <w:tcBorders>
                    <w:top w:val="single" w:sz="4" w:space="0" w:color="auto"/>
                    <w:left w:val="single" w:sz="4" w:space="0" w:color="auto"/>
                    <w:bottom w:val="single" w:sz="4" w:space="0" w:color="auto"/>
                    <w:right w:val="single" w:sz="4" w:space="0" w:color="auto"/>
                  </w:tcBorders>
                  <w:vAlign w:val="bottom"/>
                  <w:hideMark/>
                </w:tcPr>
                <w:p w14:paraId="7F115B94" w14:textId="77777777" w:rsidR="00B14E5E" w:rsidRPr="00073564" w:rsidRDefault="00B14E5E" w:rsidP="00A90858">
                  <w:pPr>
                    <w:jc w:val="right"/>
                    <w:rPr>
                      <w:rFonts w:cs="Arial"/>
                    </w:rPr>
                  </w:pPr>
                  <w:r w:rsidRPr="00073564">
                    <w:rPr>
                      <w:rFonts w:cs="Arial"/>
                    </w:rPr>
                    <w:t>17</w:t>
                  </w:r>
                </w:p>
              </w:tc>
              <w:tc>
                <w:tcPr>
                  <w:tcW w:w="718" w:type="dxa"/>
                  <w:tcBorders>
                    <w:top w:val="single" w:sz="4" w:space="0" w:color="auto"/>
                    <w:left w:val="single" w:sz="4" w:space="0" w:color="auto"/>
                    <w:bottom w:val="single" w:sz="4" w:space="0" w:color="auto"/>
                    <w:right w:val="single" w:sz="4" w:space="0" w:color="auto"/>
                  </w:tcBorders>
                  <w:vAlign w:val="bottom"/>
                  <w:hideMark/>
                </w:tcPr>
                <w:p w14:paraId="57F33912" w14:textId="77777777" w:rsidR="00B14E5E" w:rsidRPr="00073564" w:rsidRDefault="00B14E5E" w:rsidP="00A90858">
                  <w:pPr>
                    <w:jc w:val="right"/>
                    <w:rPr>
                      <w:rFonts w:cs="Arial"/>
                    </w:rPr>
                  </w:pPr>
                  <w:r w:rsidRPr="00073564">
                    <w:rPr>
                      <w:rFonts w:cs="Arial"/>
                    </w:rPr>
                    <w:t>9</w:t>
                  </w:r>
                </w:p>
              </w:tc>
              <w:tc>
                <w:tcPr>
                  <w:tcW w:w="718" w:type="dxa"/>
                  <w:tcBorders>
                    <w:top w:val="single" w:sz="4" w:space="0" w:color="auto"/>
                    <w:left w:val="single" w:sz="4" w:space="0" w:color="auto"/>
                    <w:bottom w:val="single" w:sz="4" w:space="0" w:color="auto"/>
                    <w:right w:val="single" w:sz="4" w:space="0" w:color="auto"/>
                  </w:tcBorders>
                  <w:vAlign w:val="bottom"/>
                  <w:hideMark/>
                </w:tcPr>
                <w:p w14:paraId="28E14E91" w14:textId="77777777" w:rsidR="00B14E5E" w:rsidRPr="00073564" w:rsidRDefault="00B14E5E" w:rsidP="00A90858">
                  <w:pPr>
                    <w:jc w:val="right"/>
                    <w:rPr>
                      <w:rFonts w:cs="Arial"/>
                      <w:b/>
                    </w:rPr>
                  </w:pPr>
                  <w:r w:rsidRPr="00073564">
                    <w:rPr>
                      <w:rFonts w:cs="Arial"/>
                      <w:b/>
                      <w:bCs/>
                    </w:rPr>
                    <w:t>79</w:t>
                  </w:r>
                </w:p>
              </w:tc>
            </w:tr>
            <w:tr w:rsidR="00B14E5E" w14:paraId="6C7896B7" w14:textId="77777777" w:rsidTr="00A90858">
              <w:trPr>
                <w:trHeight w:hRule="exact" w:val="567"/>
              </w:trPr>
              <w:tc>
                <w:tcPr>
                  <w:tcW w:w="1719" w:type="dxa"/>
                  <w:tcBorders>
                    <w:top w:val="single" w:sz="4" w:space="0" w:color="auto"/>
                    <w:left w:val="single" w:sz="4" w:space="0" w:color="auto"/>
                    <w:bottom w:val="single" w:sz="4" w:space="0" w:color="auto"/>
                    <w:right w:val="single" w:sz="4" w:space="0" w:color="auto"/>
                  </w:tcBorders>
                  <w:hideMark/>
                </w:tcPr>
                <w:p w14:paraId="38BD4BCB" w14:textId="77777777" w:rsidR="00B14E5E" w:rsidRDefault="00B14E5E" w:rsidP="00A90858">
                  <w:r>
                    <w:t>Relation to a DVO notice</w:t>
                  </w:r>
                </w:p>
              </w:tc>
              <w:tc>
                <w:tcPr>
                  <w:tcW w:w="717" w:type="dxa"/>
                  <w:tcBorders>
                    <w:top w:val="single" w:sz="4" w:space="0" w:color="auto"/>
                    <w:left w:val="single" w:sz="4" w:space="0" w:color="auto"/>
                    <w:bottom w:val="single" w:sz="4" w:space="0" w:color="auto"/>
                    <w:right w:val="single" w:sz="4" w:space="0" w:color="auto"/>
                  </w:tcBorders>
                  <w:vAlign w:val="bottom"/>
                  <w:hideMark/>
                </w:tcPr>
                <w:p w14:paraId="51116E2E" w14:textId="77777777" w:rsidR="00B14E5E" w:rsidRPr="00073564" w:rsidRDefault="00B14E5E" w:rsidP="00A90858">
                  <w:pPr>
                    <w:jc w:val="right"/>
                    <w:rPr>
                      <w:rFonts w:cs="Arial"/>
                    </w:rPr>
                  </w:pPr>
                  <w:r w:rsidRPr="00073564">
                    <w:rPr>
                      <w:rFonts w:cs="Arial"/>
                    </w:rPr>
                    <w:t>119</w:t>
                  </w:r>
                </w:p>
              </w:tc>
              <w:tc>
                <w:tcPr>
                  <w:tcW w:w="718" w:type="dxa"/>
                  <w:tcBorders>
                    <w:top w:val="single" w:sz="4" w:space="0" w:color="auto"/>
                    <w:left w:val="single" w:sz="4" w:space="0" w:color="auto"/>
                    <w:bottom w:val="single" w:sz="4" w:space="0" w:color="auto"/>
                    <w:right w:val="single" w:sz="4" w:space="0" w:color="auto"/>
                  </w:tcBorders>
                  <w:vAlign w:val="bottom"/>
                  <w:hideMark/>
                </w:tcPr>
                <w:p w14:paraId="24BCC6D6" w14:textId="77777777" w:rsidR="00B14E5E" w:rsidRPr="00073564" w:rsidRDefault="00B14E5E" w:rsidP="00A90858">
                  <w:pPr>
                    <w:jc w:val="right"/>
                    <w:rPr>
                      <w:rFonts w:cs="Arial"/>
                    </w:rPr>
                  </w:pPr>
                  <w:r w:rsidRPr="00073564">
                    <w:rPr>
                      <w:rFonts w:cs="Arial"/>
                    </w:rPr>
                    <w:t>17</w:t>
                  </w:r>
                </w:p>
              </w:tc>
              <w:tc>
                <w:tcPr>
                  <w:tcW w:w="718" w:type="dxa"/>
                  <w:tcBorders>
                    <w:top w:val="single" w:sz="4" w:space="0" w:color="auto"/>
                    <w:left w:val="single" w:sz="4" w:space="0" w:color="auto"/>
                    <w:bottom w:val="single" w:sz="4" w:space="0" w:color="auto"/>
                    <w:right w:val="single" w:sz="4" w:space="0" w:color="auto"/>
                  </w:tcBorders>
                  <w:vAlign w:val="bottom"/>
                  <w:hideMark/>
                </w:tcPr>
                <w:p w14:paraId="7924B756" w14:textId="77777777" w:rsidR="00B14E5E" w:rsidRPr="00073564" w:rsidRDefault="00B14E5E" w:rsidP="00A90858">
                  <w:pPr>
                    <w:jc w:val="right"/>
                    <w:rPr>
                      <w:rFonts w:cs="Arial"/>
                    </w:rPr>
                  </w:pPr>
                  <w:r w:rsidRPr="00073564">
                    <w:rPr>
                      <w:rFonts w:cs="Arial"/>
                    </w:rPr>
                    <w:t>43</w:t>
                  </w:r>
                </w:p>
              </w:tc>
              <w:tc>
                <w:tcPr>
                  <w:tcW w:w="718" w:type="dxa"/>
                  <w:tcBorders>
                    <w:top w:val="single" w:sz="4" w:space="0" w:color="auto"/>
                    <w:left w:val="single" w:sz="4" w:space="0" w:color="auto"/>
                    <w:bottom w:val="single" w:sz="4" w:space="0" w:color="auto"/>
                    <w:right w:val="single" w:sz="4" w:space="0" w:color="auto"/>
                  </w:tcBorders>
                  <w:vAlign w:val="bottom"/>
                  <w:hideMark/>
                </w:tcPr>
                <w:p w14:paraId="109A55E8" w14:textId="77777777" w:rsidR="00B14E5E" w:rsidRPr="00073564" w:rsidRDefault="00B14E5E" w:rsidP="00A90858">
                  <w:pPr>
                    <w:jc w:val="right"/>
                    <w:rPr>
                      <w:rFonts w:cs="Arial"/>
                    </w:rPr>
                  </w:pPr>
                  <w:r w:rsidRPr="00073564">
                    <w:rPr>
                      <w:rFonts w:cs="Arial"/>
                    </w:rPr>
                    <w:t>19</w:t>
                  </w:r>
                </w:p>
              </w:tc>
              <w:tc>
                <w:tcPr>
                  <w:tcW w:w="718" w:type="dxa"/>
                  <w:tcBorders>
                    <w:top w:val="single" w:sz="4" w:space="0" w:color="auto"/>
                    <w:left w:val="single" w:sz="4" w:space="0" w:color="auto"/>
                    <w:bottom w:val="single" w:sz="4" w:space="0" w:color="auto"/>
                    <w:right w:val="single" w:sz="4" w:space="0" w:color="auto"/>
                  </w:tcBorders>
                  <w:vAlign w:val="bottom"/>
                  <w:hideMark/>
                </w:tcPr>
                <w:p w14:paraId="0BDE5BE8" w14:textId="77777777" w:rsidR="00B14E5E" w:rsidRPr="00073564" w:rsidRDefault="00B14E5E" w:rsidP="00A90858">
                  <w:pPr>
                    <w:jc w:val="right"/>
                    <w:rPr>
                      <w:rFonts w:cs="Arial"/>
                      <w:b/>
                    </w:rPr>
                  </w:pPr>
                  <w:r w:rsidRPr="00073564">
                    <w:rPr>
                      <w:rFonts w:cs="Arial"/>
                      <w:b/>
                      <w:bCs/>
                    </w:rPr>
                    <w:t>198</w:t>
                  </w:r>
                </w:p>
              </w:tc>
            </w:tr>
            <w:tr w:rsidR="00B14E5E" w14:paraId="20DA3CD9" w14:textId="77777777" w:rsidTr="00A90858">
              <w:trPr>
                <w:trHeight w:hRule="exact" w:val="280"/>
              </w:trPr>
              <w:tc>
                <w:tcPr>
                  <w:tcW w:w="1719" w:type="dxa"/>
                  <w:tcBorders>
                    <w:top w:val="single" w:sz="4" w:space="0" w:color="auto"/>
                    <w:left w:val="single" w:sz="4" w:space="0" w:color="auto"/>
                    <w:bottom w:val="single" w:sz="4" w:space="0" w:color="auto"/>
                    <w:right w:val="single" w:sz="4" w:space="0" w:color="auto"/>
                  </w:tcBorders>
                  <w:hideMark/>
                </w:tcPr>
                <w:p w14:paraId="693AD69A" w14:textId="77777777" w:rsidR="00B14E5E" w:rsidRDefault="00B14E5E" w:rsidP="00A90858">
                  <w:pPr>
                    <w:rPr>
                      <w:b/>
                    </w:rPr>
                  </w:pPr>
                  <w:r>
                    <w:rPr>
                      <w:b/>
                    </w:rPr>
                    <w:t>Total</w:t>
                  </w:r>
                </w:p>
              </w:tc>
              <w:tc>
                <w:tcPr>
                  <w:tcW w:w="717" w:type="dxa"/>
                  <w:tcBorders>
                    <w:top w:val="single" w:sz="4" w:space="0" w:color="auto"/>
                    <w:left w:val="single" w:sz="4" w:space="0" w:color="auto"/>
                    <w:bottom w:val="single" w:sz="4" w:space="0" w:color="auto"/>
                    <w:right w:val="single" w:sz="4" w:space="0" w:color="auto"/>
                  </w:tcBorders>
                  <w:vAlign w:val="bottom"/>
                  <w:hideMark/>
                </w:tcPr>
                <w:p w14:paraId="1147AFFC" w14:textId="77777777" w:rsidR="00B14E5E" w:rsidRPr="00073564" w:rsidRDefault="00B14E5E" w:rsidP="00A90858">
                  <w:pPr>
                    <w:jc w:val="right"/>
                    <w:rPr>
                      <w:rFonts w:cs="Arial"/>
                      <w:b/>
                    </w:rPr>
                  </w:pPr>
                  <w:r w:rsidRPr="00073564">
                    <w:rPr>
                      <w:rFonts w:cs="Arial"/>
                      <w:b/>
                      <w:bCs/>
                    </w:rPr>
                    <w:t>166</w:t>
                  </w:r>
                </w:p>
              </w:tc>
              <w:tc>
                <w:tcPr>
                  <w:tcW w:w="718" w:type="dxa"/>
                  <w:tcBorders>
                    <w:top w:val="single" w:sz="4" w:space="0" w:color="auto"/>
                    <w:left w:val="single" w:sz="4" w:space="0" w:color="auto"/>
                    <w:bottom w:val="single" w:sz="4" w:space="0" w:color="auto"/>
                    <w:right w:val="single" w:sz="4" w:space="0" w:color="auto"/>
                  </w:tcBorders>
                  <w:vAlign w:val="bottom"/>
                  <w:hideMark/>
                </w:tcPr>
                <w:p w14:paraId="06370874" w14:textId="77777777" w:rsidR="00B14E5E" w:rsidRPr="00073564" w:rsidRDefault="00B14E5E" w:rsidP="00A90858">
                  <w:pPr>
                    <w:jc w:val="right"/>
                    <w:rPr>
                      <w:rFonts w:cs="Arial"/>
                      <w:b/>
                    </w:rPr>
                  </w:pPr>
                  <w:r w:rsidRPr="00073564">
                    <w:rPr>
                      <w:rFonts w:cs="Arial"/>
                      <w:b/>
                      <w:bCs/>
                    </w:rPr>
                    <w:t>32</w:t>
                  </w:r>
                </w:p>
              </w:tc>
              <w:tc>
                <w:tcPr>
                  <w:tcW w:w="718" w:type="dxa"/>
                  <w:tcBorders>
                    <w:top w:val="single" w:sz="4" w:space="0" w:color="auto"/>
                    <w:left w:val="single" w:sz="4" w:space="0" w:color="auto"/>
                    <w:bottom w:val="single" w:sz="4" w:space="0" w:color="auto"/>
                    <w:right w:val="single" w:sz="4" w:space="0" w:color="auto"/>
                  </w:tcBorders>
                  <w:vAlign w:val="bottom"/>
                  <w:hideMark/>
                </w:tcPr>
                <w:p w14:paraId="084BFC92" w14:textId="77777777" w:rsidR="00B14E5E" w:rsidRPr="00073564" w:rsidRDefault="00B14E5E" w:rsidP="00A90858">
                  <w:pPr>
                    <w:jc w:val="right"/>
                    <w:rPr>
                      <w:rFonts w:cs="Arial"/>
                      <w:b/>
                    </w:rPr>
                  </w:pPr>
                  <w:r w:rsidRPr="00073564">
                    <w:rPr>
                      <w:rFonts w:cs="Arial"/>
                      <w:b/>
                      <w:bCs/>
                    </w:rPr>
                    <w:t>66</w:t>
                  </w:r>
                </w:p>
              </w:tc>
              <w:tc>
                <w:tcPr>
                  <w:tcW w:w="718" w:type="dxa"/>
                  <w:tcBorders>
                    <w:top w:val="single" w:sz="4" w:space="0" w:color="auto"/>
                    <w:left w:val="single" w:sz="4" w:space="0" w:color="auto"/>
                    <w:bottom w:val="single" w:sz="4" w:space="0" w:color="auto"/>
                    <w:right w:val="single" w:sz="4" w:space="0" w:color="auto"/>
                  </w:tcBorders>
                  <w:vAlign w:val="bottom"/>
                  <w:hideMark/>
                </w:tcPr>
                <w:p w14:paraId="662529E1" w14:textId="77777777" w:rsidR="00B14E5E" w:rsidRPr="00073564" w:rsidRDefault="00B14E5E" w:rsidP="00A90858">
                  <w:pPr>
                    <w:jc w:val="right"/>
                    <w:rPr>
                      <w:rFonts w:cs="Arial"/>
                      <w:b/>
                    </w:rPr>
                  </w:pPr>
                  <w:r w:rsidRPr="00073564">
                    <w:rPr>
                      <w:rFonts w:cs="Arial"/>
                      <w:b/>
                      <w:bCs/>
                    </w:rPr>
                    <w:t>31</w:t>
                  </w:r>
                </w:p>
              </w:tc>
              <w:tc>
                <w:tcPr>
                  <w:tcW w:w="718" w:type="dxa"/>
                  <w:tcBorders>
                    <w:top w:val="single" w:sz="4" w:space="0" w:color="auto"/>
                    <w:left w:val="single" w:sz="4" w:space="0" w:color="auto"/>
                    <w:bottom w:val="single" w:sz="4" w:space="0" w:color="auto"/>
                    <w:right w:val="single" w:sz="4" w:space="0" w:color="auto"/>
                  </w:tcBorders>
                  <w:vAlign w:val="bottom"/>
                  <w:hideMark/>
                </w:tcPr>
                <w:p w14:paraId="3AC48976" w14:textId="77777777" w:rsidR="00B14E5E" w:rsidRPr="00073564" w:rsidRDefault="00B14E5E" w:rsidP="00A90858">
                  <w:pPr>
                    <w:jc w:val="right"/>
                    <w:rPr>
                      <w:rFonts w:cs="Arial"/>
                      <w:b/>
                    </w:rPr>
                  </w:pPr>
                  <w:r w:rsidRPr="00073564">
                    <w:rPr>
                      <w:rFonts w:cs="Arial"/>
                      <w:b/>
                      <w:bCs/>
                    </w:rPr>
                    <w:t>295</w:t>
                  </w:r>
                </w:p>
              </w:tc>
            </w:tr>
          </w:tbl>
          <w:p w14:paraId="6F5D2786" w14:textId="77777777" w:rsidR="00B14E5E" w:rsidRPr="001A4A81" w:rsidRDefault="00B14E5E" w:rsidP="00BC3193">
            <w:pPr>
              <w:pStyle w:val="Heading3"/>
              <w:spacing w:before="120"/>
            </w:pPr>
            <w:r w:rsidRPr="001A4A81">
              <w:t>Referrals</w:t>
            </w:r>
          </w:p>
          <w:p w14:paraId="63C21F96" w14:textId="77777777" w:rsidR="00B14E5E" w:rsidRDefault="00B14E5E" w:rsidP="00A90858">
            <w:r>
              <w:t>Referrals to service providers are an integral part of achieving the Commission’s strategic outcomes of improved community wellbeing and improved community responsibility. From 1 July 2018 to 30 June 2019, 81 referrals inclusive of orders to attend support services and family responsibility agreements for 73 clients were made to service providers.</w:t>
            </w:r>
          </w:p>
          <w:p w14:paraId="2942AA84" w14:textId="77777777" w:rsidR="00B14E5E" w:rsidRDefault="00B14E5E" w:rsidP="00A90858"/>
          <w:p w14:paraId="7D944871" w14:textId="77777777" w:rsidR="00B14E5E" w:rsidRDefault="00B14E5E" w:rsidP="00A90858"/>
          <w:p w14:paraId="3CAC039F" w14:textId="77777777" w:rsidR="00B14E5E" w:rsidRDefault="00B14E5E" w:rsidP="00A90858"/>
          <w:p w14:paraId="2E13CC3F" w14:textId="77777777" w:rsidR="00B14E5E" w:rsidRDefault="00B14E5E" w:rsidP="00A90858"/>
          <w:p w14:paraId="488F4C6D" w14:textId="77777777" w:rsidR="00B14E5E" w:rsidRDefault="00B14E5E" w:rsidP="00A90858"/>
          <w:p w14:paraId="3C73CCA3" w14:textId="77777777" w:rsidR="00B14E5E" w:rsidRPr="008E7494" w:rsidRDefault="00B14E5E" w:rsidP="00A90858"/>
        </w:tc>
        <w:tc>
          <w:tcPr>
            <w:tcW w:w="5539" w:type="dxa"/>
            <w:shd w:val="clear" w:color="auto" w:fill="auto"/>
          </w:tcPr>
          <w:p w14:paraId="417E574A" w14:textId="13C04BCC" w:rsidR="00B14E5E" w:rsidRDefault="00B14E5E" w:rsidP="00A90858">
            <w:r>
              <w:t>This number of referrals to service providers represents an overall 33.6 percent decrease from the previous reporting period. Referrals to support services increased in Coen and remained consistent in Mossman Gorge and Doomadgee. Aurukun recorded a decrease of 79.5 percent from the 2017-18 financial year while Hope Vale was down by 75.0 percent.</w:t>
            </w:r>
          </w:p>
          <w:p w14:paraId="26E79610" w14:textId="3CFE0362" w:rsidR="00B14E5E" w:rsidRDefault="00B14E5E" w:rsidP="00A90858">
            <w:r>
              <w:t xml:space="preserve">Local Commissioners report being reluctant to refer clients to support services for several reasons. Again, the absence of information regarding the continuation of the Commission has had a major impact, with the value of a case plan referral significantly undermined by the perception amongst clients and service providers that the FRC was closing. New referrals to </w:t>
            </w:r>
            <w:r w:rsidR="00774060">
              <w:t>p</w:t>
            </w:r>
            <w:r>
              <w:t xml:space="preserve">arenting </w:t>
            </w:r>
            <w:r w:rsidR="00774060">
              <w:t>p</w:t>
            </w:r>
            <w:r>
              <w:t xml:space="preserve">rograms were suspended during the period of transition of the service from </w:t>
            </w:r>
            <w:r w:rsidR="00757F68">
              <w:t>CYP</w:t>
            </w:r>
            <w:r>
              <w:t xml:space="preserve"> to</w:t>
            </w:r>
            <w:r w:rsidRPr="009836B4">
              <w:t xml:space="preserve"> </w:t>
            </w:r>
            <w:r w:rsidRPr="00DD0E5C">
              <w:t>Aboriginal and Torres Strait Islander Family Wellbeing Services</w:t>
            </w:r>
            <w:r w:rsidR="00757F68">
              <w:t xml:space="preserve"> (FWS)</w:t>
            </w:r>
            <w:r w:rsidRPr="00DD0E5C">
              <w:t xml:space="preserve"> administered by DCSYW.</w:t>
            </w:r>
            <w:r>
              <w:t xml:space="preserve"> Referrals to </w:t>
            </w:r>
            <w:proofErr w:type="spellStart"/>
            <w:r>
              <w:t>Apunipima</w:t>
            </w:r>
            <w:proofErr w:type="spellEnd"/>
            <w:r>
              <w:t xml:space="preserve"> Cape York Health Council were affected by staff shortages, management changes and other operational challenges.</w:t>
            </w:r>
          </w:p>
          <w:p w14:paraId="1D74B809" w14:textId="77777777" w:rsidR="00B14E5E" w:rsidRDefault="00B14E5E" w:rsidP="00A90858">
            <w:r>
              <w:t>Importantly, some key service providers have not provided client progress reports for much of the year. The absence of client progress reports hampers the ability of Local Commissioners to hold clients to account, and leaves Local Commissioners lacking confidence in the levels of service being provided to referred clients.</w:t>
            </w:r>
          </w:p>
          <w:p w14:paraId="21C4EB0B" w14:textId="304DA58C" w:rsidR="00B14E5E" w:rsidRPr="007617A6" w:rsidRDefault="00B14E5E" w:rsidP="00A90858">
            <w:r w:rsidRPr="00EC06AA">
              <w:t>Where it is perceived that adequate levels of service are not being provided</w:t>
            </w:r>
            <w:r w:rsidRPr="007617A6">
              <w:t xml:space="preserve">, Local Commissioners tend to employ alternative strategies to provide clients with the support they need. These strategies include </w:t>
            </w:r>
            <w:r w:rsidRPr="00E126F5">
              <w:t>seeking outside referrals</w:t>
            </w:r>
            <w:r w:rsidRPr="007617A6">
              <w:t xml:space="preserve"> to other agencies that are not specifically funded to service FRC clients, or obliged to report back to the FRC, and regularly rescheduling clients for conference as an informal way to check progress and case</w:t>
            </w:r>
            <w:r>
              <w:t>-</w:t>
            </w:r>
            <w:r w:rsidRPr="007617A6">
              <w:t>manage clients.</w:t>
            </w:r>
          </w:p>
          <w:p w14:paraId="1A79BA33" w14:textId="77777777" w:rsidR="00B14E5E" w:rsidRPr="00D96410" w:rsidRDefault="00B14E5E" w:rsidP="00A90858">
            <w:r w:rsidRPr="00D96410">
              <w:t xml:space="preserve">Local Commissioners </w:t>
            </w:r>
            <w:r>
              <w:t>also continue to use</w:t>
            </w:r>
            <w:r w:rsidRPr="00D96410">
              <w:t xml:space="preserve"> strategies such as </w:t>
            </w:r>
            <w:r>
              <w:t>aligning</w:t>
            </w:r>
            <w:r w:rsidRPr="00D96410">
              <w:t xml:space="preserve"> school attendance goals </w:t>
            </w:r>
            <w:r>
              <w:t xml:space="preserve">with changes to income management percentage </w:t>
            </w:r>
            <w:r w:rsidRPr="00D96410">
              <w:t>rather than putting clients on a case plan.</w:t>
            </w:r>
          </w:p>
          <w:p w14:paraId="4AE8E8A7" w14:textId="77777777" w:rsidR="00B14E5E" w:rsidRPr="00436677" w:rsidRDefault="00B14E5E" w:rsidP="00A90858">
            <w:pPr>
              <w:ind w:right="48"/>
              <w:jc w:val="both"/>
              <w:rPr>
                <w:rFonts w:ascii="Helvetica" w:hAnsi="Helvetica" w:cs="Helvetica"/>
                <w:b/>
                <w:bCs/>
                <w:sz w:val="17"/>
                <w:szCs w:val="17"/>
                <w:lang w:val="en-US"/>
              </w:rPr>
            </w:pPr>
          </w:p>
        </w:tc>
      </w:tr>
      <w:tr w:rsidR="00B14E5E" w:rsidRPr="008E7494" w14:paraId="13FFCFB5" w14:textId="77777777" w:rsidTr="00A90858">
        <w:tc>
          <w:tcPr>
            <w:tcW w:w="5540" w:type="dxa"/>
            <w:shd w:val="clear" w:color="auto" w:fill="auto"/>
          </w:tcPr>
          <w:p w14:paraId="764292A0" w14:textId="47F250F6" w:rsidR="00B14E5E" w:rsidRPr="00DD0E5C" w:rsidRDefault="00757F68" w:rsidP="00A90858">
            <w:bookmarkStart w:id="11" w:name="_Hlk6491628"/>
            <w:r>
              <w:lastRenderedPageBreak/>
              <w:t>CYP</w:t>
            </w:r>
            <w:r w:rsidR="00B14E5E" w:rsidRPr="00DD0E5C">
              <w:t xml:space="preserve"> ceased providing </w:t>
            </w:r>
            <w:r w:rsidR="003259C9">
              <w:t>p</w:t>
            </w:r>
            <w:r w:rsidR="00B14E5E" w:rsidRPr="00DD0E5C">
              <w:t xml:space="preserve">arenting services in Cape York as at 30 March 2019. The organisations funded to continue to meet the parenting program requirements are RAATSICC in Aurukun, Gungarde Community Centre Aboriginal Corporation in Hope Vale and Coen, and </w:t>
            </w:r>
            <w:proofErr w:type="spellStart"/>
            <w:r w:rsidR="00B14E5E" w:rsidRPr="00DD0E5C">
              <w:t>Mulungu</w:t>
            </w:r>
            <w:proofErr w:type="spellEnd"/>
            <w:r w:rsidR="00B14E5E" w:rsidRPr="00DD0E5C">
              <w:t xml:space="preserve"> Aboriginal Corporation who are servicing Mossman Gorge. Hope Vale Commissioners initially expressed concern that their service </w:t>
            </w:r>
            <w:proofErr w:type="gramStart"/>
            <w:r w:rsidR="00B14E5E" w:rsidRPr="00DD0E5C">
              <w:t>is located in</w:t>
            </w:r>
            <w:proofErr w:type="gramEnd"/>
            <w:r w:rsidR="00B14E5E" w:rsidRPr="00DD0E5C">
              <w:t xml:space="preserve"> Cooktown, however, were reassured by the advice that the service provider will be visiting the community on a regular basis.</w:t>
            </w:r>
            <w:bookmarkEnd w:id="11"/>
          </w:p>
          <w:p w14:paraId="72FFF1F8" w14:textId="77777777" w:rsidR="00B14E5E" w:rsidRPr="009B0157" w:rsidRDefault="00B14E5E" w:rsidP="00A90858">
            <w:r w:rsidRPr="009B0157">
              <w:t xml:space="preserve">The Commission has now set up referral and reporting pathways with Gungarde, </w:t>
            </w:r>
            <w:proofErr w:type="spellStart"/>
            <w:r w:rsidRPr="009B0157">
              <w:t>Mulungu</w:t>
            </w:r>
            <w:proofErr w:type="spellEnd"/>
            <w:r w:rsidRPr="009B0157">
              <w:t xml:space="preserve"> and RAATSICC, and along with the Local Commissioners, will continue to work towards achieving positive outcomes for FRC clients and their children.</w:t>
            </w:r>
          </w:p>
          <w:p w14:paraId="5FF29C05" w14:textId="60BDEB68" w:rsidR="00B14E5E" w:rsidRPr="005D104F" w:rsidRDefault="00B14E5E" w:rsidP="00A90858">
            <w:pPr>
              <w:widowControl w:val="0"/>
              <w:autoSpaceDE w:val="0"/>
              <w:autoSpaceDN w:val="0"/>
              <w:adjustRightInd w:val="0"/>
              <w:ind w:left="720" w:hanging="720"/>
              <w:rPr>
                <w:rFonts w:ascii="Helvetica" w:hAnsi="Helvetica" w:cs="Helvetica"/>
                <w:b/>
                <w:bCs/>
                <w:sz w:val="17"/>
                <w:szCs w:val="17"/>
                <w:lang w:val="en-US"/>
              </w:rPr>
            </w:pPr>
            <w:r w:rsidRPr="005D104F">
              <w:rPr>
                <w:rFonts w:ascii="Helvetica" w:hAnsi="Helvetica" w:cs="Helvetica"/>
                <w:b/>
                <w:bCs/>
                <w:sz w:val="17"/>
                <w:szCs w:val="17"/>
                <w:lang w:val="en-US"/>
              </w:rPr>
              <w:t xml:space="preserve">Table </w:t>
            </w:r>
            <w:r w:rsidR="00A72285">
              <w:rPr>
                <w:rFonts w:ascii="Helvetica" w:hAnsi="Helvetica" w:cs="Helvetica"/>
                <w:b/>
                <w:bCs/>
                <w:sz w:val="17"/>
                <w:szCs w:val="17"/>
                <w:lang w:val="en-US"/>
              </w:rPr>
              <w:t>13</w:t>
            </w:r>
            <w:r w:rsidRPr="005D104F">
              <w:rPr>
                <w:rFonts w:ascii="Helvetica" w:hAnsi="Helvetica" w:cs="Helvetica"/>
                <w:b/>
                <w:bCs/>
                <w:sz w:val="17"/>
                <w:szCs w:val="17"/>
                <w:lang w:val="en-US"/>
              </w:rPr>
              <w:t xml:space="preserve">: FRC referral pathways by referral type and quarter </w:t>
            </w:r>
            <w:r w:rsidRPr="005D104F">
              <w:rPr>
                <w:rFonts w:ascii="Helvetica" w:hAnsi="Helvetica" w:cs="Helvetica"/>
                <w:b/>
                <w:bCs/>
                <w:sz w:val="17"/>
                <w:szCs w:val="17"/>
                <w:lang w:val="en-US"/>
              </w:rPr>
              <w:br/>
              <w:t>1 July 201</w:t>
            </w:r>
            <w:r>
              <w:rPr>
                <w:rFonts w:ascii="Helvetica" w:hAnsi="Helvetica" w:cs="Helvetica"/>
                <w:b/>
                <w:bCs/>
                <w:sz w:val="17"/>
                <w:szCs w:val="17"/>
                <w:lang w:val="en-US"/>
              </w:rPr>
              <w:t>8</w:t>
            </w:r>
            <w:r w:rsidRPr="005D104F">
              <w:rPr>
                <w:rFonts w:ascii="Helvetica" w:hAnsi="Helvetica" w:cs="Helvetica"/>
                <w:b/>
                <w:bCs/>
                <w:sz w:val="17"/>
                <w:szCs w:val="17"/>
                <w:lang w:val="en-US"/>
              </w:rPr>
              <w:t xml:space="preserve"> to 30 June 201</w:t>
            </w:r>
            <w:r>
              <w:rPr>
                <w:rFonts w:ascii="Helvetica" w:hAnsi="Helvetica" w:cs="Helvetica"/>
                <w:b/>
                <w:bCs/>
                <w:sz w:val="17"/>
                <w:szCs w:val="17"/>
                <w:lang w:val="en-US"/>
              </w:rPr>
              <w:t>9</w:t>
            </w:r>
            <w:r w:rsidRPr="005D104F">
              <w:rPr>
                <w:rFonts w:ascii="Helvetica" w:hAnsi="Helvetica" w:cs="Helvetica"/>
                <w:b/>
                <w:bCs/>
                <w:sz w:val="17"/>
                <w:szCs w:val="17"/>
                <w:lang w:val="en-US"/>
              </w:rPr>
              <w:t>.</w:t>
            </w:r>
          </w:p>
          <w:tbl>
            <w:tblPr>
              <w:tblW w:w="5013" w:type="dxa"/>
              <w:tblLayout w:type="fixed"/>
              <w:tblLook w:val="04A0" w:firstRow="1" w:lastRow="0" w:firstColumn="1" w:lastColumn="0" w:noHBand="0" w:noVBand="1"/>
            </w:tblPr>
            <w:tblGrid>
              <w:gridCol w:w="2178"/>
              <w:gridCol w:w="708"/>
              <w:gridCol w:w="709"/>
              <w:gridCol w:w="709"/>
              <w:gridCol w:w="709"/>
            </w:tblGrid>
            <w:tr w:rsidR="00B14E5E" w:rsidRPr="005D104F" w14:paraId="576E59C2" w14:textId="77777777" w:rsidTr="00A90858">
              <w:trPr>
                <w:trHeight w:val="510"/>
              </w:trPr>
              <w:tc>
                <w:tcPr>
                  <w:tcW w:w="2178" w:type="dxa"/>
                  <w:tcBorders>
                    <w:top w:val="single" w:sz="4" w:space="0" w:color="auto"/>
                    <w:left w:val="single" w:sz="4" w:space="0" w:color="auto"/>
                    <w:bottom w:val="single" w:sz="4" w:space="0" w:color="auto"/>
                    <w:right w:val="single" w:sz="4" w:space="0" w:color="auto"/>
                  </w:tcBorders>
                  <w:shd w:val="clear" w:color="auto" w:fill="auto"/>
                  <w:noWrap/>
                  <w:hideMark/>
                </w:tcPr>
                <w:p w14:paraId="79585F6D" w14:textId="77777777" w:rsidR="00B14E5E" w:rsidRPr="005D104F" w:rsidRDefault="00B14E5E" w:rsidP="00A90858">
                  <w:pPr>
                    <w:spacing w:after="60"/>
                    <w:rPr>
                      <w:rFonts w:cs="Arial"/>
                      <w:b/>
                      <w:bCs/>
                      <w:szCs w:val="20"/>
                      <w:lang w:eastAsia="en-AU"/>
                    </w:rPr>
                  </w:pPr>
                  <w:r w:rsidRPr="005D104F">
                    <w:rPr>
                      <w:rFonts w:cs="Arial"/>
                      <w:b/>
                      <w:bCs/>
                      <w:szCs w:val="20"/>
                      <w:lang w:eastAsia="en-AU"/>
                    </w:rPr>
                    <w:t>Referral Type</w:t>
                  </w:r>
                </w:p>
              </w:tc>
              <w:tc>
                <w:tcPr>
                  <w:tcW w:w="708" w:type="dxa"/>
                  <w:tcBorders>
                    <w:top w:val="single" w:sz="4" w:space="0" w:color="auto"/>
                    <w:left w:val="nil"/>
                    <w:bottom w:val="single" w:sz="4" w:space="0" w:color="auto"/>
                    <w:right w:val="single" w:sz="4" w:space="0" w:color="auto"/>
                  </w:tcBorders>
                  <w:shd w:val="clear" w:color="auto" w:fill="auto"/>
                  <w:hideMark/>
                </w:tcPr>
                <w:p w14:paraId="4E51E337" w14:textId="77777777" w:rsidR="00B14E5E" w:rsidRPr="005D104F" w:rsidRDefault="00B14E5E" w:rsidP="00A90858">
                  <w:pPr>
                    <w:spacing w:after="60"/>
                    <w:jc w:val="right"/>
                    <w:rPr>
                      <w:rFonts w:cs="Arial"/>
                      <w:b/>
                      <w:bCs/>
                      <w:szCs w:val="20"/>
                      <w:lang w:eastAsia="en-AU"/>
                    </w:rPr>
                  </w:pPr>
                  <w:proofErr w:type="spellStart"/>
                  <w:r w:rsidRPr="005D104F">
                    <w:rPr>
                      <w:rFonts w:cs="Arial"/>
                      <w:b/>
                      <w:bCs/>
                      <w:szCs w:val="20"/>
                      <w:lang w:eastAsia="en-AU"/>
                    </w:rPr>
                    <w:t>Qtr</w:t>
                  </w:r>
                  <w:proofErr w:type="spellEnd"/>
                  <w:r w:rsidRPr="005D104F">
                    <w:rPr>
                      <w:rFonts w:cs="Arial"/>
                      <w:b/>
                      <w:bCs/>
                      <w:szCs w:val="20"/>
                      <w:lang w:eastAsia="en-AU"/>
                    </w:rPr>
                    <w:t xml:space="preserve"> </w:t>
                  </w:r>
                  <w:r>
                    <w:rPr>
                      <w:rFonts w:cs="Arial"/>
                      <w:b/>
                      <w:bCs/>
                      <w:szCs w:val="20"/>
                      <w:lang w:eastAsia="en-AU"/>
                    </w:rPr>
                    <w:t>41</w:t>
                  </w:r>
                </w:p>
              </w:tc>
              <w:tc>
                <w:tcPr>
                  <w:tcW w:w="709" w:type="dxa"/>
                  <w:tcBorders>
                    <w:top w:val="single" w:sz="4" w:space="0" w:color="auto"/>
                    <w:left w:val="nil"/>
                    <w:bottom w:val="single" w:sz="4" w:space="0" w:color="auto"/>
                    <w:right w:val="single" w:sz="4" w:space="0" w:color="auto"/>
                  </w:tcBorders>
                  <w:shd w:val="clear" w:color="auto" w:fill="auto"/>
                  <w:hideMark/>
                </w:tcPr>
                <w:p w14:paraId="36869052" w14:textId="77777777" w:rsidR="00B14E5E" w:rsidRPr="005D104F" w:rsidRDefault="00B14E5E" w:rsidP="00A90858">
                  <w:pPr>
                    <w:spacing w:after="60"/>
                    <w:jc w:val="right"/>
                    <w:rPr>
                      <w:rFonts w:cs="Arial"/>
                      <w:b/>
                      <w:bCs/>
                      <w:szCs w:val="20"/>
                      <w:lang w:eastAsia="en-AU"/>
                    </w:rPr>
                  </w:pPr>
                  <w:proofErr w:type="spellStart"/>
                  <w:r w:rsidRPr="005D104F">
                    <w:rPr>
                      <w:rFonts w:cs="Arial"/>
                      <w:b/>
                      <w:bCs/>
                      <w:szCs w:val="20"/>
                      <w:lang w:eastAsia="en-AU"/>
                    </w:rPr>
                    <w:t>Qtr</w:t>
                  </w:r>
                  <w:proofErr w:type="spellEnd"/>
                  <w:r w:rsidRPr="005D104F">
                    <w:rPr>
                      <w:rFonts w:cs="Arial"/>
                      <w:b/>
                      <w:bCs/>
                      <w:szCs w:val="20"/>
                      <w:lang w:eastAsia="en-AU"/>
                    </w:rPr>
                    <w:t xml:space="preserve"> </w:t>
                  </w:r>
                  <w:r>
                    <w:rPr>
                      <w:rFonts w:cs="Arial"/>
                      <w:b/>
                      <w:bCs/>
                      <w:szCs w:val="20"/>
                      <w:lang w:eastAsia="en-AU"/>
                    </w:rPr>
                    <w:t>42</w:t>
                  </w:r>
                </w:p>
              </w:tc>
              <w:tc>
                <w:tcPr>
                  <w:tcW w:w="709" w:type="dxa"/>
                  <w:tcBorders>
                    <w:top w:val="single" w:sz="4" w:space="0" w:color="auto"/>
                    <w:left w:val="nil"/>
                    <w:bottom w:val="single" w:sz="4" w:space="0" w:color="auto"/>
                    <w:right w:val="single" w:sz="4" w:space="0" w:color="auto"/>
                  </w:tcBorders>
                  <w:shd w:val="clear" w:color="auto" w:fill="auto"/>
                  <w:hideMark/>
                </w:tcPr>
                <w:p w14:paraId="635B5D5F" w14:textId="77777777" w:rsidR="00B14E5E" w:rsidRPr="005D104F" w:rsidRDefault="00B14E5E" w:rsidP="00A90858">
                  <w:pPr>
                    <w:spacing w:after="60"/>
                    <w:jc w:val="right"/>
                    <w:rPr>
                      <w:rFonts w:cs="Arial"/>
                      <w:b/>
                      <w:bCs/>
                      <w:szCs w:val="20"/>
                      <w:lang w:eastAsia="en-AU"/>
                    </w:rPr>
                  </w:pPr>
                  <w:proofErr w:type="spellStart"/>
                  <w:r w:rsidRPr="005D104F">
                    <w:rPr>
                      <w:rFonts w:cs="Arial"/>
                      <w:b/>
                      <w:bCs/>
                      <w:szCs w:val="20"/>
                      <w:lang w:eastAsia="en-AU"/>
                    </w:rPr>
                    <w:t>Qtr</w:t>
                  </w:r>
                  <w:proofErr w:type="spellEnd"/>
                  <w:r w:rsidRPr="005D104F">
                    <w:rPr>
                      <w:rFonts w:cs="Arial"/>
                      <w:b/>
                      <w:bCs/>
                      <w:szCs w:val="20"/>
                      <w:lang w:eastAsia="en-AU"/>
                    </w:rPr>
                    <w:t xml:space="preserve"> </w:t>
                  </w:r>
                  <w:r>
                    <w:rPr>
                      <w:rFonts w:cs="Arial"/>
                      <w:b/>
                      <w:bCs/>
                      <w:szCs w:val="20"/>
                      <w:lang w:eastAsia="en-AU"/>
                    </w:rPr>
                    <w:t>43</w:t>
                  </w:r>
                </w:p>
              </w:tc>
              <w:tc>
                <w:tcPr>
                  <w:tcW w:w="709" w:type="dxa"/>
                  <w:tcBorders>
                    <w:top w:val="single" w:sz="4" w:space="0" w:color="auto"/>
                    <w:left w:val="nil"/>
                    <w:bottom w:val="single" w:sz="4" w:space="0" w:color="auto"/>
                    <w:right w:val="single" w:sz="4" w:space="0" w:color="auto"/>
                  </w:tcBorders>
                  <w:shd w:val="clear" w:color="auto" w:fill="auto"/>
                  <w:hideMark/>
                </w:tcPr>
                <w:p w14:paraId="4319FF92" w14:textId="77777777" w:rsidR="00B14E5E" w:rsidRPr="005D104F" w:rsidRDefault="00B14E5E" w:rsidP="00A90858">
                  <w:pPr>
                    <w:spacing w:after="60"/>
                    <w:jc w:val="right"/>
                    <w:rPr>
                      <w:rFonts w:cs="Arial"/>
                      <w:b/>
                      <w:bCs/>
                      <w:szCs w:val="20"/>
                      <w:lang w:eastAsia="en-AU"/>
                    </w:rPr>
                  </w:pPr>
                  <w:proofErr w:type="spellStart"/>
                  <w:r w:rsidRPr="005D104F">
                    <w:rPr>
                      <w:rFonts w:cs="Arial"/>
                      <w:b/>
                      <w:bCs/>
                      <w:szCs w:val="20"/>
                      <w:lang w:eastAsia="en-AU"/>
                    </w:rPr>
                    <w:t>Qtr</w:t>
                  </w:r>
                  <w:proofErr w:type="spellEnd"/>
                  <w:r w:rsidRPr="005D104F">
                    <w:rPr>
                      <w:rFonts w:cs="Arial"/>
                      <w:b/>
                      <w:bCs/>
                      <w:szCs w:val="20"/>
                      <w:lang w:eastAsia="en-AU"/>
                    </w:rPr>
                    <w:t xml:space="preserve"> </w:t>
                  </w:r>
                  <w:r>
                    <w:rPr>
                      <w:rFonts w:cs="Arial"/>
                      <w:b/>
                      <w:bCs/>
                      <w:szCs w:val="20"/>
                      <w:lang w:eastAsia="en-AU"/>
                    </w:rPr>
                    <w:t>44</w:t>
                  </w:r>
                </w:p>
              </w:tc>
            </w:tr>
            <w:tr w:rsidR="00B14E5E" w:rsidRPr="005D104F" w14:paraId="0250BABA" w14:textId="77777777" w:rsidTr="00A90858">
              <w:trPr>
                <w:trHeight w:val="255"/>
              </w:trPr>
              <w:tc>
                <w:tcPr>
                  <w:tcW w:w="2178" w:type="dxa"/>
                  <w:tcBorders>
                    <w:top w:val="nil"/>
                    <w:left w:val="single" w:sz="4" w:space="0" w:color="auto"/>
                    <w:bottom w:val="single" w:sz="4" w:space="0" w:color="auto"/>
                    <w:right w:val="single" w:sz="4" w:space="0" w:color="auto"/>
                  </w:tcBorders>
                  <w:shd w:val="clear" w:color="auto" w:fill="auto"/>
                  <w:noWrap/>
                  <w:hideMark/>
                </w:tcPr>
                <w:p w14:paraId="3F763986" w14:textId="77777777" w:rsidR="00B14E5E" w:rsidRPr="005D104F" w:rsidRDefault="00B14E5E" w:rsidP="00A90858">
                  <w:pPr>
                    <w:spacing w:after="60"/>
                    <w:rPr>
                      <w:rFonts w:cs="Arial"/>
                      <w:szCs w:val="20"/>
                      <w:lang w:eastAsia="en-AU"/>
                    </w:rPr>
                  </w:pPr>
                  <w:proofErr w:type="spellStart"/>
                  <w:r w:rsidRPr="005D104F">
                    <w:rPr>
                      <w:rFonts w:cs="Arial"/>
                      <w:szCs w:val="20"/>
                      <w:lang w:eastAsia="en-AU"/>
                    </w:rPr>
                    <w:t>MPower</w:t>
                  </w:r>
                  <w:proofErr w:type="spellEnd"/>
                </w:p>
              </w:tc>
              <w:tc>
                <w:tcPr>
                  <w:tcW w:w="708" w:type="dxa"/>
                  <w:tcBorders>
                    <w:top w:val="nil"/>
                    <w:left w:val="nil"/>
                    <w:bottom w:val="single" w:sz="4" w:space="0" w:color="auto"/>
                    <w:right w:val="single" w:sz="4" w:space="0" w:color="auto"/>
                  </w:tcBorders>
                  <w:shd w:val="clear" w:color="auto" w:fill="auto"/>
                  <w:noWrap/>
                </w:tcPr>
                <w:p w14:paraId="35899F8C" w14:textId="77777777" w:rsidR="00B14E5E" w:rsidRPr="008E5925" w:rsidRDefault="00B14E5E" w:rsidP="00A90858">
                  <w:pPr>
                    <w:spacing w:after="60"/>
                    <w:jc w:val="right"/>
                    <w:rPr>
                      <w:rFonts w:cs="Arial"/>
                      <w:szCs w:val="20"/>
                      <w:lang w:eastAsia="en-AU"/>
                    </w:rPr>
                  </w:pPr>
                  <w:r w:rsidRPr="008E5925">
                    <w:rPr>
                      <w:rFonts w:cs="Arial"/>
                      <w:szCs w:val="20"/>
                    </w:rPr>
                    <w:t>3</w:t>
                  </w:r>
                </w:p>
              </w:tc>
              <w:tc>
                <w:tcPr>
                  <w:tcW w:w="709" w:type="dxa"/>
                  <w:tcBorders>
                    <w:top w:val="nil"/>
                    <w:left w:val="nil"/>
                    <w:bottom w:val="single" w:sz="4" w:space="0" w:color="auto"/>
                    <w:right w:val="single" w:sz="4" w:space="0" w:color="auto"/>
                  </w:tcBorders>
                  <w:shd w:val="clear" w:color="auto" w:fill="auto"/>
                  <w:noWrap/>
                </w:tcPr>
                <w:p w14:paraId="7BBA9DD7" w14:textId="77777777" w:rsidR="00B14E5E" w:rsidRPr="008E5925" w:rsidRDefault="00B14E5E" w:rsidP="00A90858">
                  <w:pPr>
                    <w:spacing w:after="60"/>
                    <w:jc w:val="right"/>
                    <w:rPr>
                      <w:rFonts w:cs="Arial"/>
                      <w:szCs w:val="20"/>
                      <w:lang w:eastAsia="en-AU"/>
                    </w:rPr>
                  </w:pPr>
                  <w:r w:rsidRPr="008E5925">
                    <w:rPr>
                      <w:rFonts w:cs="Arial"/>
                      <w:szCs w:val="20"/>
                    </w:rPr>
                    <w:t>3</w:t>
                  </w:r>
                </w:p>
              </w:tc>
              <w:tc>
                <w:tcPr>
                  <w:tcW w:w="709" w:type="dxa"/>
                  <w:tcBorders>
                    <w:top w:val="nil"/>
                    <w:left w:val="nil"/>
                    <w:bottom w:val="single" w:sz="4" w:space="0" w:color="auto"/>
                    <w:right w:val="single" w:sz="4" w:space="0" w:color="auto"/>
                  </w:tcBorders>
                  <w:shd w:val="clear" w:color="auto" w:fill="auto"/>
                  <w:noWrap/>
                </w:tcPr>
                <w:p w14:paraId="41463518" w14:textId="77777777" w:rsidR="00B14E5E" w:rsidRPr="008E5925" w:rsidRDefault="00B14E5E" w:rsidP="00A90858">
                  <w:pPr>
                    <w:spacing w:after="60"/>
                    <w:jc w:val="right"/>
                    <w:rPr>
                      <w:rFonts w:cs="Arial"/>
                      <w:szCs w:val="20"/>
                      <w:lang w:eastAsia="en-AU"/>
                    </w:rPr>
                  </w:pPr>
                  <w:r w:rsidRPr="008E5925">
                    <w:rPr>
                      <w:rFonts w:cs="Arial"/>
                      <w:szCs w:val="20"/>
                    </w:rPr>
                    <w:t>1</w:t>
                  </w:r>
                </w:p>
              </w:tc>
              <w:tc>
                <w:tcPr>
                  <w:tcW w:w="709" w:type="dxa"/>
                  <w:tcBorders>
                    <w:top w:val="nil"/>
                    <w:left w:val="nil"/>
                    <w:bottom w:val="single" w:sz="4" w:space="0" w:color="auto"/>
                    <w:right w:val="single" w:sz="4" w:space="0" w:color="auto"/>
                  </w:tcBorders>
                  <w:shd w:val="clear" w:color="auto" w:fill="auto"/>
                  <w:noWrap/>
                </w:tcPr>
                <w:p w14:paraId="3D6FBA74" w14:textId="77777777" w:rsidR="00B14E5E" w:rsidRPr="008E5925" w:rsidRDefault="00B14E5E" w:rsidP="00A90858">
                  <w:pPr>
                    <w:spacing w:after="60"/>
                    <w:jc w:val="right"/>
                    <w:rPr>
                      <w:rFonts w:cs="Arial"/>
                      <w:szCs w:val="20"/>
                      <w:lang w:eastAsia="en-AU"/>
                    </w:rPr>
                  </w:pPr>
                  <w:r w:rsidRPr="008E5925">
                    <w:rPr>
                      <w:rFonts w:cs="Arial"/>
                      <w:szCs w:val="20"/>
                    </w:rPr>
                    <w:t>0</w:t>
                  </w:r>
                </w:p>
              </w:tc>
            </w:tr>
            <w:tr w:rsidR="00B14E5E" w:rsidRPr="005D104F" w14:paraId="7C75AC83" w14:textId="77777777" w:rsidTr="00A90858">
              <w:trPr>
                <w:trHeight w:val="255"/>
              </w:trPr>
              <w:tc>
                <w:tcPr>
                  <w:tcW w:w="2178" w:type="dxa"/>
                  <w:tcBorders>
                    <w:top w:val="nil"/>
                    <w:left w:val="single" w:sz="4" w:space="0" w:color="auto"/>
                    <w:bottom w:val="single" w:sz="4" w:space="0" w:color="auto"/>
                    <w:right w:val="single" w:sz="4" w:space="0" w:color="auto"/>
                  </w:tcBorders>
                  <w:shd w:val="clear" w:color="auto" w:fill="auto"/>
                  <w:noWrap/>
                  <w:hideMark/>
                </w:tcPr>
                <w:p w14:paraId="6E182917" w14:textId="77777777" w:rsidR="00B14E5E" w:rsidRPr="005D104F" w:rsidRDefault="00B14E5E" w:rsidP="00A90858">
                  <w:pPr>
                    <w:spacing w:after="60"/>
                    <w:rPr>
                      <w:rFonts w:cs="Arial"/>
                      <w:szCs w:val="20"/>
                      <w:lang w:eastAsia="en-AU"/>
                    </w:rPr>
                  </w:pPr>
                  <w:r>
                    <w:rPr>
                      <w:rFonts w:cs="Arial"/>
                      <w:szCs w:val="20"/>
                      <w:lang w:eastAsia="en-AU"/>
                    </w:rPr>
                    <w:t>WBC</w:t>
                  </w:r>
                  <w:r w:rsidRPr="00AF1976">
                    <w:rPr>
                      <w:rFonts w:cs="Arial"/>
                      <w:szCs w:val="20"/>
                      <w:lang w:eastAsia="en-AU"/>
                    </w:rPr>
                    <w:t xml:space="preserve"> - </w:t>
                  </w:r>
                  <w:proofErr w:type="spellStart"/>
                  <w:r w:rsidRPr="00AF1976">
                    <w:rPr>
                      <w:rFonts w:cs="Arial"/>
                      <w:szCs w:val="20"/>
                      <w:lang w:eastAsia="en-AU"/>
                    </w:rPr>
                    <w:t>Apunipima</w:t>
                  </w:r>
                  <w:proofErr w:type="spellEnd"/>
                </w:p>
              </w:tc>
              <w:tc>
                <w:tcPr>
                  <w:tcW w:w="708" w:type="dxa"/>
                  <w:tcBorders>
                    <w:top w:val="nil"/>
                    <w:left w:val="nil"/>
                    <w:bottom w:val="single" w:sz="4" w:space="0" w:color="auto"/>
                    <w:right w:val="single" w:sz="4" w:space="0" w:color="auto"/>
                  </w:tcBorders>
                  <w:shd w:val="clear" w:color="auto" w:fill="auto"/>
                  <w:noWrap/>
                </w:tcPr>
                <w:p w14:paraId="2FED480D" w14:textId="77777777" w:rsidR="00B14E5E" w:rsidRPr="008E5925" w:rsidRDefault="00B14E5E" w:rsidP="00A90858">
                  <w:pPr>
                    <w:spacing w:after="60"/>
                    <w:jc w:val="right"/>
                    <w:rPr>
                      <w:rFonts w:cs="Arial"/>
                      <w:szCs w:val="20"/>
                      <w:lang w:eastAsia="en-AU"/>
                    </w:rPr>
                  </w:pPr>
                  <w:r w:rsidRPr="008E5925">
                    <w:rPr>
                      <w:rFonts w:cs="Arial"/>
                      <w:szCs w:val="20"/>
                    </w:rPr>
                    <w:t>9</w:t>
                  </w:r>
                </w:p>
              </w:tc>
              <w:tc>
                <w:tcPr>
                  <w:tcW w:w="709" w:type="dxa"/>
                  <w:tcBorders>
                    <w:top w:val="nil"/>
                    <w:left w:val="nil"/>
                    <w:bottom w:val="single" w:sz="4" w:space="0" w:color="auto"/>
                    <w:right w:val="single" w:sz="4" w:space="0" w:color="auto"/>
                  </w:tcBorders>
                  <w:shd w:val="clear" w:color="auto" w:fill="auto"/>
                  <w:noWrap/>
                </w:tcPr>
                <w:p w14:paraId="3CF1EC78" w14:textId="77777777" w:rsidR="00B14E5E" w:rsidRPr="008E5925" w:rsidRDefault="00B14E5E" w:rsidP="00A90858">
                  <w:pPr>
                    <w:spacing w:after="60"/>
                    <w:jc w:val="right"/>
                    <w:rPr>
                      <w:rFonts w:cs="Arial"/>
                      <w:szCs w:val="20"/>
                      <w:lang w:eastAsia="en-AU"/>
                    </w:rPr>
                  </w:pPr>
                  <w:r w:rsidRPr="008E5925">
                    <w:rPr>
                      <w:rFonts w:cs="Arial"/>
                      <w:szCs w:val="20"/>
                    </w:rPr>
                    <w:t>8</w:t>
                  </w:r>
                </w:p>
              </w:tc>
              <w:tc>
                <w:tcPr>
                  <w:tcW w:w="709" w:type="dxa"/>
                  <w:tcBorders>
                    <w:top w:val="nil"/>
                    <w:left w:val="nil"/>
                    <w:bottom w:val="single" w:sz="4" w:space="0" w:color="auto"/>
                    <w:right w:val="single" w:sz="4" w:space="0" w:color="auto"/>
                  </w:tcBorders>
                  <w:shd w:val="clear" w:color="auto" w:fill="auto"/>
                  <w:noWrap/>
                </w:tcPr>
                <w:p w14:paraId="280997F4" w14:textId="77777777" w:rsidR="00B14E5E" w:rsidRPr="008E5925" w:rsidRDefault="00B14E5E" w:rsidP="00A90858">
                  <w:pPr>
                    <w:spacing w:after="60"/>
                    <w:jc w:val="right"/>
                    <w:rPr>
                      <w:rFonts w:cs="Arial"/>
                      <w:szCs w:val="20"/>
                      <w:lang w:eastAsia="en-AU"/>
                    </w:rPr>
                  </w:pPr>
                  <w:r w:rsidRPr="008E5925">
                    <w:rPr>
                      <w:rFonts w:cs="Arial"/>
                      <w:szCs w:val="20"/>
                    </w:rPr>
                    <w:t>3</w:t>
                  </w:r>
                </w:p>
              </w:tc>
              <w:tc>
                <w:tcPr>
                  <w:tcW w:w="709" w:type="dxa"/>
                  <w:tcBorders>
                    <w:top w:val="nil"/>
                    <w:left w:val="nil"/>
                    <w:bottom w:val="single" w:sz="4" w:space="0" w:color="auto"/>
                    <w:right w:val="single" w:sz="4" w:space="0" w:color="auto"/>
                  </w:tcBorders>
                  <w:shd w:val="clear" w:color="auto" w:fill="auto"/>
                  <w:noWrap/>
                </w:tcPr>
                <w:p w14:paraId="131735BF" w14:textId="77777777" w:rsidR="00B14E5E" w:rsidRPr="008E5925" w:rsidRDefault="00B14E5E" w:rsidP="00A90858">
                  <w:pPr>
                    <w:spacing w:after="60"/>
                    <w:jc w:val="right"/>
                    <w:rPr>
                      <w:rFonts w:cs="Arial"/>
                      <w:szCs w:val="20"/>
                      <w:lang w:eastAsia="en-AU"/>
                    </w:rPr>
                  </w:pPr>
                  <w:r w:rsidRPr="008E5925">
                    <w:rPr>
                      <w:rFonts w:cs="Arial"/>
                      <w:szCs w:val="20"/>
                    </w:rPr>
                    <w:t>19</w:t>
                  </w:r>
                </w:p>
              </w:tc>
            </w:tr>
            <w:tr w:rsidR="00B14E5E" w:rsidRPr="005D104F" w14:paraId="7D8ED302" w14:textId="77777777" w:rsidTr="00A90858">
              <w:trPr>
                <w:trHeight w:val="255"/>
              </w:trPr>
              <w:tc>
                <w:tcPr>
                  <w:tcW w:w="2178" w:type="dxa"/>
                  <w:tcBorders>
                    <w:top w:val="nil"/>
                    <w:left w:val="single" w:sz="4" w:space="0" w:color="auto"/>
                    <w:bottom w:val="single" w:sz="4" w:space="0" w:color="auto"/>
                    <w:right w:val="single" w:sz="4" w:space="0" w:color="auto"/>
                  </w:tcBorders>
                  <w:shd w:val="clear" w:color="auto" w:fill="auto"/>
                  <w:noWrap/>
                  <w:hideMark/>
                </w:tcPr>
                <w:p w14:paraId="49680C69" w14:textId="77777777" w:rsidR="00B14E5E" w:rsidRPr="005D104F" w:rsidRDefault="00B14E5E" w:rsidP="00A90858">
                  <w:pPr>
                    <w:spacing w:after="60"/>
                    <w:rPr>
                      <w:rFonts w:cs="Arial"/>
                      <w:szCs w:val="20"/>
                      <w:lang w:eastAsia="en-AU"/>
                    </w:rPr>
                  </w:pPr>
                  <w:r>
                    <w:rPr>
                      <w:rFonts w:cs="Arial"/>
                      <w:szCs w:val="20"/>
                      <w:lang w:eastAsia="en-AU"/>
                    </w:rPr>
                    <w:t>WBC</w:t>
                  </w:r>
                  <w:r w:rsidRPr="00AF1976">
                    <w:rPr>
                      <w:rFonts w:cs="Arial"/>
                      <w:szCs w:val="20"/>
                      <w:lang w:eastAsia="en-AU"/>
                    </w:rPr>
                    <w:t xml:space="preserve"> - NWRH</w:t>
                  </w:r>
                </w:p>
              </w:tc>
              <w:tc>
                <w:tcPr>
                  <w:tcW w:w="708" w:type="dxa"/>
                  <w:tcBorders>
                    <w:top w:val="nil"/>
                    <w:left w:val="nil"/>
                    <w:bottom w:val="single" w:sz="4" w:space="0" w:color="auto"/>
                    <w:right w:val="single" w:sz="4" w:space="0" w:color="auto"/>
                  </w:tcBorders>
                  <w:shd w:val="clear" w:color="auto" w:fill="auto"/>
                  <w:noWrap/>
                </w:tcPr>
                <w:p w14:paraId="37B0E47F" w14:textId="77777777" w:rsidR="00B14E5E" w:rsidRPr="008E5925" w:rsidRDefault="00B14E5E" w:rsidP="00A90858">
                  <w:pPr>
                    <w:spacing w:after="60"/>
                    <w:jc w:val="right"/>
                    <w:rPr>
                      <w:rFonts w:cs="Arial"/>
                      <w:szCs w:val="20"/>
                      <w:lang w:eastAsia="en-AU"/>
                    </w:rPr>
                  </w:pPr>
                  <w:r w:rsidRPr="008E5925">
                    <w:rPr>
                      <w:rFonts w:cs="Arial"/>
                      <w:szCs w:val="20"/>
                    </w:rPr>
                    <w:t>3</w:t>
                  </w:r>
                </w:p>
              </w:tc>
              <w:tc>
                <w:tcPr>
                  <w:tcW w:w="709" w:type="dxa"/>
                  <w:tcBorders>
                    <w:top w:val="nil"/>
                    <w:left w:val="nil"/>
                    <w:bottom w:val="single" w:sz="4" w:space="0" w:color="auto"/>
                    <w:right w:val="single" w:sz="4" w:space="0" w:color="auto"/>
                  </w:tcBorders>
                  <w:shd w:val="clear" w:color="auto" w:fill="auto"/>
                  <w:noWrap/>
                </w:tcPr>
                <w:p w14:paraId="183AB980" w14:textId="77777777" w:rsidR="00B14E5E" w:rsidRPr="008E5925" w:rsidRDefault="00B14E5E" w:rsidP="00A90858">
                  <w:pPr>
                    <w:spacing w:after="60"/>
                    <w:jc w:val="right"/>
                    <w:rPr>
                      <w:rFonts w:cs="Arial"/>
                      <w:szCs w:val="20"/>
                      <w:lang w:eastAsia="en-AU"/>
                    </w:rPr>
                  </w:pPr>
                  <w:r w:rsidRPr="008E5925">
                    <w:rPr>
                      <w:rFonts w:cs="Arial"/>
                      <w:szCs w:val="20"/>
                    </w:rPr>
                    <w:t>3</w:t>
                  </w:r>
                </w:p>
              </w:tc>
              <w:tc>
                <w:tcPr>
                  <w:tcW w:w="709" w:type="dxa"/>
                  <w:tcBorders>
                    <w:top w:val="nil"/>
                    <w:left w:val="nil"/>
                    <w:bottom w:val="single" w:sz="4" w:space="0" w:color="auto"/>
                    <w:right w:val="single" w:sz="4" w:space="0" w:color="auto"/>
                  </w:tcBorders>
                  <w:shd w:val="clear" w:color="auto" w:fill="auto"/>
                  <w:noWrap/>
                </w:tcPr>
                <w:p w14:paraId="1FEB236B" w14:textId="77777777" w:rsidR="00B14E5E" w:rsidRPr="008E5925" w:rsidRDefault="00B14E5E" w:rsidP="00A90858">
                  <w:pPr>
                    <w:spacing w:after="60"/>
                    <w:jc w:val="right"/>
                    <w:rPr>
                      <w:rFonts w:cs="Arial"/>
                      <w:szCs w:val="20"/>
                      <w:lang w:eastAsia="en-AU"/>
                    </w:rPr>
                  </w:pPr>
                  <w:r w:rsidRPr="008E5925">
                    <w:rPr>
                      <w:rFonts w:cs="Arial"/>
                      <w:szCs w:val="20"/>
                    </w:rPr>
                    <w:t>2</w:t>
                  </w:r>
                </w:p>
              </w:tc>
              <w:tc>
                <w:tcPr>
                  <w:tcW w:w="709" w:type="dxa"/>
                  <w:tcBorders>
                    <w:top w:val="nil"/>
                    <w:left w:val="nil"/>
                    <w:bottom w:val="single" w:sz="4" w:space="0" w:color="auto"/>
                    <w:right w:val="single" w:sz="4" w:space="0" w:color="auto"/>
                  </w:tcBorders>
                  <w:shd w:val="clear" w:color="auto" w:fill="auto"/>
                  <w:noWrap/>
                </w:tcPr>
                <w:p w14:paraId="1ABA7107" w14:textId="77777777" w:rsidR="00B14E5E" w:rsidRPr="008E5925" w:rsidRDefault="00B14E5E" w:rsidP="00A90858">
                  <w:pPr>
                    <w:spacing w:after="60"/>
                    <w:jc w:val="right"/>
                    <w:rPr>
                      <w:rFonts w:cs="Arial"/>
                      <w:szCs w:val="20"/>
                      <w:lang w:eastAsia="en-AU"/>
                    </w:rPr>
                  </w:pPr>
                  <w:r w:rsidRPr="008E5925">
                    <w:rPr>
                      <w:rFonts w:cs="Arial"/>
                      <w:szCs w:val="20"/>
                    </w:rPr>
                    <w:t>2</w:t>
                  </w:r>
                </w:p>
              </w:tc>
            </w:tr>
            <w:tr w:rsidR="00B14E5E" w:rsidRPr="005D104F" w14:paraId="7BFC2907" w14:textId="77777777" w:rsidTr="00A90858">
              <w:trPr>
                <w:trHeight w:val="255"/>
              </w:trPr>
              <w:tc>
                <w:tcPr>
                  <w:tcW w:w="2178" w:type="dxa"/>
                  <w:tcBorders>
                    <w:top w:val="nil"/>
                    <w:left w:val="single" w:sz="4" w:space="0" w:color="auto"/>
                    <w:bottom w:val="single" w:sz="4" w:space="0" w:color="auto"/>
                    <w:right w:val="single" w:sz="4" w:space="0" w:color="auto"/>
                  </w:tcBorders>
                  <w:shd w:val="clear" w:color="auto" w:fill="auto"/>
                  <w:noWrap/>
                  <w:hideMark/>
                </w:tcPr>
                <w:p w14:paraId="6B420024" w14:textId="77777777" w:rsidR="00B14E5E" w:rsidRPr="005D104F" w:rsidRDefault="00B14E5E" w:rsidP="00A90858">
                  <w:pPr>
                    <w:spacing w:after="60"/>
                    <w:rPr>
                      <w:rFonts w:cs="Arial"/>
                      <w:szCs w:val="20"/>
                      <w:lang w:eastAsia="en-AU"/>
                    </w:rPr>
                  </w:pPr>
                  <w:r w:rsidRPr="00AF1976">
                    <w:rPr>
                      <w:rFonts w:cs="Arial"/>
                      <w:szCs w:val="20"/>
                      <w:lang w:eastAsia="en-AU"/>
                    </w:rPr>
                    <w:t>School Attendance Officer</w:t>
                  </w:r>
                </w:p>
              </w:tc>
              <w:tc>
                <w:tcPr>
                  <w:tcW w:w="708" w:type="dxa"/>
                  <w:tcBorders>
                    <w:top w:val="nil"/>
                    <w:left w:val="nil"/>
                    <w:bottom w:val="single" w:sz="4" w:space="0" w:color="auto"/>
                    <w:right w:val="single" w:sz="4" w:space="0" w:color="auto"/>
                  </w:tcBorders>
                  <w:shd w:val="clear" w:color="auto" w:fill="auto"/>
                  <w:noWrap/>
                </w:tcPr>
                <w:p w14:paraId="5E0C4E33" w14:textId="77777777" w:rsidR="00B14E5E" w:rsidRPr="008E5925" w:rsidRDefault="00B14E5E" w:rsidP="00A90858">
                  <w:pPr>
                    <w:spacing w:after="60"/>
                    <w:jc w:val="right"/>
                    <w:rPr>
                      <w:rFonts w:cs="Arial"/>
                      <w:szCs w:val="20"/>
                      <w:lang w:eastAsia="en-AU"/>
                    </w:rPr>
                  </w:pPr>
                  <w:r w:rsidRPr="008E5925">
                    <w:rPr>
                      <w:rFonts w:cs="Arial"/>
                      <w:szCs w:val="20"/>
                    </w:rPr>
                    <w:t>0</w:t>
                  </w:r>
                </w:p>
              </w:tc>
              <w:tc>
                <w:tcPr>
                  <w:tcW w:w="709" w:type="dxa"/>
                  <w:tcBorders>
                    <w:top w:val="nil"/>
                    <w:left w:val="nil"/>
                    <w:bottom w:val="single" w:sz="4" w:space="0" w:color="auto"/>
                    <w:right w:val="single" w:sz="4" w:space="0" w:color="auto"/>
                  </w:tcBorders>
                  <w:shd w:val="clear" w:color="auto" w:fill="auto"/>
                  <w:noWrap/>
                </w:tcPr>
                <w:p w14:paraId="1920F4BD" w14:textId="77777777" w:rsidR="00B14E5E" w:rsidRPr="008E5925" w:rsidRDefault="00B14E5E" w:rsidP="00A90858">
                  <w:pPr>
                    <w:spacing w:after="60"/>
                    <w:jc w:val="right"/>
                    <w:rPr>
                      <w:rFonts w:cs="Arial"/>
                      <w:szCs w:val="20"/>
                      <w:lang w:eastAsia="en-AU"/>
                    </w:rPr>
                  </w:pPr>
                  <w:r w:rsidRPr="008E5925">
                    <w:rPr>
                      <w:rFonts w:cs="Arial"/>
                      <w:szCs w:val="20"/>
                    </w:rPr>
                    <w:t>0</w:t>
                  </w:r>
                </w:p>
              </w:tc>
              <w:tc>
                <w:tcPr>
                  <w:tcW w:w="709" w:type="dxa"/>
                  <w:tcBorders>
                    <w:top w:val="nil"/>
                    <w:left w:val="nil"/>
                    <w:bottom w:val="single" w:sz="4" w:space="0" w:color="auto"/>
                    <w:right w:val="single" w:sz="4" w:space="0" w:color="auto"/>
                  </w:tcBorders>
                  <w:shd w:val="clear" w:color="auto" w:fill="auto"/>
                  <w:noWrap/>
                </w:tcPr>
                <w:p w14:paraId="2059B3F4" w14:textId="77777777" w:rsidR="00B14E5E" w:rsidRPr="008E5925" w:rsidRDefault="00B14E5E" w:rsidP="00A90858">
                  <w:pPr>
                    <w:spacing w:after="60"/>
                    <w:jc w:val="right"/>
                    <w:rPr>
                      <w:rFonts w:cs="Arial"/>
                      <w:szCs w:val="20"/>
                      <w:lang w:eastAsia="en-AU"/>
                    </w:rPr>
                  </w:pPr>
                  <w:r w:rsidRPr="008E5925">
                    <w:rPr>
                      <w:rFonts w:cs="Arial"/>
                      <w:szCs w:val="20"/>
                    </w:rPr>
                    <w:t>1</w:t>
                  </w:r>
                </w:p>
              </w:tc>
              <w:tc>
                <w:tcPr>
                  <w:tcW w:w="709" w:type="dxa"/>
                  <w:tcBorders>
                    <w:top w:val="nil"/>
                    <w:left w:val="nil"/>
                    <w:bottom w:val="single" w:sz="4" w:space="0" w:color="auto"/>
                    <w:right w:val="single" w:sz="4" w:space="0" w:color="auto"/>
                  </w:tcBorders>
                  <w:shd w:val="clear" w:color="auto" w:fill="auto"/>
                  <w:noWrap/>
                </w:tcPr>
                <w:p w14:paraId="2C596172" w14:textId="77777777" w:rsidR="00B14E5E" w:rsidRPr="008E5925" w:rsidRDefault="00B14E5E" w:rsidP="00A90858">
                  <w:pPr>
                    <w:spacing w:after="60"/>
                    <w:jc w:val="right"/>
                    <w:rPr>
                      <w:rFonts w:cs="Arial"/>
                      <w:szCs w:val="20"/>
                      <w:lang w:eastAsia="en-AU"/>
                    </w:rPr>
                  </w:pPr>
                  <w:r w:rsidRPr="008E5925">
                    <w:rPr>
                      <w:rFonts w:cs="Arial"/>
                      <w:szCs w:val="20"/>
                    </w:rPr>
                    <w:t>6</w:t>
                  </w:r>
                </w:p>
              </w:tc>
            </w:tr>
            <w:tr w:rsidR="00B14E5E" w:rsidRPr="005D104F" w14:paraId="4F51BB52" w14:textId="77777777" w:rsidTr="00A90858">
              <w:trPr>
                <w:trHeight w:val="255"/>
              </w:trPr>
              <w:tc>
                <w:tcPr>
                  <w:tcW w:w="2178" w:type="dxa"/>
                  <w:tcBorders>
                    <w:top w:val="nil"/>
                    <w:left w:val="single" w:sz="4" w:space="0" w:color="auto"/>
                    <w:bottom w:val="single" w:sz="4" w:space="0" w:color="auto"/>
                    <w:right w:val="single" w:sz="4" w:space="0" w:color="auto"/>
                  </w:tcBorders>
                  <w:shd w:val="clear" w:color="auto" w:fill="auto"/>
                  <w:noWrap/>
                </w:tcPr>
                <w:p w14:paraId="13BEF0D9" w14:textId="77777777" w:rsidR="00B14E5E" w:rsidRPr="005D104F" w:rsidRDefault="00B14E5E" w:rsidP="00A90858">
                  <w:pPr>
                    <w:spacing w:after="60"/>
                    <w:rPr>
                      <w:rFonts w:cs="Arial"/>
                      <w:szCs w:val="20"/>
                      <w:lang w:eastAsia="en-AU"/>
                    </w:rPr>
                  </w:pPr>
                  <w:r w:rsidRPr="00AF1976">
                    <w:rPr>
                      <w:rFonts w:cs="Arial"/>
                      <w:szCs w:val="20"/>
                      <w:lang w:eastAsia="en-AU"/>
                    </w:rPr>
                    <w:t>Strong Families - Parenting Program</w:t>
                  </w:r>
                </w:p>
              </w:tc>
              <w:tc>
                <w:tcPr>
                  <w:tcW w:w="708" w:type="dxa"/>
                  <w:tcBorders>
                    <w:top w:val="nil"/>
                    <w:left w:val="nil"/>
                    <w:bottom w:val="single" w:sz="4" w:space="0" w:color="auto"/>
                    <w:right w:val="single" w:sz="4" w:space="0" w:color="auto"/>
                  </w:tcBorders>
                  <w:shd w:val="clear" w:color="auto" w:fill="auto"/>
                  <w:noWrap/>
                </w:tcPr>
                <w:p w14:paraId="1F2A7FB0" w14:textId="77777777" w:rsidR="00B14E5E" w:rsidRPr="008E5925" w:rsidRDefault="00B14E5E" w:rsidP="00A90858">
                  <w:pPr>
                    <w:spacing w:after="60"/>
                    <w:jc w:val="right"/>
                    <w:rPr>
                      <w:rFonts w:cs="Arial"/>
                      <w:szCs w:val="20"/>
                    </w:rPr>
                  </w:pPr>
                  <w:r w:rsidRPr="008E5925">
                    <w:rPr>
                      <w:rFonts w:cs="Arial"/>
                      <w:szCs w:val="20"/>
                    </w:rPr>
                    <w:t>1</w:t>
                  </w:r>
                </w:p>
              </w:tc>
              <w:tc>
                <w:tcPr>
                  <w:tcW w:w="709" w:type="dxa"/>
                  <w:tcBorders>
                    <w:top w:val="nil"/>
                    <w:left w:val="nil"/>
                    <w:bottom w:val="single" w:sz="4" w:space="0" w:color="auto"/>
                    <w:right w:val="single" w:sz="4" w:space="0" w:color="auto"/>
                  </w:tcBorders>
                  <w:shd w:val="clear" w:color="auto" w:fill="auto"/>
                  <w:noWrap/>
                </w:tcPr>
                <w:p w14:paraId="3C714806" w14:textId="77777777" w:rsidR="00B14E5E" w:rsidRPr="008E5925" w:rsidRDefault="00B14E5E" w:rsidP="00A90858">
                  <w:pPr>
                    <w:spacing w:after="60"/>
                    <w:jc w:val="right"/>
                    <w:rPr>
                      <w:rFonts w:cs="Arial"/>
                      <w:szCs w:val="20"/>
                    </w:rPr>
                  </w:pPr>
                  <w:r w:rsidRPr="008E5925">
                    <w:rPr>
                      <w:rFonts w:cs="Arial"/>
                      <w:szCs w:val="20"/>
                    </w:rPr>
                    <w:t>0</w:t>
                  </w:r>
                </w:p>
              </w:tc>
              <w:tc>
                <w:tcPr>
                  <w:tcW w:w="709" w:type="dxa"/>
                  <w:tcBorders>
                    <w:top w:val="nil"/>
                    <w:left w:val="nil"/>
                    <w:bottom w:val="single" w:sz="4" w:space="0" w:color="auto"/>
                    <w:right w:val="single" w:sz="4" w:space="0" w:color="auto"/>
                  </w:tcBorders>
                  <w:shd w:val="clear" w:color="auto" w:fill="auto"/>
                  <w:noWrap/>
                </w:tcPr>
                <w:p w14:paraId="60E4D3C9" w14:textId="77777777" w:rsidR="00B14E5E" w:rsidRPr="008E5925" w:rsidRDefault="00B14E5E" w:rsidP="00A90858">
                  <w:pPr>
                    <w:spacing w:after="60"/>
                    <w:jc w:val="right"/>
                    <w:rPr>
                      <w:rFonts w:cs="Arial"/>
                      <w:szCs w:val="20"/>
                    </w:rPr>
                  </w:pPr>
                  <w:r w:rsidRPr="008E5925">
                    <w:rPr>
                      <w:rFonts w:cs="Arial"/>
                      <w:szCs w:val="20"/>
                    </w:rPr>
                    <w:t>0</w:t>
                  </w:r>
                </w:p>
              </w:tc>
              <w:tc>
                <w:tcPr>
                  <w:tcW w:w="709" w:type="dxa"/>
                  <w:tcBorders>
                    <w:top w:val="nil"/>
                    <w:left w:val="nil"/>
                    <w:bottom w:val="single" w:sz="4" w:space="0" w:color="auto"/>
                    <w:right w:val="single" w:sz="4" w:space="0" w:color="auto"/>
                  </w:tcBorders>
                  <w:shd w:val="clear" w:color="auto" w:fill="auto"/>
                  <w:noWrap/>
                </w:tcPr>
                <w:p w14:paraId="459DBC68" w14:textId="77777777" w:rsidR="00B14E5E" w:rsidRPr="008E5925" w:rsidRDefault="00B14E5E" w:rsidP="00A90858">
                  <w:pPr>
                    <w:spacing w:after="60"/>
                    <w:jc w:val="right"/>
                    <w:rPr>
                      <w:rFonts w:cs="Arial"/>
                      <w:szCs w:val="20"/>
                      <w:lang w:eastAsia="en-AU"/>
                    </w:rPr>
                  </w:pPr>
                  <w:r w:rsidRPr="008E5925">
                    <w:rPr>
                      <w:rFonts w:cs="Arial"/>
                      <w:szCs w:val="20"/>
                    </w:rPr>
                    <w:t>0</w:t>
                  </w:r>
                </w:p>
              </w:tc>
            </w:tr>
            <w:tr w:rsidR="00B14E5E" w:rsidRPr="005D104F" w14:paraId="14878A28" w14:textId="77777777" w:rsidTr="00A90858">
              <w:trPr>
                <w:trHeight w:val="255"/>
              </w:trPr>
              <w:tc>
                <w:tcPr>
                  <w:tcW w:w="2178" w:type="dxa"/>
                  <w:tcBorders>
                    <w:top w:val="nil"/>
                    <w:left w:val="single" w:sz="4" w:space="0" w:color="auto"/>
                    <w:bottom w:val="single" w:sz="4" w:space="0" w:color="auto"/>
                    <w:right w:val="single" w:sz="4" w:space="0" w:color="auto"/>
                  </w:tcBorders>
                  <w:shd w:val="clear" w:color="auto" w:fill="auto"/>
                  <w:noWrap/>
                </w:tcPr>
                <w:p w14:paraId="0D8C14F4" w14:textId="77777777" w:rsidR="00B14E5E" w:rsidRPr="005D104F" w:rsidRDefault="00B14E5E" w:rsidP="00A90858">
                  <w:pPr>
                    <w:spacing w:after="60"/>
                    <w:rPr>
                      <w:rFonts w:cs="Arial"/>
                      <w:szCs w:val="20"/>
                      <w:lang w:eastAsia="en-AU"/>
                    </w:rPr>
                  </w:pPr>
                  <w:r w:rsidRPr="00AF1976">
                    <w:rPr>
                      <w:rFonts w:cs="Arial"/>
                      <w:szCs w:val="20"/>
                      <w:lang w:eastAsia="en-AU"/>
                    </w:rPr>
                    <w:t xml:space="preserve">RAATSIC </w:t>
                  </w:r>
                  <w:r>
                    <w:rPr>
                      <w:rFonts w:cs="Arial"/>
                      <w:szCs w:val="20"/>
                      <w:lang w:eastAsia="en-AU"/>
                    </w:rPr>
                    <w:t>–</w:t>
                  </w:r>
                  <w:r w:rsidRPr="00AF1976">
                    <w:rPr>
                      <w:rFonts w:cs="Arial"/>
                      <w:szCs w:val="20"/>
                      <w:lang w:eastAsia="en-AU"/>
                    </w:rPr>
                    <w:t xml:space="preserve"> </w:t>
                  </w:r>
                  <w:r>
                    <w:rPr>
                      <w:rFonts w:cs="Arial"/>
                      <w:szCs w:val="20"/>
                      <w:lang w:eastAsia="en-AU"/>
                    </w:rPr>
                    <w:t xml:space="preserve">(FWS) - </w:t>
                  </w:r>
                  <w:r w:rsidRPr="00AF1976">
                    <w:rPr>
                      <w:rFonts w:cs="Arial"/>
                      <w:szCs w:val="20"/>
                      <w:lang w:eastAsia="en-AU"/>
                    </w:rPr>
                    <w:t>Parenting Program</w:t>
                  </w:r>
                </w:p>
              </w:tc>
              <w:tc>
                <w:tcPr>
                  <w:tcW w:w="708" w:type="dxa"/>
                  <w:tcBorders>
                    <w:top w:val="nil"/>
                    <w:left w:val="nil"/>
                    <w:bottom w:val="single" w:sz="4" w:space="0" w:color="auto"/>
                    <w:right w:val="single" w:sz="4" w:space="0" w:color="auto"/>
                  </w:tcBorders>
                  <w:shd w:val="clear" w:color="auto" w:fill="auto"/>
                  <w:noWrap/>
                </w:tcPr>
                <w:p w14:paraId="520C9826" w14:textId="77777777" w:rsidR="00B14E5E" w:rsidRPr="008E5925" w:rsidRDefault="00B14E5E" w:rsidP="00A90858">
                  <w:pPr>
                    <w:spacing w:after="60"/>
                    <w:jc w:val="right"/>
                    <w:rPr>
                      <w:rFonts w:cs="Arial"/>
                      <w:szCs w:val="20"/>
                    </w:rPr>
                  </w:pPr>
                  <w:r w:rsidRPr="008E5925">
                    <w:rPr>
                      <w:rFonts w:cs="Arial"/>
                      <w:szCs w:val="20"/>
                    </w:rPr>
                    <w:t>0</w:t>
                  </w:r>
                </w:p>
              </w:tc>
              <w:tc>
                <w:tcPr>
                  <w:tcW w:w="709" w:type="dxa"/>
                  <w:tcBorders>
                    <w:top w:val="nil"/>
                    <w:left w:val="nil"/>
                    <w:bottom w:val="single" w:sz="4" w:space="0" w:color="auto"/>
                    <w:right w:val="single" w:sz="4" w:space="0" w:color="auto"/>
                  </w:tcBorders>
                  <w:shd w:val="clear" w:color="auto" w:fill="auto"/>
                  <w:noWrap/>
                </w:tcPr>
                <w:p w14:paraId="4835DCE5" w14:textId="77777777" w:rsidR="00B14E5E" w:rsidRPr="008E5925" w:rsidRDefault="00B14E5E" w:rsidP="00A90858">
                  <w:pPr>
                    <w:spacing w:after="60"/>
                    <w:jc w:val="right"/>
                    <w:rPr>
                      <w:rFonts w:cs="Arial"/>
                      <w:szCs w:val="20"/>
                    </w:rPr>
                  </w:pPr>
                  <w:r w:rsidRPr="008E5925">
                    <w:rPr>
                      <w:rFonts w:cs="Arial"/>
                      <w:szCs w:val="20"/>
                    </w:rPr>
                    <w:t>0</w:t>
                  </w:r>
                </w:p>
              </w:tc>
              <w:tc>
                <w:tcPr>
                  <w:tcW w:w="709" w:type="dxa"/>
                  <w:tcBorders>
                    <w:top w:val="nil"/>
                    <w:left w:val="nil"/>
                    <w:bottom w:val="single" w:sz="4" w:space="0" w:color="auto"/>
                    <w:right w:val="single" w:sz="4" w:space="0" w:color="auto"/>
                  </w:tcBorders>
                  <w:shd w:val="clear" w:color="auto" w:fill="auto"/>
                  <w:noWrap/>
                </w:tcPr>
                <w:p w14:paraId="55681708" w14:textId="77777777" w:rsidR="00B14E5E" w:rsidRPr="008E5925" w:rsidRDefault="00B14E5E" w:rsidP="00A90858">
                  <w:pPr>
                    <w:spacing w:after="60"/>
                    <w:jc w:val="right"/>
                    <w:rPr>
                      <w:rFonts w:cs="Arial"/>
                      <w:szCs w:val="20"/>
                    </w:rPr>
                  </w:pPr>
                  <w:r w:rsidRPr="008E5925">
                    <w:rPr>
                      <w:rFonts w:cs="Arial"/>
                      <w:szCs w:val="20"/>
                    </w:rPr>
                    <w:t>0</w:t>
                  </w:r>
                </w:p>
              </w:tc>
              <w:tc>
                <w:tcPr>
                  <w:tcW w:w="709" w:type="dxa"/>
                  <w:tcBorders>
                    <w:top w:val="nil"/>
                    <w:left w:val="nil"/>
                    <w:bottom w:val="single" w:sz="4" w:space="0" w:color="auto"/>
                    <w:right w:val="single" w:sz="4" w:space="0" w:color="auto"/>
                  </w:tcBorders>
                  <w:shd w:val="clear" w:color="auto" w:fill="auto"/>
                  <w:noWrap/>
                </w:tcPr>
                <w:p w14:paraId="15485F95" w14:textId="77777777" w:rsidR="00B14E5E" w:rsidRPr="008E5925" w:rsidRDefault="00B14E5E" w:rsidP="00A90858">
                  <w:pPr>
                    <w:spacing w:after="60"/>
                    <w:jc w:val="right"/>
                    <w:rPr>
                      <w:rFonts w:cs="Arial"/>
                      <w:szCs w:val="20"/>
                      <w:lang w:eastAsia="en-AU"/>
                    </w:rPr>
                  </w:pPr>
                  <w:r w:rsidRPr="008E5925">
                    <w:rPr>
                      <w:rFonts w:cs="Arial"/>
                      <w:szCs w:val="20"/>
                    </w:rPr>
                    <w:t>4</w:t>
                  </w:r>
                </w:p>
              </w:tc>
            </w:tr>
            <w:tr w:rsidR="00B14E5E" w:rsidRPr="005D104F" w14:paraId="71B80074" w14:textId="77777777" w:rsidTr="00A90858">
              <w:trPr>
                <w:trHeight w:val="255"/>
              </w:trPr>
              <w:tc>
                <w:tcPr>
                  <w:tcW w:w="2178" w:type="dxa"/>
                  <w:tcBorders>
                    <w:top w:val="nil"/>
                    <w:left w:val="single" w:sz="4" w:space="0" w:color="auto"/>
                    <w:bottom w:val="single" w:sz="4" w:space="0" w:color="auto"/>
                    <w:right w:val="single" w:sz="4" w:space="0" w:color="auto"/>
                  </w:tcBorders>
                  <w:shd w:val="clear" w:color="auto" w:fill="auto"/>
                  <w:noWrap/>
                </w:tcPr>
                <w:p w14:paraId="2ECBEEC2" w14:textId="77777777" w:rsidR="00B14E5E" w:rsidRPr="005D104F" w:rsidRDefault="00B14E5E" w:rsidP="00A90858">
                  <w:pPr>
                    <w:spacing w:after="60"/>
                    <w:rPr>
                      <w:rFonts w:cs="Arial"/>
                      <w:szCs w:val="20"/>
                      <w:lang w:eastAsia="en-AU"/>
                    </w:rPr>
                  </w:pPr>
                  <w:r w:rsidRPr="00AF1976">
                    <w:rPr>
                      <w:rFonts w:cs="Arial"/>
                      <w:szCs w:val="20"/>
                      <w:lang w:eastAsia="en-AU"/>
                    </w:rPr>
                    <w:t>Gungarde (</w:t>
                  </w:r>
                  <w:r>
                    <w:rPr>
                      <w:rFonts w:cs="Arial"/>
                      <w:szCs w:val="20"/>
                      <w:lang w:eastAsia="en-AU"/>
                    </w:rPr>
                    <w:t>FWS</w:t>
                  </w:r>
                  <w:r w:rsidRPr="00AF1976">
                    <w:rPr>
                      <w:rFonts w:cs="Arial"/>
                      <w:szCs w:val="20"/>
                      <w:lang w:eastAsia="en-AU"/>
                    </w:rPr>
                    <w:t>) - Parenting Program</w:t>
                  </w:r>
                </w:p>
              </w:tc>
              <w:tc>
                <w:tcPr>
                  <w:tcW w:w="708" w:type="dxa"/>
                  <w:tcBorders>
                    <w:top w:val="nil"/>
                    <w:left w:val="nil"/>
                    <w:bottom w:val="single" w:sz="4" w:space="0" w:color="auto"/>
                    <w:right w:val="single" w:sz="4" w:space="0" w:color="auto"/>
                  </w:tcBorders>
                  <w:shd w:val="clear" w:color="auto" w:fill="auto"/>
                  <w:noWrap/>
                </w:tcPr>
                <w:p w14:paraId="6093543A" w14:textId="77777777" w:rsidR="00B14E5E" w:rsidRPr="008E5925" w:rsidRDefault="00B14E5E" w:rsidP="00A90858">
                  <w:pPr>
                    <w:spacing w:after="60"/>
                    <w:jc w:val="right"/>
                    <w:rPr>
                      <w:rFonts w:cs="Arial"/>
                      <w:szCs w:val="20"/>
                    </w:rPr>
                  </w:pPr>
                  <w:r w:rsidRPr="008E5925">
                    <w:rPr>
                      <w:rFonts w:cs="Arial"/>
                      <w:szCs w:val="20"/>
                    </w:rPr>
                    <w:t>0</w:t>
                  </w:r>
                </w:p>
              </w:tc>
              <w:tc>
                <w:tcPr>
                  <w:tcW w:w="709" w:type="dxa"/>
                  <w:tcBorders>
                    <w:top w:val="nil"/>
                    <w:left w:val="nil"/>
                    <w:bottom w:val="single" w:sz="4" w:space="0" w:color="auto"/>
                    <w:right w:val="single" w:sz="4" w:space="0" w:color="auto"/>
                  </w:tcBorders>
                  <w:shd w:val="clear" w:color="auto" w:fill="auto"/>
                  <w:noWrap/>
                </w:tcPr>
                <w:p w14:paraId="0F13276A" w14:textId="77777777" w:rsidR="00B14E5E" w:rsidRPr="008E5925" w:rsidRDefault="00B14E5E" w:rsidP="00A90858">
                  <w:pPr>
                    <w:spacing w:after="60"/>
                    <w:jc w:val="right"/>
                    <w:rPr>
                      <w:rFonts w:cs="Arial"/>
                      <w:szCs w:val="20"/>
                    </w:rPr>
                  </w:pPr>
                  <w:r w:rsidRPr="008E5925">
                    <w:rPr>
                      <w:rFonts w:cs="Arial"/>
                      <w:szCs w:val="20"/>
                    </w:rPr>
                    <w:t>0</w:t>
                  </w:r>
                </w:p>
              </w:tc>
              <w:tc>
                <w:tcPr>
                  <w:tcW w:w="709" w:type="dxa"/>
                  <w:tcBorders>
                    <w:top w:val="nil"/>
                    <w:left w:val="nil"/>
                    <w:bottom w:val="single" w:sz="4" w:space="0" w:color="auto"/>
                    <w:right w:val="single" w:sz="4" w:space="0" w:color="auto"/>
                  </w:tcBorders>
                  <w:shd w:val="clear" w:color="auto" w:fill="auto"/>
                  <w:noWrap/>
                </w:tcPr>
                <w:p w14:paraId="6CDBC806" w14:textId="77777777" w:rsidR="00B14E5E" w:rsidRPr="008E5925" w:rsidRDefault="00B14E5E" w:rsidP="00A90858">
                  <w:pPr>
                    <w:spacing w:after="60"/>
                    <w:jc w:val="right"/>
                    <w:rPr>
                      <w:rFonts w:cs="Arial"/>
                      <w:szCs w:val="20"/>
                    </w:rPr>
                  </w:pPr>
                  <w:r w:rsidRPr="008E5925">
                    <w:rPr>
                      <w:rFonts w:cs="Arial"/>
                      <w:szCs w:val="20"/>
                    </w:rPr>
                    <w:t>0</w:t>
                  </w:r>
                </w:p>
              </w:tc>
              <w:tc>
                <w:tcPr>
                  <w:tcW w:w="709" w:type="dxa"/>
                  <w:tcBorders>
                    <w:top w:val="nil"/>
                    <w:left w:val="nil"/>
                    <w:bottom w:val="single" w:sz="4" w:space="0" w:color="auto"/>
                    <w:right w:val="single" w:sz="4" w:space="0" w:color="auto"/>
                  </w:tcBorders>
                  <w:shd w:val="clear" w:color="auto" w:fill="auto"/>
                  <w:noWrap/>
                </w:tcPr>
                <w:p w14:paraId="46958910" w14:textId="77777777" w:rsidR="00B14E5E" w:rsidRPr="008E5925" w:rsidRDefault="00B14E5E" w:rsidP="00A90858">
                  <w:pPr>
                    <w:spacing w:after="60"/>
                    <w:jc w:val="right"/>
                    <w:rPr>
                      <w:rFonts w:cs="Arial"/>
                      <w:szCs w:val="20"/>
                      <w:lang w:eastAsia="en-AU"/>
                    </w:rPr>
                  </w:pPr>
                  <w:r w:rsidRPr="008E5925">
                    <w:rPr>
                      <w:rFonts w:cs="Arial"/>
                      <w:szCs w:val="20"/>
                    </w:rPr>
                    <w:t>0</w:t>
                  </w:r>
                </w:p>
              </w:tc>
            </w:tr>
            <w:tr w:rsidR="00B14E5E" w:rsidRPr="005D104F" w14:paraId="6A0DD2A4" w14:textId="77777777" w:rsidTr="00A90858">
              <w:trPr>
                <w:trHeight w:val="255"/>
              </w:trPr>
              <w:tc>
                <w:tcPr>
                  <w:tcW w:w="2178" w:type="dxa"/>
                  <w:tcBorders>
                    <w:top w:val="nil"/>
                    <w:left w:val="single" w:sz="4" w:space="0" w:color="auto"/>
                    <w:bottom w:val="single" w:sz="4" w:space="0" w:color="auto"/>
                    <w:right w:val="single" w:sz="4" w:space="0" w:color="auto"/>
                  </w:tcBorders>
                  <w:shd w:val="clear" w:color="auto" w:fill="auto"/>
                  <w:noWrap/>
                  <w:hideMark/>
                </w:tcPr>
                <w:p w14:paraId="3AF65395" w14:textId="77777777" w:rsidR="00B14E5E" w:rsidRPr="005D104F" w:rsidRDefault="00B14E5E" w:rsidP="00A90858">
                  <w:pPr>
                    <w:spacing w:after="60"/>
                    <w:rPr>
                      <w:rFonts w:cs="Arial"/>
                      <w:szCs w:val="20"/>
                      <w:lang w:eastAsia="en-AU"/>
                    </w:rPr>
                  </w:pPr>
                  <w:proofErr w:type="spellStart"/>
                  <w:r w:rsidRPr="00AF1976">
                    <w:rPr>
                      <w:rFonts w:cs="Arial"/>
                      <w:szCs w:val="20"/>
                      <w:lang w:eastAsia="en-AU"/>
                    </w:rPr>
                    <w:t>Mulungu</w:t>
                  </w:r>
                  <w:proofErr w:type="spellEnd"/>
                  <w:r w:rsidRPr="00AF1976">
                    <w:rPr>
                      <w:rFonts w:cs="Arial"/>
                      <w:szCs w:val="20"/>
                      <w:lang w:eastAsia="en-AU"/>
                    </w:rPr>
                    <w:t xml:space="preserve"> (F</w:t>
                  </w:r>
                  <w:r>
                    <w:rPr>
                      <w:rFonts w:cs="Arial"/>
                      <w:szCs w:val="20"/>
                      <w:lang w:eastAsia="en-AU"/>
                    </w:rPr>
                    <w:t>WS</w:t>
                  </w:r>
                  <w:r w:rsidRPr="00AF1976">
                    <w:rPr>
                      <w:rFonts w:cs="Arial"/>
                      <w:szCs w:val="20"/>
                      <w:lang w:eastAsia="en-AU"/>
                    </w:rPr>
                    <w:t>) - Parenting Program</w:t>
                  </w:r>
                </w:p>
              </w:tc>
              <w:tc>
                <w:tcPr>
                  <w:tcW w:w="708" w:type="dxa"/>
                  <w:tcBorders>
                    <w:top w:val="nil"/>
                    <w:left w:val="nil"/>
                    <w:bottom w:val="single" w:sz="4" w:space="0" w:color="auto"/>
                    <w:right w:val="single" w:sz="4" w:space="0" w:color="auto"/>
                  </w:tcBorders>
                  <w:shd w:val="clear" w:color="auto" w:fill="auto"/>
                  <w:noWrap/>
                </w:tcPr>
                <w:p w14:paraId="16F15545" w14:textId="77777777" w:rsidR="00B14E5E" w:rsidRPr="008E5925" w:rsidRDefault="00B14E5E" w:rsidP="00A90858">
                  <w:pPr>
                    <w:spacing w:after="60"/>
                    <w:jc w:val="right"/>
                    <w:rPr>
                      <w:rFonts w:cs="Arial"/>
                      <w:szCs w:val="20"/>
                      <w:lang w:eastAsia="en-AU"/>
                    </w:rPr>
                  </w:pPr>
                  <w:r w:rsidRPr="008E5925">
                    <w:rPr>
                      <w:rFonts w:cs="Arial"/>
                      <w:szCs w:val="20"/>
                    </w:rPr>
                    <w:t>0</w:t>
                  </w:r>
                </w:p>
              </w:tc>
              <w:tc>
                <w:tcPr>
                  <w:tcW w:w="709" w:type="dxa"/>
                  <w:tcBorders>
                    <w:top w:val="nil"/>
                    <w:left w:val="nil"/>
                    <w:bottom w:val="single" w:sz="4" w:space="0" w:color="auto"/>
                    <w:right w:val="single" w:sz="4" w:space="0" w:color="auto"/>
                  </w:tcBorders>
                  <w:shd w:val="clear" w:color="auto" w:fill="auto"/>
                  <w:noWrap/>
                </w:tcPr>
                <w:p w14:paraId="4360FF40" w14:textId="77777777" w:rsidR="00B14E5E" w:rsidRPr="008E5925" w:rsidRDefault="00B14E5E" w:rsidP="00A90858">
                  <w:pPr>
                    <w:spacing w:after="60"/>
                    <w:jc w:val="right"/>
                    <w:rPr>
                      <w:rFonts w:cs="Arial"/>
                      <w:szCs w:val="20"/>
                      <w:lang w:eastAsia="en-AU"/>
                    </w:rPr>
                  </w:pPr>
                  <w:r w:rsidRPr="008E5925">
                    <w:rPr>
                      <w:rFonts w:cs="Arial"/>
                      <w:szCs w:val="20"/>
                    </w:rPr>
                    <w:t>0</w:t>
                  </w:r>
                </w:p>
              </w:tc>
              <w:tc>
                <w:tcPr>
                  <w:tcW w:w="709" w:type="dxa"/>
                  <w:tcBorders>
                    <w:top w:val="nil"/>
                    <w:left w:val="nil"/>
                    <w:bottom w:val="single" w:sz="4" w:space="0" w:color="auto"/>
                    <w:right w:val="single" w:sz="4" w:space="0" w:color="auto"/>
                  </w:tcBorders>
                  <w:shd w:val="clear" w:color="auto" w:fill="auto"/>
                  <w:noWrap/>
                </w:tcPr>
                <w:p w14:paraId="7B2D0327" w14:textId="77777777" w:rsidR="00B14E5E" w:rsidRPr="008E5925" w:rsidRDefault="00B14E5E" w:rsidP="00A90858">
                  <w:pPr>
                    <w:spacing w:after="60"/>
                    <w:jc w:val="right"/>
                    <w:rPr>
                      <w:rFonts w:cs="Arial"/>
                      <w:szCs w:val="20"/>
                      <w:lang w:eastAsia="en-AU"/>
                    </w:rPr>
                  </w:pPr>
                  <w:r w:rsidRPr="008E5925">
                    <w:rPr>
                      <w:rFonts w:cs="Arial"/>
                      <w:szCs w:val="20"/>
                    </w:rPr>
                    <w:t>0</w:t>
                  </w:r>
                </w:p>
              </w:tc>
              <w:tc>
                <w:tcPr>
                  <w:tcW w:w="709" w:type="dxa"/>
                  <w:tcBorders>
                    <w:top w:val="nil"/>
                    <w:left w:val="nil"/>
                    <w:bottom w:val="single" w:sz="4" w:space="0" w:color="auto"/>
                    <w:right w:val="single" w:sz="4" w:space="0" w:color="auto"/>
                  </w:tcBorders>
                  <w:shd w:val="clear" w:color="auto" w:fill="auto"/>
                  <w:noWrap/>
                </w:tcPr>
                <w:p w14:paraId="08DEE542" w14:textId="77777777" w:rsidR="00B14E5E" w:rsidRPr="008E5925" w:rsidRDefault="00B14E5E" w:rsidP="00A90858">
                  <w:pPr>
                    <w:spacing w:after="60"/>
                    <w:jc w:val="right"/>
                    <w:rPr>
                      <w:rFonts w:cs="Arial"/>
                      <w:szCs w:val="20"/>
                      <w:lang w:eastAsia="en-AU"/>
                    </w:rPr>
                  </w:pPr>
                  <w:r w:rsidRPr="008E5925">
                    <w:rPr>
                      <w:rFonts w:cs="Arial"/>
                      <w:szCs w:val="20"/>
                    </w:rPr>
                    <w:t>1</w:t>
                  </w:r>
                </w:p>
              </w:tc>
            </w:tr>
            <w:tr w:rsidR="00B14E5E" w:rsidRPr="005D104F" w14:paraId="3153F0BB" w14:textId="77777777" w:rsidTr="00A90858">
              <w:trPr>
                <w:trHeight w:val="255"/>
              </w:trPr>
              <w:tc>
                <w:tcPr>
                  <w:tcW w:w="2178" w:type="dxa"/>
                  <w:tcBorders>
                    <w:top w:val="nil"/>
                    <w:left w:val="single" w:sz="4" w:space="0" w:color="auto"/>
                    <w:bottom w:val="single" w:sz="4" w:space="0" w:color="auto"/>
                    <w:right w:val="single" w:sz="4" w:space="0" w:color="auto"/>
                  </w:tcBorders>
                  <w:shd w:val="clear" w:color="auto" w:fill="auto"/>
                  <w:noWrap/>
                  <w:hideMark/>
                </w:tcPr>
                <w:p w14:paraId="2F56CA3A" w14:textId="77777777" w:rsidR="00B14E5E" w:rsidRPr="005D104F" w:rsidRDefault="00B14E5E" w:rsidP="00A90858">
                  <w:pPr>
                    <w:spacing w:after="60"/>
                    <w:rPr>
                      <w:rFonts w:cs="Arial"/>
                      <w:szCs w:val="20"/>
                      <w:lang w:eastAsia="en-AU"/>
                    </w:rPr>
                  </w:pPr>
                  <w:r w:rsidRPr="005D104F">
                    <w:rPr>
                      <w:rFonts w:cs="Arial"/>
                      <w:szCs w:val="20"/>
                      <w:lang w:eastAsia="en-AU"/>
                    </w:rPr>
                    <w:t>QLD Health</w:t>
                  </w:r>
                </w:p>
              </w:tc>
              <w:tc>
                <w:tcPr>
                  <w:tcW w:w="708" w:type="dxa"/>
                  <w:tcBorders>
                    <w:top w:val="nil"/>
                    <w:left w:val="nil"/>
                    <w:bottom w:val="single" w:sz="4" w:space="0" w:color="auto"/>
                    <w:right w:val="single" w:sz="4" w:space="0" w:color="auto"/>
                  </w:tcBorders>
                  <w:shd w:val="clear" w:color="auto" w:fill="auto"/>
                  <w:noWrap/>
                </w:tcPr>
                <w:p w14:paraId="2F98D515" w14:textId="77777777" w:rsidR="00B14E5E" w:rsidRPr="008E5925" w:rsidRDefault="00B14E5E" w:rsidP="00A90858">
                  <w:pPr>
                    <w:spacing w:after="60"/>
                    <w:jc w:val="right"/>
                    <w:rPr>
                      <w:rFonts w:cs="Arial"/>
                      <w:szCs w:val="20"/>
                      <w:lang w:eastAsia="en-AU"/>
                    </w:rPr>
                  </w:pPr>
                  <w:r w:rsidRPr="008E5925">
                    <w:rPr>
                      <w:rFonts w:cs="Arial"/>
                      <w:szCs w:val="20"/>
                    </w:rPr>
                    <w:t>1</w:t>
                  </w:r>
                </w:p>
              </w:tc>
              <w:tc>
                <w:tcPr>
                  <w:tcW w:w="709" w:type="dxa"/>
                  <w:tcBorders>
                    <w:top w:val="nil"/>
                    <w:left w:val="nil"/>
                    <w:bottom w:val="single" w:sz="4" w:space="0" w:color="auto"/>
                    <w:right w:val="single" w:sz="4" w:space="0" w:color="auto"/>
                  </w:tcBorders>
                  <w:shd w:val="clear" w:color="auto" w:fill="auto"/>
                  <w:noWrap/>
                </w:tcPr>
                <w:p w14:paraId="15336172" w14:textId="77777777" w:rsidR="00B14E5E" w:rsidRPr="008E5925" w:rsidRDefault="00B14E5E" w:rsidP="00A90858">
                  <w:pPr>
                    <w:spacing w:after="60"/>
                    <w:jc w:val="right"/>
                    <w:rPr>
                      <w:rFonts w:cs="Arial"/>
                      <w:szCs w:val="20"/>
                      <w:lang w:eastAsia="en-AU"/>
                    </w:rPr>
                  </w:pPr>
                  <w:r w:rsidRPr="008E5925">
                    <w:rPr>
                      <w:rFonts w:cs="Arial"/>
                      <w:szCs w:val="20"/>
                    </w:rPr>
                    <w:t>0</w:t>
                  </w:r>
                </w:p>
              </w:tc>
              <w:tc>
                <w:tcPr>
                  <w:tcW w:w="709" w:type="dxa"/>
                  <w:tcBorders>
                    <w:top w:val="nil"/>
                    <w:left w:val="nil"/>
                    <w:bottom w:val="single" w:sz="4" w:space="0" w:color="auto"/>
                    <w:right w:val="single" w:sz="4" w:space="0" w:color="auto"/>
                  </w:tcBorders>
                  <w:shd w:val="clear" w:color="auto" w:fill="auto"/>
                  <w:noWrap/>
                </w:tcPr>
                <w:p w14:paraId="6F2E0B95" w14:textId="77777777" w:rsidR="00B14E5E" w:rsidRPr="008E5925" w:rsidRDefault="00B14E5E" w:rsidP="00A90858">
                  <w:pPr>
                    <w:spacing w:after="60"/>
                    <w:jc w:val="right"/>
                    <w:rPr>
                      <w:rFonts w:cs="Arial"/>
                      <w:szCs w:val="20"/>
                      <w:lang w:eastAsia="en-AU"/>
                    </w:rPr>
                  </w:pPr>
                  <w:r w:rsidRPr="008E5925">
                    <w:rPr>
                      <w:rFonts w:cs="Arial"/>
                      <w:szCs w:val="20"/>
                    </w:rPr>
                    <w:t>0</w:t>
                  </w:r>
                </w:p>
              </w:tc>
              <w:tc>
                <w:tcPr>
                  <w:tcW w:w="709" w:type="dxa"/>
                  <w:tcBorders>
                    <w:top w:val="nil"/>
                    <w:left w:val="nil"/>
                    <w:bottom w:val="single" w:sz="4" w:space="0" w:color="auto"/>
                    <w:right w:val="single" w:sz="4" w:space="0" w:color="auto"/>
                  </w:tcBorders>
                  <w:shd w:val="clear" w:color="auto" w:fill="auto"/>
                  <w:noWrap/>
                </w:tcPr>
                <w:p w14:paraId="547F43AC" w14:textId="77777777" w:rsidR="00B14E5E" w:rsidRPr="008E5925" w:rsidRDefault="00B14E5E" w:rsidP="00A90858">
                  <w:pPr>
                    <w:spacing w:after="60"/>
                    <w:jc w:val="right"/>
                    <w:rPr>
                      <w:rFonts w:cs="Arial"/>
                      <w:szCs w:val="20"/>
                      <w:lang w:eastAsia="en-AU"/>
                    </w:rPr>
                  </w:pPr>
                  <w:r w:rsidRPr="008E5925">
                    <w:rPr>
                      <w:rFonts w:cs="Arial"/>
                      <w:szCs w:val="20"/>
                    </w:rPr>
                    <w:t>1</w:t>
                  </w:r>
                </w:p>
              </w:tc>
            </w:tr>
            <w:tr w:rsidR="00B14E5E" w:rsidRPr="005D104F" w14:paraId="0C42ED6E" w14:textId="77777777" w:rsidTr="00A90858">
              <w:trPr>
                <w:trHeight w:val="255"/>
              </w:trPr>
              <w:tc>
                <w:tcPr>
                  <w:tcW w:w="2178" w:type="dxa"/>
                  <w:tcBorders>
                    <w:top w:val="nil"/>
                    <w:left w:val="single" w:sz="4" w:space="0" w:color="auto"/>
                    <w:bottom w:val="single" w:sz="4" w:space="0" w:color="auto"/>
                    <w:right w:val="single" w:sz="4" w:space="0" w:color="auto"/>
                  </w:tcBorders>
                  <w:shd w:val="clear" w:color="auto" w:fill="auto"/>
                  <w:noWrap/>
                  <w:hideMark/>
                </w:tcPr>
                <w:p w14:paraId="7C470834" w14:textId="77777777" w:rsidR="00B14E5E" w:rsidRPr="005D104F" w:rsidRDefault="00B14E5E" w:rsidP="00A90858">
                  <w:pPr>
                    <w:spacing w:after="60"/>
                    <w:rPr>
                      <w:rFonts w:cs="Arial"/>
                      <w:szCs w:val="20"/>
                      <w:lang w:eastAsia="en-AU"/>
                    </w:rPr>
                  </w:pPr>
                  <w:r w:rsidRPr="005D104F">
                    <w:rPr>
                      <w:rFonts w:cs="Arial"/>
                      <w:szCs w:val="20"/>
                      <w:lang w:eastAsia="en-AU"/>
                    </w:rPr>
                    <w:t>Save the Children</w:t>
                  </w:r>
                </w:p>
              </w:tc>
              <w:tc>
                <w:tcPr>
                  <w:tcW w:w="708" w:type="dxa"/>
                  <w:tcBorders>
                    <w:top w:val="nil"/>
                    <w:left w:val="nil"/>
                    <w:bottom w:val="single" w:sz="4" w:space="0" w:color="auto"/>
                    <w:right w:val="single" w:sz="4" w:space="0" w:color="auto"/>
                  </w:tcBorders>
                  <w:shd w:val="clear" w:color="auto" w:fill="auto"/>
                  <w:noWrap/>
                </w:tcPr>
                <w:p w14:paraId="4C129DAA" w14:textId="77777777" w:rsidR="00B14E5E" w:rsidRPr="008E5925" w:rsidRDefault="00B14E5E" w:rsidP="00A90858">
                  <w:pPr>
                    <w:spacing w:after="60"/>
                    <w:jc w:val="right"/>
                    <w:rPr>
                      <w:rFonts w:cs="Arial"/>
                      <w:szCs w:val="20"/>
                      <w:lang w:eastAsia="en-AU"/>
                    </w:rPr>
                  </w:pPr>
                  <w:r w:rsidRPr="008E5925">
                    <w:rPr>
                      <w:rFonts w:cs="Arial"/>
                      <w:szCs w:val="20"/>
                    </w:rPr>
                    <w:t>7</w:t>
                  </w:r>
                </w:p>
              </w:tc>
              <w:tc>
                <w:tcPr>
                  <w:tcW w:w="709" w:type="dxa"/>
                  <w:tcBorders>
                    <w:top w:val="nil"/>
                    <w:left w:val="nil"/>
                    <w:bottom w:val="single" w:sz="4" w:space="0" w:color="auto"/>
                    <w:right w:val="single" w:sz="4" w:space="0" w:color="auto"/>
                  </w:tcBorders>
                  <w:shd w:val="clear" w:color="auto" w:fill="auto"/>
                  <w:noWrap/>
                </w:tcPr>
                <w:p w14:paraId="01375675" w14:textId="77777777" w:rsidR="00B14E5E" w:rsidRPr="008E5925" w:rsidRDefault="00B14E5E" w:rsidP="00A90858">
                  <w:pPr>
                    <w:spacing w:after="60"/>
                    <w:jc w:val="right"/>
                    <w:rPr>
                      <w:rFonts w:cs="Arial"/>
                      <w:szCs w:val="20"/>
                      <w:lang w:eastAsia="en-AU"/>
                    </w:rPr>
                  </w:pPr>
                  <w:r w:rsidRPr="008E5925">
                    <w:rPr>
                      <w:rFonts w:cs="Arial"/>
                      <w:szCs w:val="20"/>
                    </w:rPr>
                    <w:t>2</w:t>
                  </w:r>
                </w:p>
              </w:tc>
              <w:tc>
                <w:tcPr>
                  <w:tcW w:w="709" w:type="dxa"/>
                  <w:tcBorders>
                    <w:top w:val="nil"/>
                    <w:left w:val="nil"/>
                    <w:bottom w:val="single" w:sz="4" w:space="0" w:color="auto"/>
                    <w:right w:val="single" w:sz="4" w:space="0" w:color="auto"/>
                  </w:tcBorders>
                  <w:shd w:val="clear" w:color="auto" w:fill="auto"/>
                  <w:noWrap/>
                </w:tcPr>
                <w:p w14:paraId="42FC75DC" w14:textId="77777777" w:rsidR="00B14E5E" w:rsidRPr="008E5925" w:rsidRDefault="00B14E5E" w:rsidP="00A90858">
                  <w:pPr>
                    <w:spacing w:after="60"/>
                    <w:jc w:val="right"/>
                    <w:rPr>
                      <w:rFonts w:cs="Arial"/>
                      <w:szCs w:val="20"/>
                      <w:lang w:eastAsia="en-AU"/>
                    </w:rPr>
                  </w:pPr>
                  <w:r w:rsidRPr="008E5925">
                    <w:rPr>
                      <w:rFonts w:cs="Arial"/>
                      <w:szCs w:val="20"/>
                    </w:rPr>
                    <w:t>1</w:t>
                  </w:r>
                </w:p>
              </w:tc>
              <w:tc>
                <w:tcPr>
                  <w:tcW w:w="709" w:type="dxa"/>
                  <w:tcBorders>
                    <w:top w:val="nil"/>
                    <w:left w:val="nil"/>
                    <w:bottom w:val="single" w:sz="4" w:space="0" w:color="auto"/>
                    <w:right w:val="single" w:sz="4" w:space="0" w:color="auto"/>
                  </w:tcBorders>
                  <w:shd w:val="clear" w:color="auto" w:fill="auto"/>
                  <w:noWrap/>
                </w:tcPr>
                <w:p w14:paraId="6A424AF8" w14:textId="77777777" w:rsidR="00B14E5E" w:rsidRPr="008E5925" w:rsidRDefault="00B14E5E" w:rsidP="00A90858">
                  <w:pPr>
                    <w:spacing w:after="60"/>
                    <w:jc w:val="right"/>
                    <w:rPr>
                      <w:rFonts w:cs="Arial"/>
                      <w:szCs w:val="20"/>
                      <w:lang w:eastAsia="en-AU"/>
                    </w:rPr>
                  </w:pPr>
                  <w:r w:rsidRPr="008E5925">
                    <w:rPr>
                      <w:rFonts w:cs="Arial"/>
                      <w:szCs w:val="20"/>
                    </w:rPr>
                    <w:t>0</w:t>
                  </w:r>
                </w:p>
              </w:tc>
            </w:tr>
            <w:tr w:rsidR="00B14E5E" w:rsidRPr="005D104F" w14:paraId="39C00C3C" w14:textId="77777777" w:rsidTr="00A90858">
              <w:trPr>
                <w:trHeight w:val="255"/>
              </w:trPr>
              <w:tc>
                <w:tcPr>
                  <w:tcW w:w="2178" w:type="dxa"/>
                  <w:tcBorders>
                    <w:top w:val="single" w:sz="4" w:space="0" w:color="auto"/>
                    <w:left w:val="single" w:sz="4" w:space="0" w:color="auto"/>
                    <w:bottom w:val="single" w:sz="4" w:space="0" w:color="auto"/>
                    <w:right w:val="single" w:sz="4" w:space="0" w:color="auto"/>
                  </w:tcBorders>
                  <w:shd w:val="clear" w:color="auto" w:fill="auto"/>
                  <w:noWrap/>
                </w:tcPr>
                <w:p w14:paraId="7E9B468F" w14:textId="77777777" w:rsidR="00B14E5E" w:rsidRPr="005D104F" w:rsidRDefault="00B14E5E" w:rsidP="00A90858">
                  <w:pPr>
                    <w:spacing w:after="60"/>
                    <w:rPr>
                      <w:rFonts w:cs="Arial"/>
                      <w:b/>
                      <w:bCs/>
                      <w:szCs w:val="20"/>
                      <w:lang w:eastAsia="en-AU"/>
                    </w:rPr>
                  </w:pPr>
                  <w:r w:rsidRPr="005D104F">
                    <w:rPr>
                      <w:rFonts w:cs="Arial"/>
                      <w:b/>
                      <w:bCs/>
                      <w:szCs w:val="20"/>
                      <w:lang w:eastAsia="en-AU"/>
                    </w:rPr>
                    <w:t>Total</w:t>
                  </w:r>
                </w:p>
              </w:tc>
              <w:tc>
                <w:tcPr>
                  <w:tcW w:w="708" w:type="dxa"/>
                  <w:tcBorders>
                    <w:top w:val="single" w:sz="4" w:space="0" w:color="auto"/>
                    <w:left w:val="nil"/>
                    <w:bottom w:val="single" w:sz="4" w:space="0" w:color="auto"/>
                    <w:right w:val="single" w:sz="4" w:space="0" w:color="auto"/>
                  </w:tcBorders>
                  <w:shd w:val="clear" w:color="auto" w:fill="auto"/>
                  <w:noWrap/>
                </w:tcPr>
                <w:p w14:paraId="25EEE598" w14:textId="77777777" w:rsidR="00B14E5E" w:rsidRPr="008E5925" w:rsidRDefault="00B14E5E" w:rsidP="00A90858">
                  <w:pPr>
                    <w:spacing w:after="60"/>
                    <w:jc w:val="right"/>
                    <w:rPr>
                      <w:rFonts w:cs="Arial"/>
                      <w:b/>
                      <w:bCs/>
                      <w:szCs w:val="20"/>
                      <w:lang w:eastAsia="en-AU"/>
                    </w:rPr>
                  </w:pPr>
                  <w:r w:rsidRPr="008E5925">
                    <w:rPr>
                      <w:rFonts w:cs="Arial"/>
                      <w:b/>
                      <w:bCs/>
                      <w:szCs w:val="20"/>
                    </w:rPr>
                    <w:t>24</w:t>
                  </w:r>
                </w:p>
              </w:tc>
              <w:tc>
                <w:tcPr>
                  <w:tcW w:w="709" w:type="dxa"/>
                  <w:tcBorders>
                    <w:top w:val="single" w:sz="4" w:space="0" w:color="auto"/>
                    <w:left w:val="nil"/>
                    <w:bottom w:val="single" w:sz="4" w:space="0" w:color="auto"/>
                    <w:right w:val="single" w:sz="4" w:space="0" w:color="auto"/>
                  </w:tcBorders>
                  <w:shd w:val="clear" w:color="auto" w:fill="auto"/>
                  <w:noWrap/>
                </w:tcPr>
                <w:p w14:paraId="58EAC59E" w14:textId="77777777" w:rsidR="00B14E5E" w:rsidRPr="008E5925" w:rsidRDefault="00B14E5E" w:rsidP="00A90858">
                  <w:pPr>
                    <w:spacing w:after="60"/>
                    <w:jc w:val="right"/>
                    <w:rPr>
                      <w:rFonts w:cs="Arial"/>
                      <w:b/>
                      <w:bCs/>
                      <w:szCs w:val="20"/>
                      <w:lang w:eastAsia="en-AU"/>
                    </w:rPr>
                  </w:pPr>
                  <w:r w:rsidRPr="008E5925">
                    <w:rPr>
                      <w:rFonts w:cs="Arial"/>
                      <w:b/>
                      <w:bCs/>
                      <w:szCs w:val="20"/>
                    </w:rPr>
                    <w:t>16</w:t>
                  </w:r>
                </w:p>
              </w:tc>
              <w:tc>
                <w:tcPr>
                  <w:tcW w:w="709" w:type="dxa"/>
                  <w:tcBorders>
                    <w:top w:val="single" w:sz="4" w:space="0" w:color="auto"/>
                    <w:left w:val="nil"/>
                    <w:bottom w:val="single" w:sz="4" w:space="0" w:color="auto"/>
                    <w:right w:val="single" w:sz="4" w:space="0" w:color="auto"/>
                  </w:tcBorders>
                  <w:shd w:val="clear" w:color="auto" w:fill="auto"/>
                  <w:noWrap/>
                </w:tcPr>
                <w:p w14:paraId="41AC3097" w14:textId="77777777" w:rsidR="00B14E5E" w:rsidRPr="008E5925" w:rsidRDefault="00B14E5E" w:rsidP="00A90858">
                  <w:pPr>
                    <w:spacing w:after="60"/>
                    <w:jc w:val="right"/>
                    <w:rPr>
                      <w:rFonts w:cs="Arial"/>
                      <w:b/>
                      <w:bCs/>
                      <w:szCs w:val="20"/>
                      <w:lang w:eastAsia="en-AU"/>
                    </w:rPr>
                  </w:pPr>
                  <w:r w:rsidRPr="008E5925">
                    <w:rPr>
                      <w:rFonts w:cs="Arial"/>
                      <w:b/>
                      <w:bCs/>
                      <w:szCs w:val="20"/>
                    </w:rPr>
                    <w:t>8</w:t>
                  </w:r>
                </w:p>
              </w:tc>
              <w:tc>
                <w:tcPr>
                  <w:tcW w:w="709" w:type="dxa"/>
                  <w:tcBorders>
                    <w:top w:val="single" w:sz="4" w:space="0" w:color="auto"/>
                    <w:left w:val="nil"/>
                    <w:bottom w:val="single" w:sz="4" w:space="0" w:color="auto"/>
                    <w:right w:val="single" w:sz="4" w:space="0" w:color="auto"/>
                  </w:tcBorders>
                  <w:shd w:val="clear" w:color="auto" w:fill="auto"/>
                  <w:noWrap/>
                </w:tcPr>
                <w:p w14:paraId="05D0E3CE" w14:textId="77777777" w:rsidR="00B14E5E" w:rsidRPr="008E5925" w:rsidRDefault="00B14E5E" w:rsidP="00A90858">
                  <w:pPr>
                    <w:spacing w:after="60"/>
                    <w:jc w:val="right"/>
                    <w:rPr>
                      <w:rFonts w:cs="Arial"/>
                      <w:b/>
                      <w:bCs/>
                      <w:szCs w:val="20"/>
                      <w:lang w:eastAsia="en-AU"/>
                    </w:rPr>
                  </w:pPr>
                  <w:r w:rsidRPr="008E5925">
                    <w:rPr>
                      <w:rFonts w:cs="Arial"/>
                      <w:b/>
                      <w:bCs/>
                      <w:szCs w:val="20"/>
                    </w:rPr>
                    <w:t>33</w:t>
                  </w:r>
                </w:p>
              </w:tc>
            </w:tr>
          </w:tbl>
          <w:p w14:paraId="17A22EB2" w14:textId="77777777" w:rsidR="00B14E5E" w:rsidRDefault="00B14E5E" w:rsidP="00A90858">
            <w:pPr>
              <w:spacing w:before="120"/>
            </w:pPr>
          </w:p>
          <w:p w14:paraId="43E60E6C" w14:textId="77777777" w:rsidR="00B14E5E" w:rsidRDefault="00B14E5E" w:rsidP="00A90858">
            <w:pPr>
              <w:spacing w:before="120"/>
            </w:pPr>
          </w:p>
          <w:p w14:paraId="6BC42211" w14:textId="77777777" w:rsidR="00B14E5E" w:rsidRDefault="00B14E5E" w:rsidP="00A90858">
            <w:pPr>
              <w:spacing w:before="120"/>
            </w:pPr>
          </w:p>
          <w:p w14:paraId="5E5BE866" w14:textId="77777777" w:rsidR="00B14E5E" w:rsidRDefault="00B14E5E" w:rsidP="00A90858">
            <w:pPr>
              <w:spacing w:before="120"/>
            </w:pPr>
          </w:p>
          <w:p w14:paraId="06EF8592" w14:textId="77777777" w:rsidR="00B14E5E" w:rsidRDefault="00B14E5E" w:rsidP="00A90858">
            <w:pPr>
              <w:spacing w:before="120"/>
            </w:pPr>
          </w:p>
          <w:p w14:paraId="2DE3F6D3" w14:textId="77777777" w:rsidR="00B14E5E" w:rsidRPr="001A4A81" w:rsidRDefault="00B14E5E" w:rsidP="00BC3193">
            <w:pPr>
              <w:pStyle w:val="Heading3"/>
            </w:pPr>
            <w:r w:rsidRPr="001A4A81">
              <w:lastRenderedPageBreak/>
              <w:t>Conditional income management</w:t>
            </w:r>
          </w:p>
          <w:p w14:paraId="1D80CCC1" w14:textId="6EE8A9CD" w:rsidR="00B14E5E" w:rsidRPr="005D104F" w:rsidRDefault="00B14E5E" w:rsidP="00A90858">
            <w:r w:rsidRPr="005D104F">
              <w:t xml:space="preserve">In </w:t>
            </w:r>
            <w:r w:rsidRPr="00313BE2">
              <w:t>this reporting period 233 CIM orders were issued to 176</w:t>
            </w:r>
            <w:r w:rsidRPr="005D104F">
              <w:t xml:space="preserve"> clients which</w:t>
            </w:r>
            <w:r>
              <w:t xml:space="preserve"> as at 30 June 2019</w:t>
            </w:r>
            <w:r w:rsidRPr="005D104F">
              <w:t xml:space="preserve"> equates </w:t>
            </w:r>
            <w:r w:rsidRPr="00C2432C">
              <w:t xml:space="preserve">to 7.3 </w:t>
            </w:r>
            <w:r w:rsidRPr="005D104F">
              <w:t xml:space="preserve">percent of </w:t>
            </w:r>
            <w:r>
              <w:t xml:space="preserve">Commission </w:t>
            </w:r>
            <w:r w:rsidRPr="005D104F">
              <w:t>clients. CIM remains a flexible tool used by Commissioners to improve the welfare of children by encouraging families to ensure basic household needs are met and to encourage consistency in school attendance.</w:t>
            </w:r>
            <w:r>
              <w:t xml:space="preserve"> As noted, Commissioners have recently </w:t>
            </w:r>
            <w:r w:rsidRPr="00352BEA">
              <w:t xml:space="preserve">issued </w:t>
            </w:r>
            <w:r w:rsidR="00763D72" w:rsidRPr="00352BEA">
              <w:t>CIM</w:t>
            </w:r>
            <w:r w:rsidRPr="00352BEA">
              <w:t xml:space="preserve"> orders to </w:t>
            </w:r>
            <w:proofErr w:type="gramStart"/>
            <w:r w:rsidRPr="00352BEA">
              <w:t>a number of</w:t>
            </w:r>
            <w:proofErr w:type="gramEnd"/>
            <w:r w:rsidRPr="00352BEA">
              <w:t xml:space="preserve"> clients who have consistently missed conference</w:t>
            </w:r>
            <w:r>
              <w:t xml:space="preserve"> without an acceptable excuse. Aurukun Commissioners issued </w:t>
            </w:r>
            <w:r w:rsidR="00364453">
              <w:t xml:space="preserve">33 </w:t>
            </w:r>
            <w:r>
              <w:t xml:space="preserve">CIM orders, Doomadgee issued </w:t>
            </w:r>
            <w:r w:rsidR="00364453">
              <w:t>37</w:t>
            </w:r>
            <w:r>
              <w:t xml:space="preserve">, Mossman Gorge </w:t>
            </w:r>
            <w:r w:rsidR="00364453">
              <w:t>8</w:t>
            </w:r>
            <w:r>
              <w:t xml:space="preserve"> and Coen and Hope Vale 5 CIM orders in the last quarter of the year.</w:t>
            </w:r>
          </w:p>
          <w:p w14:paraId="713BC241" w14:textId="4F4173D9" w:rsidR="00B14E5E" w:rsidRPr="005D104F" w:rsidRDefault="00B14E5E" w:rsidP="00A90858">
            <w:pPr>
              <w:widowControl w:val="0"/>
              <w:autoSpaceDE w:val="0"/>
              <w:autoSpaceDN w:val="0"/>
              <w:adjustRightInd w:val="0"/>
              <w:ind w:left="720" w:hanging="720"/>
              <w:rPr>
                <w:rFonts w:ascii="Helvetica" w:hAnsi="Helvetica" w:cs="Helvetica"/>
                <w:b/>
                <w:bCs/>
                <w:sz w:val="17"/>
                <w:szCs w:val="17"/>
                <w:lang w:val="en-US"/>
              </w:rPr>
            </w:pPr>
            <w:r w:rsidRPr="005D104F">
              <w:rPr>
                <w:rFonts w:ascii="Helvetica" w:hAnsi="Helvetica" w:cs="Helvetica"/>
                <w:b/>
                <w:bCs/>
                <w:sz w:val="17"/>
                <w:szCs w:val="17"/>
                <w:lang w:val="en-US"/>
              </w:rPr>
              <w:t>Table 1</w:t>
            </w:r>
            <w:r w:rsidR="00026F4C">
              <w:rPr>
                <w:rFonts w:ascii="Helvetica" w:hAnsi="Helvetica" w:cs="Helvetica"/>
                <w:b/>
                <w:bCs/>
                <w:sz w:val="17"/>
                <w:szCs w:val="17"/>
                <w:lang w:val="en-US"/>
              </w:rPr>
              <w:t>6</w:t>
            </w:r>
            <w:r w:rsidRPr="005D104F">
              <w:rPr>
                <w:rFonts w:ascii="Helvetica" w:hAnsi="Helvetica" w:cs="Helvetica"/>
                <w:b/>
                <w:bCs/>
                <w:sz w:val="17"/>
                <w:szCs w:val="17"/>
                <w:lang w:val="en-US"/>
              </w:rPr>
              <w:t xml:space="preserve">: Number of times a client has been placed on </w:t>
            </w:r>
            <w:r>
              <w:rPr>
                <w:rFonts w:ascii="Helvetica" w:hAnsi="Helvetica" w:cs="Helvetica"/>
                <w:b/>
                <w:bCs/>
                <w:sz w:val="17"/>
                <w:szCs w:val="17"/>
                <w:lang w:val="en-US"/>
              </w:rPr>
              <w:t>CIM</w:t>
            </w:r>
            <w:r w:rsidRPr="005D104F">
              <w:rPr>
                <w:rFonts w:ascii="Helvetica" w:hAnsi="Helvetica" w:cs="Helvetica"/>
                <w:b/>
                <w:bCs/>
                <w:sz w:val="17"/>
                <w:szCs w:val="17"/>
                <w:lang w:val="en-US"/>
              </w:rPr>
              <w:t xml:space="preserve"> per community</w:t>
            </w:r>
            <w:r>
              <w:rPr>
                <w:rFonts w:ascii="Helvetica" w:hAnsi="Helvetica" w:cs="Helvetica"/>
                <w:b/>
                <w:bCs/>
                <w:sz w:val="17"/>
                <w:szCs w:val="17"/>
                <w:lang w:val="en-US"/>
              </w:rPr>
              <w:t xml:space="preserve"> </w:t>
            </w:r>
            <w:r w:rsidRPr="005D104F">
              <w:rPr>
                <w:rFonts w:ascii="Helvetica" w:hAnsi="Helvetica" w:cs="Helvetica"/>
                <w:b/>
                <w:bCs/>
                <w:sz w:val="17"/>
                <w:szCs w:val="17"/>
                <w:lang w:val="en-US"/>
              </w:rPr>
              <w:t>1 July 2008 to 30 June 201</w:t>
            </w:r>
            <w:r>
              <w:rPr>
                <w:rFonts w:ascii="Helvetica" w:hAnsi="Helvetica" w:cs="Helvetica"/>
                <w:b/>
                <w:bCs/>
                <w:sz w:val="17"/>
                <w:szCs w:val="17"/>
                <w:lang w:val="en-US"/>
              </w:rPr>
              <w:t>9</w:t>
            </w:r>
            <w:r w:rsidRPr="005D104F">
              <w:rPr>
                <w:rFonts w:ascii="Helvetica" w:hAnsi="Helvetica" w:cs="Helvetica"/>
                <w:b/>
                <w:bCs/>
                <w:sz w:val="17"/>
                <w:szCs w:val="17"/>
                <w:lang w:val="en-US"/>
              </w:rPr>
              <w:t>.</w:t>
            </w:r>
          </w:p>
          <w:tbl>
            <w:tblPr>
              <w:tblStyle w:val="TableGrid"/>
              <w:tblW w:w="0" w:type="auto"/>
              <w:tblLayout w:type="fixed"/>
              <w:tblLook w:val="04A0" w:firstRow="1" w:lastRow="0" w:firstColumn="1" w:lastColumn="0" w:noHBand="0" w:noVBand="1"/>
            </w:tblPr>
            <w:tblGrid>
              <w:gridCol w:w="1010"/>
              <w:gridCol w:w="773"/>
              <w:gridCol w:w="773"/>
              <w:gridCol w:w="773"/>
              <w:gridCol w:w="773"/>
              <w:gridCol w:w="773"/>
            </w:tblGrid>
            <w:tr w:rsidR="00B14E5E" w:rsidRPr="005D104F" w14:paraId="6E138ADA" w14:textId="77777777" w:rsidTr="00A90858">
              <w:tc>
                <w:tcPr>
                  <w:tcW w:w="1010" w:type="dxa"/>
                </w:tcPr>
                <w:p w14:paraId="1C983605" w14:textId="77777777" w:rsidR="00B14E5E" w:rsidRPr="005D104F" w:rsidRDefault="00B14E5E" w:rsidP="00A90858">
                  <w:pPr>
                    <w:rPr>
                      <w:b/>
                    </w:rPr>
                  </w:pPr>
                  <w:r>
                    <w:rPr>
                      <w:b/>
                    </w:rPr>
                    <w:t>No</w:t>
                  </w:r>
                  <w:r w:rsidRPr="005D104F">
                    <w:rPr>
                      <w:b/>
                    </w:rPr>
                    <w:t xml:space="preserve"> of CIMs</w:t>
                  </w:r>
                </w:p>
              </w:tc>
              <w:tc>
                <w:tcPr>
                  <w:tcW w:w="773" w:type="dxa"/>
                </w:tcPr>
                <w:p w14:paraId="165D21C7" w14:textId="77777777" w:rsidR="00B14E5E" w:rsidRPr="005D104F" w:rsidRDefault="00B14E5E" w:rsidP="00A90858">
                  <w:pPr>
                    <w:jc w:val="center"/>
                    <w:rPr>
                      <w:b/>
                    </w:rPr>
                  </w:pPr>
                  <w:proofErr w:type="spellStart"/>
                  <w:r w:rsidRPr="005D104F">
                    <w:rPr>
                      <w:b/>
                    </w:rPr>
                    <w:t>CIM’d</w:t>
                  </w:r>
                  <w:proofErr w:type="spellEnd"/>
                  <w:r w:rsidRPr="005D104F">
                    <w:rPr>
                      <w:b/>
                    </w:rPr>
                    <w:t xml:space="preserve"> </w:t>
                  </w:r>
                  <w:r w:rsidRPr="005D104F">
                    <w:rPr>
                      <w:b/>
                    </w:rPr>
                    <w:br/>
                    <w:t>only once</w:t>
                  </w:r>
                </w:p>
              </w:tc>
              <w:tc>
                <w:tcPr>
                  <w:tcW w:w="773" w:type="dxa"/>
                </w:tcPr>
                <w:p w14:paraId="0DE59F78" w14:textId="77777777" w:rsidR="00B14E5E" w:rsidRPr="005D104F" w:rsidRDefault="00B14E5E" w:rsidP="00A90858">
                  <w:pPr>
                    <w:jc w:val="center"/>
                    <w:rPr>
                      <w:b/>
                    </w:rPr>
                  </w:pPr>
                  <w:proofErr w:type="spellStart"/>
                  <w:r w:rsidRPr="005D104F">
                    <w:rPr>
                      <w:b/>
                    </w:rPr>
                    <w:t>CIM’d</w:t>
                  </w:r>
                  <w:proofErr w:type="spellEnd"/>
                  <w:r w:rsidRPr="005D104F">
                    <w:rPr>
                      <w:b/>
                    </w:rPr>
                    <w:t xml:space="preserve"> </w:t>
                  </w:r>
                  <w:r w:rsidRPr="005D104F">
                    <w:rPr>
                      <w:b/>
                    </w:rPr>
                    <w:br/>
                    <w:t>2-5 times</w:t>
                  </w:r>
                </w:p>
              </w:tc>
              <w:tc>
                <w:tcPr>
                  <w:tcW w:w="773" w:type="dxa"/>
                </w:tcPr>
                <w:p w14:paraId="3D237FB5" w14:textId="77777777" w:rsidR="00B14E5E" w:rsidRPr="005D104F" w:rsidRDefault="00B14E5E" w:rsidP="00A90858">
                  <w:pPr>
                    <w:jc w:val="center"/>
                    <w:rPr>
                      <w:b/>
                    </w:rPr>
                  </w:pPr>
                  <w:proofErr w:type="spellStart"/>
                  <w:r w:rsidRPr="005D104F">
                    <w:rPr>
                      <w:b/>
                    </w:rPr>
                    <w:t>CIM’d</w:t>
                  </w:r>
                  <w:proofErr w:type="spellEnd"/>
                  <w:r w:rsidRPr="005D104F">
                    <w:rPr>
                      <w:b/>
                    </w:rPr>
                    <w:t xml:space="preserve"> </w:t>
                  </w:r>
                  <w:r w:rsidRPr="005D104F">
                    <w:rPr>
                      <w:b/>
                    </w:rPr>
                    <w:br/>
                    <w:t>6-10 times</w:t>
                  </w:r>
                </w:p>
              </w:tc>
              <w:tc>
                <w:tcPr>
                  <w:tcW w:w="773" w:type="dxa"/>
                </w:tcPr>
                <w:p w14:paraId="15E716AD" w14:textId="77777777" w:rsidR="00B14E5E" w:rsidRPr="005D104F" w:rsidRDefault="00B14E5E" w:rsidP="00A90858">
                  <w:pPr>
                    <w:jc w:val="right"/>
                    <w:rPr>
                      <w:b/>
                    </w:rPr>
                  </w:pPr>
                  <w:proofErr w:type="spellStart"/>
                  <w:r w:rsidRPr="005D104F">
                    <w:rPr>
                      <w:b/>
                    </w:rPr>
                    <w:t>CIM’d</w:t>
                  </w:r>
                  <w:proofErr w:type="spellEnd"/>
                  <w:r w:rsidRPr="005D104F">
                    <w:rPr>
                      <w:b/>
                    </w:rPr>
                    <w:t xml:space="preserve"> </w:t>
                  </w:r>
                  <w:r w:rsidRPr="005D104F">
                    <w:rPr>
                      <w:b/>
                    </w:rPr>
                    <w:br/>
                    <w:t>11+ times</w:t>
                  </w:r>
                </w:p>
              </w:tc>
              <w:tc>
                <w:tcPr>
                  <w:tcW w:w="773" w:type="dxa"/>
                </w:tcPr>
                <w:p w14:paraId="5D5DAF1B" w14:textId="77777777" w:rsidR="00B14E5E" w:rsidRPr="005D104F" w:rsidRDefault="00B14E5E" w:rsidP="00A90858">
                  <w:pPr>
                    <w:jc w:val="right"/>
                    <w:rPr>
                      <w:b/>
                    </w:rPr>
                  </w:pPr>
                  <w:r w:rsidRPr="005D104F">
                    <w:rPr>
                      <w:b/>
                    </w:rPr>
                    <w:t>Total</w:t>
                  </w:r>
                </w:p>
              </w:tc>
            </w:tr>
            <w:tr w:rsidR="00B14E5E" w:rsidRPr="005D104F" w14:paraId="5BAC8B9C" w14:textId="77777777" w:rsidTr="00A90858">
              <w:trPr>
                <w:trHeight w:val="255"/>
              </w:trPr>
              <w:tc>
                <w:tcPr>
                  <w:tcW w:w="1010" w:type="dxa"/>
                </w:tcPr>
                <w:p w14:paraId="7EC2CA8C" w14:textId="77777777" w:rsidR="00B14E5E" w:rsidRPr="005D104F" w:rsidRDefault="00B14E5E" w:rsidP="00A90858">
                  <w:pPr>
                    <w:spacing w:after="60"/>
                    <w:rPr>
                      <w:rFonts w:cs="Arial"/>
                    </w:rPr>
                  </w:pPr>
                  <w:r w:rsidRPr="005D104F">
                    <w:rPr>
                      <w:rFonts w:cs="Arial"/>
                    </w:rPr>
                    <w:t>AU</w:t>
                  </w:r>
                </w:p>
              </w:tc>
              <w:tc>
                <w:tcPr>
                  <w:tcW w:w="773" w:type="dxa"/>
                  <w:vAlign w:val="bottom"/>
                </w:tcPr>
                <w:p w14:paraId="11E158B8" w14:textId="77777777" w:rsidR="00B14E5E" w:rsidRPr="008E5925" w:rsidRDefault="00B14E5E" w:rsidP="00A90858">
                  <w:pPr>
                    <w:spacing w:after="60"/>
                    <w:jc w:val="right"/>
                    <w:rPr>
                      <w:rFonts w:cs="Arial"/>
                    </w:rPr>
                  </w:pPr>
                  <w:r w:rsidRPr="008E5925">
                    <w:rPr>
                      <w:rFonts w:cs="Arial"/>
                      <w:color w:val="000000"/>
                    </w:rPr>
                    <w:t>143</w:t>
                  </w:r>
                </w:p>
              </w:tc>
              <w:tc>
                <w:tcPr>
                  <w:tcW w:w="773" w:type="dxa"/>
                  <w:vAlign w:val="bottom"/>
                </w:tcPr>
                <w:p w14:paraId="0D154810" w14:textId="77777777" w:rsidR="00B14E5E" w:rsidRPr="008E5925" w:rsidRDefault="00B14E5E" w:rsidP="00A90858">
                  <w:pPr>
                    <w:spacing w:after="60"/>
                    <w:jc w:val="right"/>
                    <w:rPr>
                      <w:rFonts w:cs="Arial"/>
                    </w:rPr>
                  </w:pPr>
                  <w:r w:rsidRPr="008E5925">
                    <w:rPr>
                      <w:rFonts w:cs="Arial"/>
                      <w:color w:val="000000"/>
                    </w:rPr>
                    <w:t>211</w:t>
                  </w:r>
                </w:p>
              </w:tc>
              <w:tc>
                <w:tcPr>
                  <w:tcW w:w="773" w:type="dxa"/>
                  <w:vAlign w:val="bottom"/>
                </w:tcPr>
                <w:p w14:paraId="047A50A7" w14:textId="77777777" w:rsidR="00B14E5E" w:rsidRPr="008E5925" w:rsidRDefault="00B14E5E" w:rsidP="00A90858">
                  <w:pPr>
                    <w:spacing w:after="60"/>
                    <w:jc w:val="right"/>
                    <w:rPr>
                      <w:rFonts w:cs="Arial"/>
                    </w:rPr>
                  </w:pPr>
                  <w:r w:rsidRPr="008E5925">
                    <w:rPr>
                      <w:rFonts w:cs="Arial"/>
                      <w:color w:val="000000"/>
                    </w:rPr>
                    <w:t>57</w:t>
                  </w:r>
                </w:p>
              </w:tc>
              <w:tc>
                <w:tcPr>
                  <w:tcW w:w="773" w:type="dxa"/>
                  <w:vAlign w:val="bottom"/>
                </w:tcPr>
                <w:p w14:paraId="6374CB0A" w14:textId="77777777" w:rsidR="00B14E5E" w:rsidRPr="008E5925" w:rsidRDefault="00B14E5E" w:rsidP="00A90858">
                  <w:pPr>
                    <w:spacing w:after="60"/>
                    <w:jc w:val="right"/>
                    <w:rPr>
                      <w:rFonts w:cs="Arial"/>
                    </w:rPr>
                  </w:pPr>
                  <w:r w:rsidRPr="008E5925">
                    <w:rPr>
                      <w:rFonts w:cs="Arial"/>
                      <w:color w:val="000000"/>
                    </w:rPr>
                    <w:t>16</w:t>
                  </w:r>
                </w:p>
              </w:tc>
              <w:tc>
                <w:tcPr>
                  <w:tcW w:w="773" w:type="dxa"/>
                  <w:vAlign w:val="bottom"/>
                </w:tcPr>
                <w:p w14:paraId="129E3D90" w14:textId="77777777" w:rsidR="00B14E5E" w:rsidRPr="008E5925" w:rsidRDefault="00B14E5E" w:rsidP="00A90858">
                  <w:pPr>
                    <w:spacing w:after="60"/>
                    <w:jc w:val="right"/>
                    <w:rPr>
                      <w:rFonts w:cs="Arial"/>
                      <w:b/>
                    </w:rPr>
                  </w:pPr>
                  <w:r w:rsidRPr="008E5925">
                    <w:rPr>
                      <w:rFonts w:cs="Arial"/>
                      <w:b/>
                      <w:bCs/>
                      <w:color w:val="000000"/>
                    </w:rPr>
                    <w:t>427</w:t>
                  </w:r>
                </w:p>
              </w:tc>
            </w:tr>
            <w:tr w:rsidR="00B14E5E" w:rsidRPr="005D104F" w14:paraId="536836DA" w14:textId="77777777" w:rsidTr="00A90858">
              <w:trPr>
                <w:trHeight w:val="255"/>
              </w:trPr>
              <w:tc>
                <w:tcPr>
                  <w:tcW w:w="1010" w:type="dxa"/>
                </w:tcPr>
                <w:p w14:paraId="0574D8C3" w14:textId="77777777" w:rsidR="00B14E5E" w:rsidRPr="005D104F" w:rsidRDefault="00B14E5E" w:rsidP="00A90858">
                  <w:pPr>
                    <w:spacing w:after="60"/>
                    <w:rPr>
                      <w:rFonts w:cs="Arial"/>
                    </w:rPr>
                  </w:pPr>
                  <w:r w:rsidRPr="005D104F">
                    <w:rPr>
                      <w:rFonts w:cs="Arial"/>
                    </w:rPr>
                    <w:t>CO</w:t>
                  </w:r>
                </w:p>
              </w:tc>
              <w:tc>
                <w:tcPr>
                  <w:tcW w:w="773" w:type="dxa"/>
                  <w:vAlign w:val="bottom"/>
                </w:tcPr>
                <w:p w14:paraId="6EAC5255" w14:textId="77777777" w:rsidR="00B14E5E" w:rsidRPr="008E5925" w:rsidRDefault="00B14E5E" w:rsidP="00A90858">
                  <w:pPr>
                    <w:spacing w:after="60"/>
                    <w:jc w:val="right"/>
                    <w:rPr>
                      <w:rFonts w:cs="Arial"/>
                    </w:rPr>
                  </w:pPr>
                  <w:r w:rsidRPr="008E5925">
                    <w:rPr>
                      <w:rFonts w:cs="Arial"/>
                      <w:color w:val="000000"/>
                    </w:rPr>
                    <w:t>29</w:t>
                  </w:r>
                </w:p>
              </w:tc>
              <w:tc>
                <w:tcPr>
                  <w:tcW w:w="773" w:type="dxa"/>
                  <w:vAlign w:val="bottom"/>
                </w:tcPr>
                <w:p w14:paraId="63DF6822" w14:textId="77777777" w:rsidR="00B14E5E" w:rsidRPr="008E5925" w:rsidRDefault="00B14E5E" w:rsidP="00A90858">
                  <w:pPr>
                    <w:spacing w:after="60"/>
                    <w:jc w:val="right"/>
                    <w:rPr>
                      <w:rFonts w:cs="Arial"/>
                    </w:rPr>
                  </w:pPr>
                  <w:r w:rsidRPr="008E5925">
                    <w:rPr>
                      <w:rFonts w:cs="Arial"/>
                      <w:color w:val="000000"/>
                    </w:rPr>
                    <w:t>30</w:t>
                  </w:r>
                </w:p>
              </w:tc>
              <w:tc>
                <w:tcPr>
                  <w:tcW w:w="773" w:type="dxa"/>
                  <w:vAlign w:val="bottom"/>
                </w:tcPr>
                <w:p w14:paraId="0CAAD7DE" w14:textId="77777777" w:rsidR="00B14E5E" w:rsidRPr="008E5925" w:rsidRDefault="00B14E5E" w:rsidP="00A90858">
                  <w:pPr>
                    <w:spacing w:after="60"/>
                    <w:jc w:val="right"/>
                    <w:rPr>
                      <w:rFonts w:cs="Arial"/>
                    </w:rPr>
                  </w:pPr>
                  <w:r w:rsidRPr="008E5925">
                    <w:rPr>
                      <w:rFonts w:cs="Arial"/>
                      <w:color w:val="000000"/>
                    </w:rPr>
                    <w:t>0</w:t>
                  </w:r>
                </w:p>
              </w:tc>
              <w:tc>
                <w:tcPr>
                  <w:tcW w:w="773" w:type="dxa"/>
                  <w:vAlign w:val="bottom"/>
                </w:tcPr>
                <w:p w14:paraId="11280843" w14:textId="77777777" w:rsidR="00B14E5E" w:rsidRPr="008E5925" w:rsidRDefault="00B14E5E" w:rsidP="00A90858">
                  <w:pPr>
                    <w:spacing w:after="60"/>
                    <w:jc w:val="right"/>
                    <w:rPr>
                      <w:rFonts w:cs="Arial"/>
                    </w:rPr>
                  </w:pPr>
                  <w:r w:rsidRPr="008E5925">
                    <w:rPr>
                      <w:rFonts w:cs="Arial"/>
                      <w:color w:val="000000"/>
                    </w:rPr>
                    <w:t>0</w:t>
                  </w:r>
                </w:p>
              </w:tc>
              <w:tc>
                <w:tcPr>
                  <w:tcW w:w="773" w:type="dxa"/>
                  <w:vAlign w:val="bottom"/>
                </w:tcPr>
                <w:p w14:paraId="47D1B70D" w14:textId="77777777" w:rsidR="00B14E5E" w:rsidRPr="008E5925" w:rsidRDefault="00B14E5E" w:rsidP="00A90858">
                  <w:pPr>
                    <w:spacing w:after="60"/>
                    <w:jc w:val="right"/>
                    <w:rPr>
                      <w:rFonts w:cs="Arial"/>
                      <w:b/>
                    </w:rPr>
                  </w:pPr>
                  <w:r w:rsidRPr="008E5925">
                    <w:rPr>
                      <w:rFonts w:cs="Arial"/>
                      <w:b/>
                      <w:bCs/>
                      <w:color w:val="000000"/>
                    </w:rPr>
                    <w:t>59</w:t>
                  </w:r>
                </w:p>
              </w:tc>
            </w:tr>
            <w:tr w:rsidR="00B14E5E" w:rsidRPr="005D104F" w14:paraId="58382A91" w14:textId="77777777" w:rsidTr="00A90858">
              <w:trPr>
                <w:trHeight w:val="255"/>
              </w:trPr>
              <w:tc>
                <w:tcPr>
                  <w:tcW w:w="1010" w:type="dxa"/>
                </w:tcPr>
                <w:p w14:paraId="600D2DD3" w14:textId="77777777" w:rsidR="00B14E5E" w:rsidRPr="005D104F" w:rsidRDefault="00B14E5E" w:rsidP="00A90858">
                  <w:pPr>
                    <w:spacing w:after="60"/>
                    <w:rPr>
                      <w:rFonts w:cs="Arial"/>
                    </w:rPr>
                  </w:pPr>
                  <w:r w:rsidRPr="005D104F">
                    <w:rPr>
                      <w:rFonts w:cs="Arial"/>
                    </w:rPr>
                    <w:t>DM</w:t>
                  </w:r>
                </w:p>
              </w:tc>
              <w:tc>
                <w:tcPr>
                  <w:tcW w:w="773" w:type="dxa"/>
                  <w:vAlign w:val="bottom"/>
                </w:tcPr>
                <w:p w14:paraId="74A3CF51" w14:textId="77777777" w:rsidR="00B14E5E" w:rsidRPr="008E5925" w:rsidRDefault="00B14E5E" w:rsidP="00A90858">
                  <w:pPr>
                    <w:spacing w:after="60"/>
                    <w:jc w:val="right"/>
                    <w:rPr>
                      <w:rFonts w:cs="Arial"/>
                    </w:rPr>
                  </w:pPr>
                  <w:r w:rsidRPr="008E5925">
                    <w:rPr>
                      <w:rFonts w:cs="Arial"/>
                      <w:color w:val="000000"/>
                    </w:rPr>
                    <w:t>42</w:t>
                  </w:r>
                </w:p>
              </w:tc>
              <w:tc>
                <w:tcPr>
                  <w:tcW w:w="773" w:type="dxa"/>
                  <w:vAlign w:val="bottom"/>
                </w:tcPr>
                <w:p w14:paraId="4B554432" w14:textId="77777777" w:rsidR="00B14E5E" w:rsidRPr="008E5925" w:rsidRDefault="00B14E5E" w:rsidP="00A90858">
                  <w:pPr>
                    <w:spacing w:after="60"/>
                    <w:jc w:val="right"/>
                    <w:rPr>
                      <w:rFonts w:cs="Arial"/>
                    </w:rPr>
                  </w:pPr>
                  <w:r w:rsidRPr="008E5925">
                    <w:rPr>
                      <w:rFonts w:cs="Arial"/>
                      <w:color w:val="000000"/>
                    </w:rPr>
                    <w:t>77</w:t>
                  </w:r>
                </w:p>
              </w:tc>
              <w:tc>
                <w:tcPr>
                  <w:tcW w:w="773" w:type="dxa"/>
                  <w:vAlign w:val="bottom"/>
                </w:tcPr>
                <w:p w14:paraId="2126100D" w14:textId="77777777" w:rsidR="00B14E5E" w:rsidRPr="008E5925" w:rsidRDefault="00B14E5E" w:rsidP="00A90858">
                  <w:pPr>
                    <w:spacing w:after="60"/>
                    <w:jc w:val="right"/>
                    <w:rPr>
                      <w:rFonts w:cs="Arial"/>
                    </w:rPr>
                  </w:pPr>
                  <w:r w:rsidRPr="008E5925">
                    <w:rPr>
                      <w:rFonts w:cs="Arial"/>
                      <w:color w:val="000000"/>
                    </w:rPr>
                    <w:t>0</w:t>
                  </w:r>
                </w:p>
              </w:tc>
              <w:tc>
                <w:tcPr>
                  <w:tcW w:w="773" w:type="dxa"/>
                  <w:vAlign w:val="bottom"/>
                </w:tcPr>
                <w:p w14:paraId="4C428D0D" w14:textId="77777777" w:rsidR="00B14E5E" w:rsidRPr="008E5925" w:rsidRDefault="00B14E5E" w:rsidP="00A90858">
                  <w:pPr>
                    <w:spacing w:after="60"/>
                    <w:jc w:val="right"/>
                    <w:rPr>
                      <w:rFonts w:cs="Arial"/>
                    </w:rPr>
                  </w:pPr>
                  <w:r w:rsidRPr="008E5925">
                    <w:rPr>
                      <w:rFonts w:cs="Arial"/>
                      <w:color w:val="000000"/>
                    </w:rPr>
                    <w:t>0</w:t>
                  </w:r>
                </w:p>
              </w:tc>
              <w:tc>
                <w:tcPr>
                  <w:tcW w:w="773" w:type="dxa"/>
                  <w:vAlign w:val="bottom"/>
                </w:tcPr>
                <w:p w14:paraId="302A0CC2" w14:textId="77777777" w:rsidR="00B14E5E" w:rsidRPr="008E5925" w:rsidRDefault="00B14E5E" w:rsidP="00A90858">
                  <w:pPr>
                    <w:spacing w:after="60"/>
                    <w:jc w:val="right"/>
                    <w:rPr>
                      <w:rFonts w:cs="Arial"/>
                      <w:b/>
                    </w:rPr>
                  </w:pPr>
                  <w:r w:rsidRPr="008E5925">
                    <w:rPr>
                      <w:rFonts w:cs="Arial"/>
                      <w:b/>
                      <w:bCs/>
                      <w:color w:val="000000"/>
                    </w:rPr>
                    <w:t>119</w:t>
                  </w:r>
                </w:p>
              </w:tc>
            </w:tr>
            <w:tr w:rsidR="00B14E5E" w:rsidRPr="005D104F" w14:paraId="2F0FF094" w14:textId="77777777" w:rsidTr="00A90858">
              <w:trPr>
                <w:trHeight w:val="255"/>
              </w:trPr>
              <w:tc>
                <w:tcPr>
                  <w:tcW w:w="1010" w:type="dxa"/>
                </w:tcPr>
                <w:p w14:paraId="7DC5F070" w14:textId="77777777" w:rsidR="00B14E5E" w:rsidRPr="005D104F" w:rsidRDefault="00B14E5E" w:rsidP="00A90858">
                  <w:pPr>
                    <w:spacing w:after="60"/>
                    <w:rPr>
                      <w:rFonts w:cs="Arial"/>
                    </w:rPr>
                  </w:pPr>
                  <w:r w:rsidRPr="005D104F">
                    <w:rPr>
                      <w:rFonts w:cs="Arial"/>
                    </w:rPr>
                    <w:t>HV</w:t>
                  </w:r>
                </w:p>
              </w:tc>
              <w:tc>
                <w:tcPr>
                  <w:tcW w:w="773" w:type="dxa"/>
                  <w:vAlign w:val="bottom"/>
                </w:tcPr>
                <w:p w14:paraId="2DA5EAE1" w14:textId="77777777" w:rsidR="00B14E5E" w:rsidRPr="008E5925" w:rsidRDefault="00B14E5E" w:rsidP="00A90858">
                  <w:pPr>
                    <w:spacing w:after="60"/>
                    <w:jc w:val="right"/>
                    <w:rPr>
                      <w:rFonts w:cs="Arial"/>
                    </w:rPr>
                  </w:pPr>
                  <w:r w:rsidRPr="008E5925">
                    <w:rPr>
                      <w:rFonts w:cs="Arial"/>
                      <w:color w:val="000000"/>
                    </w:rPr>
                    <w:t>89</w:t>
                  </w:r>
                </w:p>
              </w:tc>
              <w:tc>
                <w:tcPr>
                  <w:tcW w:w="773" w:type="dxa"/>
                  <w:vAlign w:val="bottom"/>
                </w:tcPr>
                <w:p w14:paraId="51308CAF" w14:textId="77777777" w:rsidR="00B14E5E" w:rsidRPr="008E5925" w:rsidRDefault="00B14E5E" w:rsidP="00A90858">
                  <w:pPr>
                    <w:spacing w:after="60"/>
                    <w:jc w:val="right"/>
                    <w:rPr>
                      <w:rFonts w:cs="Arial"/>
                    </w:rPr>
                  </w:pPr>
                  <w:r w:rsidRPr="008E5925">
                    <w:rPr>
                      <w:rFonts w:cs="Arial"/>
                      <w:color w:val="000000"/>
                    </w:rPr>
                    <w:t>110</w:t>
                  </w:r>
                </w:p>
              </w:tc>
              <w:tc>
                <w:tcPr>
                  <w:tcW w:w="773" w:type="dxa"/>
                  <w:vAlign w:val="bottom"/>
                </w:tcPr>
                <w:p w14:paraId="4E91F256" w14:textId="77777777" w:rsidR="00B14E5E" w:rsidRPr="008E5925" w:rsidRDefault="00B14E5E" w:rsidP="00A90858">
                  <w:pPr>
                    <w:spacing w:after="60"/>
                    <w:jc w:val="right"/>
                    <w:rPr>
                      <w:rFonts w:cs="Arial"/>
                    </w:rPr>
                  </w:pPr>
                  <w:r w:rsidRPr="008E5925">
                    <w:rPr>
                      <w:rFonts w:cs="Arial"/>
                      <w:color w:val="000000"/>
                    </w:rPr>
                    <w:t>14</w:t>
                  </w:r>
                </w:p>
              </w:tc>
              <w:tc>
                <w:tcPr>
                  <w:tcW w:w="773" w:type="dxa"/>
                  <w:vAlign w:val="bottom"/>
                </w:tcPr>
                <w:p w14:paraId="500AA223" w14:textId="77777777" w:rsidR="00B14E5E" w:rsidRPr="008E5925" w:rsidRDefault="00B14E5E" w:rsidP="00A90858">
                  <w:pPr>
                    <w:spacing w:after="60"/>
                    <w:jc w:val="right"/>
                    <w:rPr>
                      <w:rFonts w:cs="Arial"/>
                    </w:rPr>
                  </w:pPr>
                  <w:r w:rsidRPr="008E5925">
                    <w:rPr>
                      <w:rFonts w:cs="Arial"/>
                      <w:color w:val="000000"/>
                    </w:rPr>
                    <w:t>0</w:t>
                  </w:r>
                </w:p>
              </w:tc>
              <w:tc>
                <w:tcPr>
                  <w:tcW w:w="773" w:type="dxa"/>
                  <w:vAlign w:val="bottom"/>
                </w:tcPr>
                <w:p w14:paraId="42FAEAD6" w14:textId="77777777" w:rsidR="00B14E5E" w:rsidRPr="008E5925" w:rsidRDefault="00B14E5E" w:rsidP="00A90858">
                  <w:pPr>
                    <w:spacing w:after="60"/>
                    <w:jc w:val="right"/>
                    <w:rPr>
                      <w:rFonts w:cs="Arial"/>
                      <w:b/>
                    </w:rPr>
                  </w:pPr>
                  <w:r w:rsidRPr="008E5925">
                    <w:rPr>
                      <w:rFonts w:cs="Arial"/>
                      <w:b/>
                      <w:bCs/>
                      <w:color w:val="000000"/>
                    </w:rPr>
                    <w:t>213</w:t>
                  </w:r>
                </w:p>
              </w:tc>
            </w:tr>
            <w:tr w:rsidR="00B14E5E" w:rsidRPr="005D104F" w14:paraId="02886A4C" w14:textId="77777777" w:rsidTr="00A90858">
              <w:trPr>
                <w:trHeight w:val="255"/>
              </w:trPr>
              <w:tc>
                <w:tcPr>
                  <w:tcW w:w="1010" w:type="dxa"/>
                </w:tcPr>
                <w:p w14:paraId="118D39A2" w14:textId="77777777" w:rsidR="00B14E5E" w:rsidRPr="005D104F" w:rsidRDefault="00B14E5E" w:rsidP="00A90858">
                  <w:pPr>
                    <w:spacing w:after="60"/>
                    <w:rPr>
                      <w:rFonts w:cs="Arial"/>
                    </w:rPr>
                  </w:pPr>
                  <w:r w:rsidRPr="005D104F">
                    <w:rPr>
                      <w:rFonts w:cs="Arial"/>
                    </w:rPr>
                    <w:t>MG</w:t>
                  </w:r>
                </w:p>
              </w:tc>
              <w:tc>
                <w:tcPr>
                  <w:tcW w:w="773" w:type="dxa"/>
                  <w:vAlign w:val="bottom"/>
                </w:tcPr>
                <w:p w14:paraId="71E8A37C" w14:textId="77777777" w:rsidR="00B14E5E" w:rsidRPr="008E5925" w:rsidRDefault="00B14E5E" w:rsidP="00A90858">
                  <w:pPr>
                    <w:spacing w:after="60"/>
                    <w:jc w:val="right"/>
                    <w:rPr>
                      <w:rFonts w:cs="Arial"/>
                    </w:rPr>
                  </w:pPr>
                  <w:r w:rsidRPr="008E5925">
                    <w:rPr>
                      <w:rFonts w:cs="Arial"/>
                      <w:color w:val="000000"/>
                    </w:rPr>
                    <w:t>32</w:t>
                  </w:r>
                </w:p>
              </w:tc>
              <w:tc>
                <w:tcPr>
                  <w:tcW w:w="773" w:type="dxa"/>
                  <w:vAlign w:val="bottom"/>
                </w:tcPr>
                <w:p w14:paraId="04D4CFA0" w14:textId="77777777" w:rsidR="00B14E5E" w:rsidRPr="008E5925" w:rsidRDefault="00B14E5E" w:rsidP="00A90858">
                  <w:pPr>
                    <w:spacing w:after="60"/>
                    <w:jc w:val="right"/>
                    <w:rPr>
                      <w:rFonts w:cs="Arial"/>
                    </w:rPr>
                  </w:pPr>
                  <w:r w:rsidRPr="008E5925">
                    <w:rPr>
                      <w:rFonts w:cs="Arial"/>
                      <w:color w:val="000000"/>
                    </w:rPr>
                    <w:t>33</w:t>
                  </w:r>
                </w:p>
              </w:tc>
              <w:tc>
                <w:tcPr>
                  <w:tcW w:w="773" w:type="dxa"/>
                  <w:vAlign w:val="bottom"/>
                </w:tcPr>
                <w:p w14:paraId="732DDF19" w14:textId="77777777" w:rsidR="00B14E5E" w:rsidRPr="008E5925" w:rsidRDefault="00B14E5E" w:rsidP="00A90858">
                  <w:pPr>
                    <w:spacing w:after="60"/>
                    <w:jc w:val="right"/>
                    <w:rPr>
                      <w:rFonts w:cs="Arial"/>
                    </w:rPr>
                  </w:pPr>
                  <w:r w:rsidRPr="008E5925">
                    <w:rPr>
                      <w:rFonts w:cs="Arial"/>
                      <w:color w:val="000000"/>
                    </w:rPr>
                    <w:t>20</w:t>
                  </w:r>
                </w:p>
              </w:tc>
              <w:tc>
                <w:tcPr>
                  <w:tcW w:w="773" w:type="dxa"/>
                  <w:vAlign w:val="bottom"/>
                </w:tcPr>
                <w:p w14:paraId="41D4C834" w14:textId="77777777" w:rsidR="00B14E5E" w:rsidRPr="008E5925" w:rsidRDefault="00B14E5E" w:rsidP="00A90858">
                  <w:pPr>
                    <w:spacing w:after="60"/>
                    <w:jc w:val="right"/>
                    <w:rPr>
                      <w:rFonts w:cs="Arial"/>
                    </w:rPr>
                  </w:pPr>
                  <w:r w:rsidRPr="008E5925">
                    <w:rPr>
                      <w:rFonts w:cs="Arial"/>
                      <w:color w:val="000000"/>
                    </w:rPr>
                    <w:t>2</w:t>
                  </w:r>
                </w:p>
              </w:tc>
              <w:tc>
                <w:tcPr>
                  <w:tcW w:w="773" w:type="dxa"/>
                  <w:vAlign w:val="bottom"/>
                </w:tcPr>
                <w:p w14:paraId="1B115221" w14:textId="77777777" w:rsidR="00B14E5E" w:rsidRPr="008E5925" w:rsidRDefault="00B14E5E" w:rsidP="00A90858">
                  <w:pPr>
                    <w:spacing w:after="60"/>
                    <w:jc w:val="right"/>
                    <w:rPr>
                      <w:rFonts w:cs="Arial"/>
                      <w:b/>
                    </w:rPr>
                  </w:pPr>
                  <w:r w:rsidRPr="008E5925">
                    <w:rPr>
                      <w:rFonts w:cs="Arial"/>
                      <w:b/>
                      <w:bCs/>
                      <w:color w:val="000000"/>
                    </w:rPr>
                    <w:t>87</w:t>
                  </w:r>
                </w:p>
              </w:tc>
            </w:tr>
            <w:tr w:rsidR="00B14E5E" w:rsidRPr="005D104F" w14:paraId="2BAFB5C2" w14:textId="77777777" w:rsidTr="00A90858">
              <w:trPr>
                <w:trHeight w:val="255"/>
              </w:trPr>
              <w:tc>
                <w:tcPr>
                  <w:tcW w:w="1010" w:type="dxa"/>
                </w:tcPr>
                <w:p w14:paraId="4662A2D3" w14:textId="77777777" w:rsidR="00B14E5E" w:rsidRPr="005D104F" w:rsidRDefault="00B14E5E" w:rsidP="00A90858">
                  <w:pPr>
                    <w:spacing w:after="60"/>
                    <w:rPr>
                      <w:rFonts w:cs="Arial"/>
                      <w:b/>
                    </w:rPr>
                  </w:pPr>
                  <w:r w:rsidRPr="005D104F">
                    <w:rPr>
                      <w:rFonts w:cs="Arial"/>
                      <w:b/>
                    </w:rPr>
                    <w:t>Total</w:t>
                  </w:r>
                </w:p>
              </w:tc>
              <w:tc>
                <w:tcPr>
                  <w:tcW w:w="773" w:type="dxa"/>
                  <w:vAlign w:val="bottom"/>
                </w:tcPr>
                <w:p w14:paraId="510D61DA" w14:textId="77777777" w:rsidR="00B14E5E" w:rsidRPr="008E5925" w:rsidRDefault="00B14E5E" w:rsidP="00A90858">
                  <w:pPr>
                    <w:spacing w:after="60"/>
                    <w:jc w:val="right"/>
                    <w:rPr>
                      <w:rFonts w:cs="Arial"/>
                      <w:b/>
                    </w:rPr>
                  </w:pPr>
                  <w:r w:rsidRPr="008E5925">
                    <w:rPr>
                      <w:rFonts w:cs="Arial"/>
                      <w:b/>
                      <w:bCs/>
                      <w:color w:val="000000"/>
                    </w:rPr>
                    <w:t>335</w:t>
                  </w:r>
                </w:p>
              </w:tc>
              <w:tc>
                <w:tcPr>
                  <w:tcW w:w="773" w:type="dxa"/>
                  <w:vAlign w:val="bottom"/>
                </w:tcPr>
                <w:p w14:paraId="096FD9F1" w14:textId="77777777" w:rsidR="00B14E5E" w:rsidRPr="008E5925" w:rsidRDefault="00B14E5E" w:rsidP="00A90858">
                  <w:pPr>
                    <w:spacing w:after="60"/>
                    <w:jc w:val="right"/>
                    <w:rPr>
                      <w:rFonts w:cs="Arial"/>
                      <w:b/>
                    </w:rPr>
                  </w:pPr>
                  <w:r w:rsidRPr="008E5925">
                    <w:rPr>
                      <w:rFonts w:cs="Arial"/>
                      <w:b/>
                      <w:bCs/>
                      <w:color w:val="000000"/>
                    </w:rPr>
                    <w:t>461</w:t>
                  </w:r>
                </w:p>
              </w:tc>
              <w:tc>
                <w:tcPr>
                  <w:tcW w:w="773" w:type="dxa"/>
                  <w:vAlign w:val="bottom"/>
                </w:tcPr>
                <w:p w14:paraId="23089BB0" w14:textId="77777777" w:rsidR="00B14E5E" w:rsidRPr="008E5925" w:rsidRDefault="00B14E5E" w:rsidP="00A90858">
                  <w:pPr>
                    <w:spacing w:after="60"/>
                    <w:jc w:val="right"/>
                    <w:rPr>
                      <w:rFonts w:cs="Arial"/>
                      <w:b/>
                    </w:rPr>
                  </w:pPr>
                  <w:r w:rsidRPr="008E5925">
                    <w:rPr>
                      <w:rFonts w:cs="Arial"/>
                      <w:b/>
                      <w:bCs/>
                      <w:color w:val="000000"/>
                    </w:rPr>
                    <w:t>91</w:t>
                  </w:r>
                </w:p>
              </w:tc>
              <w:tc>
                <w:tcPr>
                  <w:tcW w:w="773" w:type="dxa"/>
                  <w:vAlign w:val="bottom"/>
                </w:tcPr>
                <w:p w14:paraId="1C497E10" w14:textId="77777777" w:rsidR="00B14E5E" w:rsidRPr="008E5925" w:rsidRDefault="00B14E5E" w:rsidP="00A90858">
                  <w:pPr>
                    <w:spacing w:after="60"/>
                    <w:jc w:val="right"/>
                    <w:rPr>
                      <w:rFonts w:cs="Arial"/>
                      <w:b/>
                    </w:rPr>
                  </w:pPr>
                  <w:r w:rsidRPr="008E5925">
                    <w:rPr>
                      <w:rFonts w:cs="Arial"/>
                      <w:b/>
                      <w:bCs/>
                      <w:color w:val="000000"/>
                    </w:rPr>
                    <w:t>18</w:t>
                  </w:r>
                </w:p>
              </w:tc>
              <w:tc>
                <w:tcPr>
                  <w:tcW w:w="773" w:type="dxa"/>
                  <w:vAlign w:val="bottom"/>
                </w:tcPr>
                <w:p w14:paraId="4A75FE75" w14:textId="77777777" w:rsidR="00B14E5E" w:rsidRPr="008E5925" w:rsidRDefault="00B14E5E" w:rsidP="00A90858">
                  <w:pPr>
                    <w:spacing w:after="60"/>
                    <w:jc w:val="right"/>
                    <w:rPr>
                      <w:rFonts w:cs="Arial"/>
                      <w:b/>
                    </w:rPr>
                  </w:pPr>
                  <w:r w:rsidRPr="008E5925">
                    <w:rPr>
                      <w:rFonts w:cs="Arial"/>
                      <w:b/>
                      <w:bCs/>
                      <w:color w:val="000000"/>
                    </w:rPr>
                    <w:t>905</w:t>
                  </w:r>
                </w:p>
              </w:tc>
            </w:tr>
          </w:tbl>
          <w:p w14:paraId="0EDC927F" w14:textId="77777777" w:rsidR="00B14E5E" w:rsidRDefault="00B14E5E" w:rsidP="00A90858"/>
          <w:p w14:paraId="42E10A01" w14:textId="61DAB06B" w:rsidR="00A65158" w:rsidRPr="000E4D75" w:rsidRDefault="00A65158" w:rsidP="00A65158">
            <w:pPr>
              <w:widowControl w:val="0"/>
              <w:autoSpaceDE w:val="0"/>
              <w:autoSpaceDN w:val="0"/>
              <w:adjustRightInd w:val="0"/>
              <w:ind w:left="720" w:hanging="720"/>
              <w:rPr>
                <w:rFonts w:ascii="Helvetica" w:hAnsi="Helvetica" w:cs="Helvetica"/>
                <w:b/>
                <w:bCs/>
                <w:sz w:val="17"/>
                <w:szCs w:val="17"/>
                <w:lang w:val="en-US"/>
              </w:rPr>
            </w:pPr>
            <w:r>
              <w:rPr>
                <w:rFonts w:ascii="Helvetica" w:hAnsi="Helvetica" w:cs="Helvetica"/>
                <w:b/>
                <w:bCs/>
                <w:sz w:val="17"/>
                <w:szCs w:val="17"/>
                <w:lang w:val="en-US"/>
              </w:rPr>
              <w:t>Table 17</w:t>
            </w:r>
            <w:r w:rsidRPr="00447E70">
              <w:rPr>
                <w:rFonts w:ascii="Helvetica" w:hAnsi="Helvetica" w:cs="Helvetica"/>
                <w:b/>
                <w:bCs/>
                <w:sz w:val="17"/>
                <w:szCs w:val="17"/>
                <w:lang w:val="en-US"/>
              </w:rPr>
              <w:t xml:space="preserve">: </w:t>
            </w:r>
            <w:r w:rsidRPr="005D104F">
              <w:rPr>
                <w:rFonts w:ascii="Helvetica" w:hAnsi="Helvetica" w:cs="Helvetica"/>
                <w:b/>
                <w:bCs/>
                <w:sz w:val="17"/>
                <w:szCs w:val="17"/>
                <w:lang w:val="en-US"/>
              </w:rPr>
              <w:t xml:space="preserve">Conditional income management orders by community </w:t>
            </w:r>
            <w:r>
              <w:rPr>
                <w:rFonts w:ascii="Helvetica" w:hAnsi="Helvetica" w:cs="Helvetica"/>
                <w:b/>
                <w:bCs/>
                <w:sz w:val="17"/>
                <w:szCs w:val="17"/>
                <w:lang w:val="en-US"/>
              </w:rPr>
              <w:t xml:space="preserve">and </w:t>
            </w:r>
            <w:r w:rsidRPr="005D104F">
              <w:rPr>
                <w:rFonts w:ascii="Helvetica" w:hAnsi="Helvetica" w:cs="Helvetica"/>
                <w:b/>
                <w:bCs/>
                <w:sz w:val="17"/>
                <w:szCs w:val="17"/>
                <w:lang w:val="en-US"/>
              </w:rPr>
              <w:t>quarter</w:t>
            </w:r>
            <w:r>
              <w:rPr>
                <w:rFonts w:ascii="Helvetica" w:hAnsi="Helvetica" w:cs="Helvetica"/>
                <w:b/>
                <w:bCs/>
                <w:sz w:val="17"/>
                <w:szCs w:val="17"/>
                <w:lang w:val="en-US"/>
              </w:rPr>
              <w:t xml:space="preserve"> 1 July 201</w:t>
            </w:r>
            <w:r>
              <w:rPr>
                <w:rFonts w:ascii="Helvetica" w:hAnsi="Helvetica" w:cs="Helvetica"/>
                <w:b/>
                <w:bCs/>
                <w:sz w:val="17"/>
                <w:szCs w:val="17"/>
                <w:lang w:val="en-US"/>
              </w:rPr>
              <w:t>8</w:t>
            </w:r>
            <w:r>
              <w:rPr>
                <w:rFonts w:ascii="Helvetica" w:hAnsi="Helvetica" w:cs="Helvetica"/>
                <w:b/>
                <w:bCs/>
                <w:sz w:val="17"/>
                <w:szCs w:val="17"/>
                <w:lang w:val="en-US"/>
              </w:rPr>
              <w:t xml:space="preserve"> to 30 June 201</w:t>
            </w:r>
            <w:r>
              <w:rPr>
                <w:rFonts w:ascii="Helvetica" w:hAnsi="Helvetica" w:cs="Helvetica"/>
                <w:b/>
                <w:bCs/>
                <w:sz w:val="17"/>
                <w:szCs w:val="17"/>
                <w:lang w:val="en-US"/>
              </w:rPr>
              <w:t>9</w:t>
            </w:r>
            <w:r>
              <w:rPr>
                <w:rFonts w:ascii="Helvetica" w:hAnsi="Helvetica" w:cs="Helvetica"/>
                <w:b/>
                <w:bCs/>
                <w:sz w:val="17"/>
                <w:szCs w:val="17"/>
                <w:lang w:val="en-US"/>
              </w:rPr>
              <w:t>.</w:t>
            </w:r>
          </w:p>
          <w:tbl>
            <w:tblPr>
              <w:tblW w:w="5098" w:type="dxa"/>
              <w:tblLayout w:type="fixed"/>
              <w:tblLook w:val="04A0" w:firstRow="1" w:lastRow="0" w:firstColumn="1" w:lastColumn="0" w:noHBand="0" w:noVBand="1"/>
            </w:tblPr>
            <w:tblGrid>
              <w:gridCol w:w="2032"/>
              <w:gridCol w:w="766"/>
              <w:gridCol w:w="767"/>
              <w:gridCol w:w="766"/>
              <w:gridCol w:w="767"/>
            </w:tblGrid>
            <w:tr w:rsidR="00A65158" w:rsidRPr="00550B7B" w14:paraId="18B2F486" w14:textId="77777777" w:rsidTr="00B25249">
              <w:trPr>
                <w:trHeight w:val="306"/>
              </w:trPr>
              <w:tc>
                <w:tcPr>
                  <w:tcW w:w="2032" w:type="dxa"/>
                  <w:tcBorders>
                    <w:top w:val="single" w:sz="4" w:space="0" w:color="auto"/>
                    <w:left w:val="single" w:sz="4" w:space="0" w:color="auto"/>
                    <w:bottom w:val="single" w:sz="4" w:space="0" w:color="auto"/>
                    <w:right w:val="single" w:sz="4" w:space="0" w:color="auto"/>
                  </w:tcBorders>
                  <w:noWrap/>
                  <w:vAlign w:val="center"/>
                  <w:hideMark/>
                </w:tcPr>
                <w:p w14:paraId="4E49AEB7" w14:textId="77777777" w:rsidR="00A65158" w:rsidRPr="00FB39EA" w:rsidRDefault="00A65158" w:rsidP="00A65158">
                  <w:pPr>
                    <w:spacing w:after="0"/>
                    <w:rPr>
                      <w:rFonts w:cs="Arial"/>
                      <w:b/>
                      <w:bCs/>
                      <w:szCs w:val="20"/>
                      <w:lang w:eastAsia="en-AU"/>
                    </w:rPr>
                  </w:pPr>
                  <w:r w:rsidRPr="00FB39EA">
                    <w:rPr>
                      <w:rFonts w:cs="Arial"/>
                      <w:b/>
                      <w:bCs/>
                      <w:szCs w:val="20"/>
                      <w:lang w:eastAsia="en-AU"/>
                    </w:rPr>
                    <w:t>Community</w:t>
                  </w:r>
                </w:p>
              </w:tc>
              <w:tc>
                <w:tcPr>
                  <w:tcW w:w="766" w:type="dxa"/>
                  <w:tcBorders>
                    <w:top w:val="single" w:sz="4" w:space="0" w:color="auto"/>
                    <w:bottom w:val="single" w:sz="4" w:space="0" w:color="auto"/>
                    <w:right w:val="single" w:sz="4" w:space="0" w:color="auto"/>
                  </w:tcBorders>
                  <w:vAlign w:val="center"/>
                  <w:hideMark/>
                </w:tcPr>
                <w:p w14:paraId="7BC080F6" w14:textId="631131C9" w:rsidR="00A65158" w:rsidRPr="00FB39EA" w:rsidRDefault="00A65158" w:rsidP="00A65158">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Pr>
                      <w:rFonts w:cs="Arial"/>
                      <w:b/>
                      <w:bCs/>
                      <w:szCs w:val="20"/>
                      <w:lang w:eastAsia="en-AU"/>
                    </w:rPr>
                    <w:t>41</w:t>
                  </w:r>
                </w:p>
              </w:tc>
              <w:tc>
                <w:tcPr>
                  <w:tcW w:w="767" w:type="dxa"/>
                  <w:tcBorders>
                    <w:top w:val="single" w:sz="4" w:space="0" w:color="auto"/>
                    <w:bottom w:val="single" w:sz="4" w:space="0" w:color="auto"/>
                    <w:right w:val="single" w:sz="4" w:space="0" w:color="auto"/>
                  </w:tcBorders>
                  <w:vAlign w:val="center"/>
                  <w:hideMark/>
                </w:tcPr>
                <w:p w14:paraId="23205F72" w14:textId="54D102CE" w:rsidR="00A65158" w:rsidRPr="00FB39EA" w:rsidRDefault="00A65158" w:rsidP="00A65158">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Pr>
                      <w:rFonts w:cs="Arial"/>
                      <w:b/>
                      <w:bCs/>
                      <w:szCs w:val="20"/>
                      <w:lang w:eastAsia="en-AU"/>
                    </w:rPr>
                    <w:t>42</w:t>
                  </w:r>
                </w:p>
              </w:tc>
              <w:tc>
                <w:tcPr>
                  <w:tcW w:w="766" w:type="dxa"/>
                  <w:tcBorders>
                    <w:top w:val="single" w:sz="4" w:space="0" w:color="auto"/>
                    <w:bottom w:val="single" w:sz="4" w:space="0" w:color="auto"/>
                    <w:right w:val="single" w:sz="4" w:space="0" w:color="auto"/>
                  </w:tcBorders>
                  <w:vAlign w:val="center"/>
                  <w:hideMark/>
                </w:tcPr>
                <w:p w14:paraId="2BFA587B" w14:textId="7E6FFBFD" w:rsidR="00A65158" w:rsidRPr="00FB39EA" w:rsidRDefault="00A65158" w:rsidP="00A65158">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Pr>
                      <w:rFonts w:cs="Arial"/>
                      <w:b/>
                      <w:bCs/>
                      <w:szCs w:val="20"/>
                      <w:lang w:eastAsia="en-AU"/>
                    </w:rPr>
                    <w:t>43</w:t>
                  </w:r>
                </w:p>
              </w:tc>
              <w:tc>
                <w:tcPr>
                  <w:tcW w:w="767" w:type="dxa"/>
                  <w:tcBorders>
                    <w:top w:val="single" w:sz="4" w:space="0" w:color="auto"/>
                    <w:bottom w:val="single" w:sz="4" w:space="0" w:color="auto"/>
                    <w:right w:val="single" w:sz="4" w:space="0" w:color="auto"/>
                  </w:tcBorders>
                  <w:vAlign w:val="center"/>
                  <w:hideMark/>
                </w:tcPr>
                <w:p w14:paraId="3E2125C6" w14:textId="00B844A1" w:rsidR="00A65158" w:rsidRPr="00FB39EA" w:rsidRDefault="00A65158" w:rsidP="00A65158">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Pr>
                      <w:rFonts w:cs="Arial"/>
                      <w:b/>
                      <w:bCs/>
                      <w:szCs w:val="20"/>
                      <w:lang w:eastAsia="en-AU"/>
                    </w:rPr>
                    <w:t>44</w:t>
                  </w:r>
                </w:p>
              </w:tc>
            </w:tr>
            <w:tr w:rsidR="00FA7DA2" w:rsidRPr="00550B7B" w14:paraId="41B7ACDA" w14:textId="77777777" w:rsidTr="00B25249">
              <w:trPr>
                <w:trHeight w:val="255"/>
              </w:trPr>
              <w:tc>
                <w:tcPr>
                  <w:tcW w:w="2032" w:type="dxa"/>
                  <w:tcBorders>
                    <w:left w:val="single" w:sz="4" w:space="0" w:color="auto"/>
                    <w:bottom w:val="single" w:sz="4" w:space="0" w:color="auto"/>
                    <w:right w:val="single" w:sz="4" w:space="0" w:color="auto"/>
                  </w:tcBorders>
                  <w:noWrap/>
                  <w:vAlign w:val="bottom"/>
                  <w:hideMark/>
                </w:tcPr>
                <w:p w14:paraId="245B791F" w14:textId="77777777" w:rsidR="00FA7DA2" w:rsidRPr="00FB39EA" w:rsidRDefault="00FA7DA2" w:rsidP="00FA7DA2">
                  <w:pPr>
                    <w:spacing w:after="60"/>
                    <w:rPr>
                      <w:rFonts w:cs="Arial"/>
                      <w:szCs w:val="20"/>
                      <w:lang w:eastAsia="en-AU"/>
                    </w:rPr>
                  </w:pPr>
                  <w:r w:rsidRPr="00FB39EA">
                    <w:rPr>
                      <w:rFonts w:cs="Arial"/>
                      <w:szCs w:val="20"/>
                      <w:lang w:eastAsia="en-AU"/>
                    </w:rPr>
                    <w:t>Aurukun</w:t>
                  </w:r>
                </w:p>
              </w:tc>
              <w:tc>
                <w:tcPr>
                  <w:tcW w:w="766" w:type="dxa"/>
                  <w:tcBorders>
                    <w:bottom w:val="single" w:sz="4" w:space="0" w:color="auto"/>
                    <w:right w:val="single" w:sz="4" w:space="0" w:color="auto"/>
                  </w:tcBorders>
                </w:tcPr>
                <w:p w14:paraId="644255D4" w14:textId="0E5C10B6" w:rsidR="00FA7DA2" w:rsidRPr="00FA7DA2" w:rsidRDefault="00FA7DA2" w:rsidP="00FA7DA2">
                  <w:pPr>
                    <w:spacing w:after="60"/>
                    <w:jc w:val="right"/>
                    <w:rPr>
                      <w:rFonts w:cs="Arial"/>
                      <w:szCs w:val="20"/>
                      <w:lang w:eastAsia="en-AU"/>
                    </w:rPr>
                  </w:pPr>
                  <w:r w:rsidRPr="00FA7DA2">
                    <w:rPr>
                      <w:rFonts w:cs="Arial"/>
                      <w:szCs w:val="20"/>
                    </w:rPr>
                    <w:t>22</w:t>
                  </w:r>
                </w:p>
              </w:tc>
              <w:tc>
                <w:tcPr>
                  <w:tcW w:w="767" w:type="dxa"/>
                  <w:tcBorders>
                    <w:bottom w:val="single" w:sz="4" w:space="0" w:color="auto"/>
                    <w:right w:val="single" w:sz="4" w:space="0" w:color="auto"/>
                  </w:tcBorders>
                </w:tcPr>
                <w:p w14:paraId="5FE38F5D" w14:textId="7CF9D5BA" w:rsidR="00FA7DA2" w:rsidRPr="00FA7DA2" w:rsidRDefault="00FA7DA2" w:rsidP="00FA7DA2">
                  <w:pPr>
                    <w:spacing w:after="60"/>
                    <w:jc w:val="right"/>
                    <w:rPr>
                      <w:rFonts w:cs="Arial"/>
                      <w:szCs w:val="20"/>
                      <w:lang w:eastAsia="en-AU"/>
                    </w:rPr>
                  </w:pPr>
                  <w:r w:rsidRPr="00FA7DA2">
                    <w:rPr>
                      <w:rFonts w:cs="Arial"/>
                      <w:szCs w:val="20"/>
                    </w:rPr>
                    <w:t>15</w:t>
                  </w:r>
                </w:p>
              </w:tc>
              <w:tc>
                <w:tcPr>
                  <w:tcW w:w="766" w:type="dxa"/>
                  <w:tcBorders>
                    <w:bottom w:val="single" w:sz="4" w:space="0" w:color="auto"/>
                    <w:right w:val="single" w:sz="4" w:space="0" w:color="auto"/>
                  </w:tcBorders>
                </w:tcPr>
                <w:p w14:paraId="37FFCB76" w14:textId="178948F1" w:rsidR="00FA7DA2" w:rsidRPr="00FA7DA2" w:rsidRDefault="00FA7DA2" w:rsidP="00FA7DA2">
                  <w:pPr>
                    <w:spacing w:after="60"/>
                    <w:jc w:val="right"/>
                    <w:rPr>
                      <w:rFonts w:cs="Arial"/>
                      <w:szCs w:val="20"/>
                      <w:lang w:eastAsia="en-AU"/>
                    </w:rPr>
                  </w:pPr>
                  <w:r w:rsidRPr="00FA7DA2">
                    <w:rPr>
                      <w:rFonts w:cs="Arial"/>
                      <w:szCs w:val="20"/>
                    </w:rPr>
                    <w:t>18</w:t>
                  </w:r>
                </w:p>
              </w:tc>
              <w:tc>
                <w:tcPr>
                  <w:tcW w:w="767" w:type="dxa"/>
                  <w:tcBorders>
                    <w:bottom w:val="single" w:sz="4" w:space="0" w:color="auto"/>
                    <w:right w:val="single" w:sz="4" w:space="0" w:color="auto"/>
                  </w:tcBorders>
                </w:tcPr>
                <w:p w14:paraId="6B2D3E30" w14:textId="08C00F82" w:rsidR="00FA7DA2" w:rsidRPr="00FA7DA2" w:rsidRDefault="00FA7DA2" w:rsidP="00FA7DA2">
                  <w:pPr>
                    <w:spacing w:after="60"/>
                    <w:jc w:val="right"/>
                    <w:rPr>
                      <w:rFonts w:cs="Arial"/>
                      <w:szCs w:val="20"/>
                      <w:lang w:eastAsia="en-AU"/>
                    </w:rPr>
                  </w:pPr>
                  <w:r w:rsidRPr="00FA7DA2">
                    <w:rPr>
                      <w:rFonts w:cs="Arial"/>
                      <w:szCs w:val="20"/>
                    </w:rPr>
                    <w:t>33</w:t>
                  </w:r>
                </w:p>
              </w:tc>
            </w:tr>
            <w:tr w:rsidR="00FA7DA2" w:rsidRPr="00550B7B" w14:paraId="00E763EE" w14:textId="77777777" w:rsidTr="00B25249">
              <w:trPr>
                <w:trHeight w:val="255"/>
              </w:trPr>
              <w:tc>
                <w:tcPr>
                  <w:tcW w:w="2032" w:type="dxa"/>
                  <w:tcBorders>
                    <w:left w:val="single" w:sz="4" w:space="0" w:color="auto"/>
                    <w:bottom w:val="single" w:sz="4" w:space="0" w:color="auto"/>
                    <w:right w:val="single" w:sz="4" w:space="0" w:color="auto"/>
                  </w:tcBorders>
                  <w:noWrap/>
                  <w:vAlign w:val="bottom"/>
                  <w:hideMark/>
                </w:tcPr>
                <w:p w14:paraId="3E6EF2F3" w14:textId="77777777" w:rsidR="00FA7DA2" w:rsidRPr="00FB39EA" w:rsidRDefault="00FA7DA2" w:rsidP="00FA7DA2">
                  <w:pPr>
                    <w:spacing w:after="60"/>
                    <w:rPr>
                      <w:rFonts w:cs="Arial"/>
                      <w:szCs w:val="20"/>
                      <w:lang w:eastAsia="en-AU"/>
                    </w:rPr>
                  </w:pPr>
                  <w:r w:rsidRPr="00FB39EA">
                    <w:rPr>
                      <w:rFonts w:cs="Arial"/>
                      <w:szCs w:val="20"/>
                      <w:lang w:eastAsia="en-AU"/>
                    </w:rPr>
                    <w:t>Coen</w:t>
                  </w:r>
                </w:p>
              </w:tc>
              <w:tc>
                <w:tcPr>
                  <w:tcW w:w="766" w:type="dxa"/>
                  <w:tcBorders>
                    <w:bottom w:val="single" w:sz="4" w:space="0" w:color="auto"/>
                    <w:right w:val="single" w:sz="4" w:space="0" w:color="auto"/>
                  </w:tcBorders>
                </w:tcPr>
                <w:p w14:paraId="416B2041" w14:textId="4B1FAC6B" w:rsidR="00FA7DA2" w:rsidRPr="00FA7DA2" w:rsidRDefault="00FA7DA2" w:rsidP="00FA7DA2">
                  <w:pPr>
                    <w:spacing w:after="60"/>
                    <w:jc w:val="right"/>
                    <w:rPr>
                      <w:rFonts w:cs="Arial"/>
                      <w:szCs w:val="20"/>
                      <w:lang w:eastAsia="en-AU"/>
                    </w:rPr>
                  </w:pPr>
                  <w:r w:rsidRPr="00FA7DA2">
                    <w:rPr>
                      <w:rFonts w:cs="Arial"/>
                      <w:szCs w:val="20"/>
                    </w:rPr>
                    <w:t>3</w:t>
                  </w:r>
                </w:p>
              </w:tc>
              <w:tc>
                <w:tcPr>
                  <w:tcW w:w="767" w:type="dxa"/>
                  <w:tcBorders>
                    <w:bottom w:val="single" w:sz="4" w:space="0" w:color="auto"/>
                    <w:right w:val="single" w:sz="4" w:space="0" w:color="auto"/>
                  </w:tcBorders>
                </w:tcPr>
                <w:p w14:paraId="45C13E7F" w14:textId="19265592" w:rsidR="00FA7DA2" w:rsidRPr="00FA7DA2" w:rsidRDefault="00FA7DA2" w:rsidP="00FA7DA2">
                  <w:pPr>
                    <w:spacing w:after="60"/>
                    <w:jc w:val="right"/>
                    <w:rPr>
                      <w:rFonts w:cs="Arial"/>
                      <w:szCs w:val="20"/>
                      <w:lang w:eastAsia="en-AU"/>
                    </w:rPr>
                  </w:pPr>
                  <w:r w:rsidRPr="00FA7DA2">
                    <w:rPr>
                      <w:rFonts w:cs="Arial"/>
                      <w:szCs w:val="20"/>
                    </w:rPr>
                    <w:t>1</w:t>
                  </w:r>
                </w:p>
              </w:tc>
              <w:tc>
                <w:tcPr>
                  <w:tcW w:w="766" w:type="dxa"/>
                  <w:tcBorders>
                    <w:bottom w:val="single" w:sz="4" w:space="0" w:color="auto"/>
                    <w:right w:val="single" w:sz="4" w:space="0" w:color="auto"/>
                  </w:tcBorders>
                </w:tcPr>
                <w:p w14:paraId="218762A8" w14:textId="6EAD8D90" w:rsidR="00FA7DA2" w:rsidRPr="00FA7DA2" w:rsidRDefault="00FA7DA2" w:rsidP="00FA7DA2">
                  <w:pPr>
                    <w:spacing w:after="60"/>
                    <w:jc w:val="right"/>
                    <w:rPr>
                      <w:rFonts w:cs="Arial"/>
                      <w:szCs w:val="20"/>
                      <w:lang w:eastAsia="en-AU"/>
                    </w:rPr>
                  </w:pPr>
                  <w:r w:rsidRPr="00FA7DA2">
                    <w:rPr>
                      <w:rFonts w:cs="Arial"/>
                      <w:szCs w:val="20"/>
                    </w:rPr>
                    <w:t>4</w:t>
                  </w:r>
                </w:p>
              </w:tc>
              <w:tc>
                <w:tcPr>
                  <w:tcW w:w="767" w:type="dxa"/>
                  <w:tcBorders>
                    <w:bottom w:val="single" w:sz="4" w:space="0" w:color="auto"/>
                    <w:right w:val="single" w:sz="4" w:space="0" w:color="auto"/>
                  </w:tcBorders>
                </w:tcPr>
                <w:p w14:paraId="61E09CAC" w14:textId="131CD11D" w:rsidR="00FA7DA2" w:rsidRPr="00FA7DA2" w:rsidRDefault="00FA7DA2" w:rsidP="00FA7DA2">
                  <w:pPr>
                    <w:spacing w:after="60"/>
                    <w:jc w:val="right"/>
                    <w:rPr>
                      <w:rFonts w:cs="Arial"/>
                      <w:szCs w:val="20"/>
                      <w:lang w:eastAsia="en-AU"/>
                    </w:rPr>
                  </w:pPr>
                  <w:r w:rsidRPr="00FA7DA2">
                    <w:rPr>
                      <w:rFonts w:cs="Arial"/>
                      <w:szCs w:val="20"/>
                    </w:rPr>
                    <w:t>5</w:t>
                  </w:r>
                </w:p>
              </w:tc>
            </w:tr>
            <w:tr w:rsidR="00FA7DA2" w:rsidRPr="00550B7B" w14:paraId="66B04C07" w14:textId="77777777" w:rsidTr="00B25249">
              <w:trPr>
                <w:trHeight w:val="255"/>
              </w:trPr>
              <w:tc>
                <w:tcPr>
                  <w:tcW w:w="2032" w:type="dxa"/>
                  <w:tcBorders>
                    <w:left w:val="single" w:sz="4" w:space="0" w:color="auto"/>
                    <w:bottom w:val="single" w:sz="4" w:space="0" w:color="auto"/>
                    <w:right w:val="single" w:sz="4" w:space="0" w:color="auto"/>
                  </w:tcBorders>
                  <w:noWrap/>
                  <w:vAlign w:val="bottom"/>
                </w:tcPr>
                <w:p w14:paraId="47F15516" w14:textId="77777777" w:rsidR="00FA7DA2" w:rsidRPr="00FB39EA" w:rsidRDefault="00FA7DA2" w:rsidP="00FA7DA2">
                  <w:pPr>
                    <w:spacing w:after="60"/>
                    <w:rPr>
                      <w:rFonts w:cs="Arial"/>
                      <w:szCs w:val="20"/>
                      <w:lang w:eastAsia="en-AU"/>
                    </w:rPr>
                  </w:pPr>
                  <w:r>
                    <w:rPr>
                      <w:rFonts w:cs="Arial"/>
                      <w:szCs w:val="20"/>
                      <w:lang w:eastAsia="en-AU"/>
                    </w:rPr>
                    <w:t>Doomadgee</w:t>
                  </w:r>
                </w:p>
              </w:tc>
              <w:tc>
                <w:tcPr>
                  <w:tcW w:w="766" w:type="dxa"/>
                  <w:tcBorders>
                    <w:bottom w:val="single" w:sz="4" w:space="0" w:color="auto"/>
                    <w:right w:val="single" w:sz="4" w:space="0" w:color="auto"/>
                  </w:tcBorders>
                </w:tcPr>
                <w:p w14:paraId="105A0C9B" w14:textId="538F0C7E" w:rsidR="00FA7DA2" w:rsidRPr="00FA7DA2" w:rsidRDefault="00FA7DA2" w:rsidP="00FA7DA2">
                  <w:pPr>
                    <w:spacing w:after="60"/>
                    <w:jc w:val="right"/>
                    <w:rPr>
                      <w:rFonts w:cs="Arial"/>
                      <w:szCs w:val="20"/>
                      <w:lang w:eastAsia="en-AU"/>
                    </w:rPr>
                  </w:pPr>
                  <w:r w:rsidRPr="00FA7DA2">
                    <w:rPr>
                      <w:rFonts w:cs="Arial"/>
                      <w:szCs w:val="20"/>
                    </w:rPr>
                    <w:t>24</w:t>
                  </w:r>
                </w:p>
              </w:tc>
              <w:tc>
                <w:tcPr>
                  <w:tcW w:w="767" w:type="dxa"/>
                  <w:tcBorders>
                    <w:bottom w:val="single" w:sz="4" w:space="0" w:color="auto"/>
                    <w:right w:val="single" w:sz="4" w:space="0" w:color="auto"/>
                  </w:tcBorders>
                </w:tcPr>
                <w:p w14:paraId="69A24C8E" w14:textId="31DF1823" w:rsidR="00FA7DA2" w:rsidRPr="00FA7DA2" w:rsidRDefault="00FA7DA2" w:rsidP="00FA7DA2">
                  <w:pPr>
                    <w:spacing w:after="60"/>
                    <w:jc w:val="right"/>
                    <w:rPr>
                      <w:rFonts w:cs="Arial"/>
                      <w:szCs w:val="20"/>
                      <w:lang w:eastAsia="en-AU"/>
                    </w:rPr>
                  </w:pPr>
                  <w:r w:rsidRPr="00FA7DA2">
                    <w:rPr>
                      <w:rFonts w:cs="Arial"/>
                      <w:szCs w:val="20"/>
                    </w:rPr>
                    <w:t>25</w:t>
                  </w:r>
                </w:p>
              </w:tc>
              <w:tc>
                <w:tcPr>
                  <w:tcW w:w="766" w:type="dxa"/>
                  <w:tcBorders>
                    <w:bottom w:val="single" w:sz="4" w:space="0" w:color="auto"/>
                    <w:right w:val="single" w:sz="4" w:space="0" w:color="auto"/>
                  </w:tcBorders>
                </w:tcPr>
                <w:p w14:paraId="125FD0E9" w14:textId="56ADD2CD" w:rsidR="00FA7DA2" w:rsidRPr="00FA7DA2" w:rsidRDefault="00FA7DA2" w:rsidP="00FA7DA2">
                  <w:pPr>
                    <w:spacing w:after="60"/>
                    <w:jc w:val="right"/>
                    <w:rPr>
                      <w:rFonts w:cs="Arial"/>
                      <w:szCs w:val="20"/>
                      <w:lang w:eastAsia="en-AU"/>
                    </w:rPr>
                  </w:pPr>
                  <w:r w:rsidRPr="00FA7DA2">
                    <w:rPr>
                      <w:rFonts w:cs="Arial"/>
                      <w:szCs w:val="20"/>
                    </w:rPr>
                    <w:t>13</w:t>
                  </w:r>
                </w:p>
              </w:tc>
              <w:tc>
                <w:tcPr>
                  <w:tcW w:w="767" w:type="dxa"/>
                  <w:tcBorders>
                    <w:bottom w:val="single" w:sz="4" w:space="0" w:color="auto"/>
                    <w:right w:val="single" w:sz="4" w:space="0" w:color="auto"/>
                  </w:tcBorders>
                </w:tcPr>
                <w:p w14:paraId="00DE2EA6" w14:textId="657CE560" w:rsidR="00FA7DA2" w:rsidRPr="00FA7DA2" w:rsidRDefault="00FA7DA2" w:rsidP="00FA7DA2">
                  <w:pPr>
                    <w:spacing w:after="60"/>
                    <w:jc w:val="right"/>
                    <w:rPr>
                      <w:rFonts w:cs="Arial"/>
                      <w:szCs w:val="20"/>
                      <w:lang w:eastAsia="en-AU"/>
                    </w:rPr>
                  </w:pPr>
                  <w:r w:rsidRPr="00FA7DA2">
                    <w:rPr>
                      <w:rFonts w:cs="Arial"/>
                      <w:szCs w:val="20"/>
                    </w:rPr>
                    <w:t>37</w:t>
                  </w:r>
                </w:p>
              </w:tc>
            </w:tr>
            <w:tr w:rsidR="00FA7DA2" w:rsidRPr="00550B7B" w14:paraId="74BA62E8" w14:textId="77777777" w:rsidTr="00B25249">
              <w:trPr>
                <w:trHeight w:val="255"/>
              </w:trPr>
              <w:tc>
                <w:tcPr>
                  <w:tcW w:w="2032" w:type="dxa"/>
                  <w:tcBorders>
                    <w:left w:val="single" w:sz="4" w:space="0" w:color="auto"/>
                    <w:bottom w:val="single" w:sz="4" w:space="0" w:color="auto"/>
                    <w:right w:val="single" w:sz="4" w:space="0" w:color="auto"/>
                  </w:tcBorders>
                  <w:noWrap/>
                  <w:vAlign w:val="bottom"/>
                  <w:hideMark/>
                </w:tcPr>
                <w:p w14:paraId="14618B74" w14:textId="77777777" w:rsidR="00FA7DA2" w:rsidRPr="00FB39EA" w:rsidRDefault="00FA7DA2" w:rsidP="00FA7DA2">
                  <w:pPr>
                    <w:spacing w:after="60"/>
                    <w:rPr>
                      <w:rFonts w:cs="Arial"/>
                      <w:szCs w:val="20"/>
                      <w:lang w:eastAsia="en-AU"/>
                    </w:rPr>
                  </w:pPr>
                  <w:r w:rsidRPr="00FB39EA">
                    <w:rPr>
                      <w:rFonts w:cs="Arial"/>
                      <w:szCs w:val="20"/>
                      <w:lang w:eastAsia="en-AU"/>
                    </w:rPr>
                    <w:t>Hope Vale</w:t>
                  </w:r>
                </w:p>
              </w:tc>
              <w:tc>
                <w:tcPr>
                  <w:tcW w:w="766" w:type="dxa"/>
                  <w:tcBorders>
                    <w:bottom w:val="single" w:sz="4" w:space="0" w:color="auto"/>
                    <w:right w:val="single" w:sz="4" w:space="0" w:color="auto"/>
                  </w:tcBorders>
                </w:tcPr>
                <w:p w14:paraId="7D2F9716" w14:textId="03788B17" w:rsidR="00FA7DA2" w:rsidRPr="00FA7DA2" w:rsidRDefault="00FA7DA2" w:rsidP="00FA7DA2">
                  <w:pPr>
                    <w:spacing w:after="60"/>
                    <w:jc w:val="right"/>
                    <w:rPr>
                      <w:rFonts w:cs="Arial"/>
                      <w:szCs w:val="20"/>
                      <w:lang w:eastAsia="en-AU"/>
                    </w:rPr>
                  </w:pPr>
                  <w:r w:rsidRPr="00FA7DA2">
                    <w:rPr>
                      <w:rFonts w:cs="Arial"/>
                      <w:szCs w:val="20"/>
                    </w:rPr>
                    <w:t>4</w:t>
                  </w:r>
                </w:p>
              </w:tc>
              <w:tc>
                <w:tcPr>
                  <w:tcW w:w="767" w:type="dxa"/>
                  <w:tcBorders>
                    <w:bottom w:val="single" w:sz="4" w:space="0" w:color="auto"/>
                    <w:right w:val="single" w:sz="4" w:space="0" w:color="auto"/>
                  </w:tcBorders>
                </w:tcPr>
                <w:p w14:paraId="25C41ECE" w14:textId="427CA475" w:rsidR="00FA7DA2" w:rsidRPr="00FA7DA2" w:rsidRDefault="00FA7DA2" w:rsidP="00FA7DA2">
                  <w:pPr>
                    <w:spacing w:after="60"/>
                    <w:jc w:val="right"/>
                    <w:rPr>
                      <w:rFonts w:cs="Arial"/>
                      <w:szCs w:val="20"/>
                      <w:lang w:eastAsia="en-AU"/>
                    </w:rPr>
                  </w:pPr>
                  <w:r w:rsidRPr="00FA7DA2">
                    <w:rPr>
                      <w:rFonts w:cs="Arial"/>
                      <w:szCs w:val="20"/>
                    </w:rPr>
                    <w:t>0</w:t>
                  </w:r>
                </w:p>
              </w:tc>
              <w:tc>
                <w:tcPr>
                  <w:tcW w:w="766" w:type="dxa"/>
                  <w:tcBorders>
                    <w:bottom w:val="single" w:sz="4" w:space="0" w:color="auto"/>
                    <w:right w:val="single" w:sz="4" w:space="0" w:color="auto"/>
                  </w:tcBorders>
                </w:tcPr>
                <w:p w14:paraId="6FDE8965" w14:textId="42BDF1B3" w:rsidR="00FA7DA2" w:rsidRPr="00FA7DA2" w:rsidRDefault="00FA7DA2" w:rsidP="00FA7DA2">
                  <w:pPr>
                    <w:spacing w:after="60"/>
                    <w:jc w:val="right"/>
                    <w:rPr>
                      <w:rFonts w:cs="Arial"/>
                      <w:szCs w:val="20"/>
                      <w:lang w:eastAsia="en-AU"/>
                    </w:rPr>
                  </w:pPr>
                  <w:r w:rsidRPr="00FA7DA2">
                    <w:rPr>
                      <w:rFonts w:cs="Arial"/>
                      <w:szCs w:val="20"/>
                    </w:rPr>
                    <w:t>5</w:t>
                  </w:r>
                </w:p>
              </w:tc>
              <w:tc>
                <w:tcPr>
                  <w:tcW w:w="767" w:type="dxa"/>
                  <w:tcBorders>
                    <w:bottom w:val="single" w:sz="4" w:space="0" w:color="auto"/>
                    <w:right w:val="single" w:sz="4" w:space="0" w:color="auto"/>
                  </w:tcBorders>
                </w:tcPr>
                <w:p w14:paraId="4749C93F" w14:textId="0BEE27AA" w:rsidR="00FA7DA2" w:rsidRPr="00FA7DA2" w:rsidRDefault="00FA7DA2" w:rsidP="00FA7DA2">
                  <w:pPr>
                    <w:spacing w:after="60"/>
                    <w:jc w:val="right"/>
                    <w:rPr>
                      <w:rFonts w:cs="Arial"/>
                      <w:szCs w:val="20"/>
                      <w:lang w:eastAsia="en-AU"/>
                    </w:rPr>
                  </w:pPr>
                  <w:r w:rsidRPr="00FA7DA2">
                    <w:rPr>
                      <w:rFonts w:cs="Arial"/>
                      <w:szCs w:val="20"/>
                    </w:rPr>
                    <w:t>5</w:t>
                  </w:r>
                </w:p>
              </w:tc>
            </w:tr>
            <w:tr w:rsidR="00FA7DA2" w:rsidRPr="00550B7B" w14:paraId="14FC9B79" w14:textId="77777777" w:rsidTr="00B25249">
              <w:trPr>
                <w:trHeight w:val="255"/>
              </w:trPr>
              <w:tc>
                <w:tcPr>
                  <w:tcW w:w="2032" w:type="dxa"/>
                  <w:tcBorders>
                    <w:left w:val="single" w:sz="4" w:space="0" w:color="auto"/>
                    <w:bottom w:val="single" w:sz="4" w:space="0" w:color="auto"/>
                    <w:right w:val="single" w:sz="4" w:space="0" w:color="auto"/>
                  </w:tcBorders>
                  <w:noWrap/>
                  <w:vAlign w:val="bottom"/>
                  <w:hideMark/>
                </w:tcPr>
                <w:p w14:paraId="2D714323" w14:textId="77777777" w:rsidR="00FA7DA2" w:rsidRPr="00FB39EA" w:rsidRDefault="00FA7DA2" w:rsidP="00FA7DA2">
                  <w:pPr>
                    <w:spacing w:after="60"/>
                    <w:rPr>
                      <w:rFonts w:cs="Arial"/>
                      <w:szCs w:val="20"/>
                      <w:lang w:eastAsia="en-AU"/>
                    </w:rPr>
                  </w:pPr>
                  <w:r w:rsidRPr="00FB39EA">
                    <w:rPr>
                      <w:rFonts w:cs="Arial"/>
                      <w:szCs w:val="20"/>
                      <w:lang w:eastAsia="en-AU"/>
                    </w:rPr>
                    <w:t>Mossman Gorge</w:t>
                  </w:r>
                </w:p>
              </w:tc>
              <w:tc>
                <w:tcPr>
                  <w:tcW w:w="766" w:type="dxa"/>
                  <w:tcBorders>
                    <w:bottom w:val="single" w:sz="4" w:space="0" w:color="auto"/>
                    <w:right w:val="single" w:sz="4" w:space="0" w:color="auto"/>
                  </w:tcBorders>
                </w:tcPr>
                <w:p w14:paraId="6D295C12" w14:textId="4A744ABF" w:rsidR="00FA7DA2" w:rsidRPr="00FA7DA2" w:rsidRDefault="00FA7DA2" w:rsidP="00FA7DA2">
                  <w:pPr>
                    <w:spacing w:after="60"/>
                    <w:jc w:val="right"/>
                    <w:rPr>
                      <w:rFonts w:cs="Arial"/>
                      <w:szCs w:val="20"/>
                      <w:lang w:eastAsia="en-AU"/>
                    </w:rPr>
                  </w:pPr>
                  <w:r w:rsidRPr="00FA7DA2">
                    <w:rPr>
                      <w:rFonts w:cs="Arial"/>
                      <w:szCs w:val="20"/>
                    </w:rPr>
                    <w:t>7</w:t>
                  </w:r>
                </w:p>
              </w:tc>
              <w:tc>
                <w:tcPr>
                  <w:tcW w:w="767" w:type="dxa"/>
                  <w:tcBorders>
                    <w:bottom w:val="single" w:sz="4" w:space="0" w:color="auto"/>
                    <w:right w:val="single" w:sz="4" w:space="0" w:color="auto"/>
                  </w:tcBorders>
                </w:tcPr>
                <w:p w14:paraId="66BE0DE1" w14:textId="6A645EBF" w:rsidR="00FA7DA2" w:rsidRPr="00FA7DA2" w:rsidRDefault="00FA7DA2" w:rsidP="00FA7DA2">
                  <w:pPr>
                    <w:spacing w:after="60"/>
                    <w:jc w:val="right"/>
                    <w:rPr>
                      <w:rFonts w:cs="Arial"/>
                      <w:szCs w:val="20"/>
                      <w:lang w:eastAsia="en-AU"/>
                    </w:rPr>
                  </w:pPr>
                  <w:r w:rsidRPr="00FA7DA2">
                    <w:rPr>
                      <w:rFonts w:cs="Arial"/>
                      <w:szCs w:val="20"/>
                    </w:rPr>
                    <w:t>3</w:t>
                  </w:r>
                </w:p>
              </w:tc>
              <w:tc>
                <w:tcPr>
                  <w:tcW w:w="766" w:type="dxa"/>
                  <w:tcBorders>
                    <w:bottom w:val="single" w:sz="4" w:space="0" w:color="auto"/>
                    <w:right w:val="single" w:sz="4" w:space="0" w:color="auto"/>
                  </w:tcBorders>
                </w:tcPr>
                <w:p w14:paraId="24276DF2" w14:textId="2793ABAA" w:rsidR="00FA7DA2" w:rsidRPr="00FA7DA2" w:rsidRDefault="00FA7DA2" w:rsidP="00FA7DA2">
                  <w:pPr>
                    <w:spacing w:after="60"/>
                    <w:jc w:val="right"/>
                    <w:rPr>
                      <w:rFonts w:cs="Arial"/>
                      <w:szCs w:val="20"/>
                      <w:lang w:eastAsia="en-AU"/>
                    </w:rPr>
                  </w:pPr>
                  <w:r w:rsidRPr="00FA7DA2">
                    <w:rPr>
                      <w:rFonts w:cs="Arial"/>
                      <w:szCs w:val="20"/>
                    </w:rPr>
                    <w:t>1</w:t>
                  </w:r>
                </w:p>
              </w:tc>
              <w:tc>
                <w:tcPr>
                  <w:tcW w:w="767" w:type="dxa"/>
                  <w:tcBorders>
                    <w:bottom w:val="single" w:sz="4" w:space="0" w:color="auto"/>
                    <w:right w:val="single" w:sz="4" w:space="0" w:color="auto"/>
                  </w:tcBorders>
                </w:tcPr>
                <w:p w14:paraId="17B1A466" w14:textId="672D7046" w:rsidR="00FA7DA2" w:rsidRPr="00FA7DA2" w:rsidRDefault="00FA7DA2" w:rsidP="00FA7DA2">
                  <w:pPr>
                    <w:spacing w:after="60"/>
                    <w:jc w:val="right"/>
                    <w:rPr>
                      <w:rFonts w:cs="Arial"/>
                      <w:szCs w:val="20"/>
                      <w:lang w:eastAsia="en-AU"/>
                    </w:rPr>
                  </w:pPr>
                  <w:r w:rsidRPr="00FA7DA2">
                    <w:rPr>
                      <w:rFonts w:cs="Arial"/>
                      <w:szCs w:val="20"/>
                    </w:rPr>
                    <w:t>8</w:t>
                  </w:r>
                </w:p>
              </w:tc>
            </w:tr>
            <w:tr w:rsidR="00FA7DA2" w:rsidRPr="00550B7B" w14:paraId="166C1BF3" w14:textId="77777777" w:rsidTr="00B25249">
              <w:trPr>
                <w:trHeight w:val="255"/>
              </w:trPr>
              <w:tc>
                <w:tcPr>
                  <w:tcW w:w="2032" w:type="dxa"/>
                  <w:tcBorders>
                    <w:left w:val="single" w:sz="4" w:space="0" w:color="auto"/>
                    <w:bottom w:val="single" w:sz="4" w:space="0" w:color="auto"/>
                    <w:right w:val="single" w:sz="4" w:space="0" w:color="auto"/>
                  </w:tcBorders>
                  <w:noWrap/>
                  <w:vAlign w:val="bottom"/>
                  <w:hideMark/>
                </w:tcPr>
                <w:p w14:paraId="39E53032" w14:textId="77777777" w:rsidR="00FA7DA2" w:rsidRPr="00FB39EA" w:rsidRDefault="00FA7DA2" w:rsidP="00FA7DA2">
                  <w:pPr>
                    <w:spacing w:after="60"/>
                    <w:rPr>
                      <w:rFonts w:cs="Arial"/>
                      <w:b/>
                      <w:bCs/>
                      <w:szCs w:val="20"/>
                      <w:lang w:eastAsia="en-AU"/>
                    </w:rPr>
                  </w:pPr>
                  <w:r w:rsidRPr="00FB39EA">
                    <w:rPr>
                      <w:rFonts w:cs="Arial"/>
                      <w:b/>
                      <w:bCs/>
                      <w:szCs w:val="20"/>
                      <w:lang w:eastAsia="en-AU"/>
                    </w:rPr>
                    <w:t>TOTAL</w:t>
                  </w:r>
                </w:p>
              </w:tc>
              <w:tc>
                <w:tcPr>
                  <w:tcW w:w="766" w:type="dxa"/>
                  <w:tcBorders>
                    <w:bottom w:val="single" w:sz="4" w:space="0" w:color="auto"/>
                    <w:right w:val="single" w:sz="4" w:space="0" w:color="auto"/>
                  </w:tcBorders>
                  <w:noWrap/>
                </w:tcPr>
                <w:p w14:paraId="2876D3B2" w14:textId="55390D43" w:rsidR="00FA7DA2" w:rsidRPr="00FA7DA2" w:rsidRDefault="00FA7DA2" w:rsidP="00FA7DA2">
                  <w:pPr>
                    <w:spacing w:after="60"/>
                    <w:jc w:val="right"/>
                    <w:rPr>
                      <w:rFonts w:cs="Arial"/>
                      <w:b/>
                      <w:bCs/>
                      <w:szCs w:val="20"/>
                      <w:lang w:eastAsia="en-AU"/>
                    </w:rPr>
                  </w:pPr>
                  <w:r w:rsidRPr="00FA7DA2">
                    <w:rPr>
                      <w:rFonts w:cs="Arial"/>
                      <w:b/>
                      <w:bCs/>
                      <w:szCs w:val="20"/>
                    </w:rPr>
                    <w:t>60</w:t>
                  </w:r>
                </w:p>
              </w:tc>
              <w:tc>
                <w:tcPr>
                  <w:tcW w:w="767" w:type="dxa"/>
                  <w:tcBorders>
                    <w:bottom w:val="single" w:sz="4" w:space="0" w:color="auto"/>
                    <w:right w:val="single" w:sz="4" w:space="0" w:color="auto"/>
                  </w:tcBorders>
                  <w:noWrap/>
                </w:tcPr>
                <w:p w14:paraId="71A40BDC" w14:textId="08BEA965" w:rsidR="00FA7DA2" w:rsidRPr="00FA7DA2" w:rsidRDefault="00FA7DA2" w:rsidP="00FA7DA2">
                  <w:pPr>
                    <w:spacing w:after="60"/>
                    <w:jc w:val="right"/>
                    <w:rPr>
                      <w:rFonts w:cs="Arial"/>
                      <w:b/>
                      <w:bCs/>
                      <w:szCs w:val="20"/>
                      <w:lang w:eastAsia="en-AU"/>
                    </w:rPr>
                  </w:pPr>
                  <w:r w:rsidRPr="00FA7DA2">
                    <w:rPr>
                      <w:rFonts w:cs="Arial"/>
                      <w:b/>
                      <w:bCs/>
                      <w:szCs w:val="20"/>
                    </w:rPr>
                    <w:t>44</w:t>
                  </w:r>
                </w:p>
              </w:tc>
              <w:tc>
                <w:tcPr>
                  <w:tcW w:w="766" w:type="dxa"/>
                  <w:tcBorders>
                    <w:bottom w:val="single" w:sz="4" w:space="0" w:color="auto"/>
                    <w:right w:val="single" w:sz="4" w:space="0" w:color="auto"/>
                  </w:tcBorders>
                  <w:noWrap/>
                </w:tcPr>
                <w:p w14:paraId="3D67D99A" w14:textId="15754A4E" w:rsidR="00FA7DA2" w:rsidRPr="00FA7DA2" w:rsidRDefault="00FA7DA2" w:rsidP="00FA7DA2">
                  <w:pPr>
                    <w:spacing w:after="60"/>
                    <w:jc w:val="right"/>
                    <w:rPr>
                      <w:rFonts w:cs="Arial"/>
                      <w:b/>
                      <w:bCs/>
                      <w:szCs w:val="20"/>
                      <w:lang w:eastAsia="en-AU"/>
                    </w:rPr>
                  </w:pPr>
                  <w:r w:rsidRPr="00FA7DA2">
                    <w:rPr>
                      <w:rFonts w:cs="Arial"/>
                      <w:b/>
                      <w:bCs/>
                      <w:szCs w:val="20"/>
                    </w:rPr>
                    <w:t>41</w:t>
                  </w:r>
                </w:p>
              </w:tc>
              <w:tc>
                <w:tcPr>
                  <w:tcW w:w="767" w:type="dxa"/>
                  <w:tcBorders>
                    <w:bottom w:val="single" w:sz="4" w:space="0" w:color="auto"/>
                    <w:right w:val="single" w:sz="4" w:space="0" w:color="auto"/>
                  </w:tcBorders>
                  <w:noWrap/>
                </w:tcPr>
                <w:p w14:paraId="5413CB53" w14:textId="4FB0582B" w:rsidR="00FA7DA2" w:rsidRPr="00FA7DA2" w:rsidRDefault="00FA7DA2" w:rsidP="00FA7DA2">
                  <w:pPr>
                    <w:spacing w:after="60"/>
                    <w:jc w:val="right"/>
                    <w:rPr>
                      <w:rFonts w:cs="Arial"/>
                      <w:b/>
                      <w:bCs/>
                      <w:szCs w:val="20"/>
                      <w:lang w:eastAsia="en-AU"/>
                    </w:rPr>
                  </w:pPr>
                  <w:r w:rsidRPr="00FA7DA2">
                    <w:rPr>
                      <w:rFonts w:cs="Arial"/>
                      <w:b/>
                      <w:bCs/>
                      <w:szCs w:val="20"/>
                    </w:rPr>
                    <w:t>88</w:t>
                  </w:r>
                </w:p>
              </w:tc>
            </w:tr>
          </w:tbl>
          <w:p w14:paraId="10EEBD98" w14:textId="350099A6" w:rsidR="00B14E5E" w:rsidRPr="00B45721" w:rsidRDefault="00B14E5E" w:rsidP="00A90858">
            <w:pPr>
              <w:spacing w:before="120"/>
              <w:rPr>
                <w:rFonts w:cs="Arial"/>
                <w:bCs/>
                <w:szCs w:val="20"/>
                <w:lang w:val="en-US"/>
              </w:rPr>
            </w:pPr>
            <w:r w:rsidRPr="005D104F">
              <w:t>As at 30 June 201</w:t>
            </w:r>
            <w:r>
              <w:t>9</w:t>
            </w:r>
            <w:r w:rsidRPr="00555757">
              <w:t>, 37.4</w:t>
            </w:r>
            <w:r w:rsidRPr="005D104F">
              <w:t xml:space="preserve"> percent of the Commission’s clients have been subject to CIM over the past </w:t>
            </w:r>
            <w:r>
              <w:t>11</w:t>
            </w:r>
            <w:r w:rsidRPr="005D104F">
              <w:t xml:space="preserve"> years. As at 30 June 201</w:t>
            </w:r>
            <w:r>
              <w:t>9</w:t>
            </w:r>
            <w:r w:rsidRPr="005D104F">
              <w:t xml:space="preserve"> there were </w:t>
            </w:r>
            <w:r w:rsidR="004807C5" w:rsidRPr="00AE131D">
              <w:t>140</w:t>
            </w:r>
            <w:r w:rsidR="004807C5" w:rsidRPr="005D104F">
              <w:t xml:space="preserve"> </w:t>
            </w:r>
            <w:r w:rsidRPr="005D104F">
              <w:t xml:space="preserve">clients subject to a current CIM order which equates </w:t>
            </w:r>
            <w:r w:rsidRPr="00361B09">
              <w:t>to 5.</w:t>
            </w:r>
            <w:r w:rsidR="004807C5">
              <w:t>8</w:t>
            </w:r>
            <w:r w:rsidRPr="005D104F">
              <w:t xml:space="preserve"> percent of clients on a CIM </w:t>
            </w:r>
          </w:p>
          <w:p w14:paraId="5AA95C0B" w14:textId="77777777" w:rsidR="00A65158" w:rsidRDefault="00A65158" w:rsidP="00A65158"/>
          <w:p w14:paraId="2E3D0610" w14:textId="77777777" w:rsidR="00A65158" w:rsidRDefault="00A65158" w:rsidP="00A65158"/>
          <w:p w14:paraId="31EC36BA" w14:textId="54175D2E" w:rsidR="00B14E5E" w:rsidRPr="001A4A81" w:rsidRDefault="00B14E5E" w:rsidP="00BC3193">
            <w:pPr>
              <w:pStyle w:val="Heading3"/>
            </w:pPr>
            <w:r w:rsidRPr="001A4A81">
              <w:lastRenderedPageBreak/>
              <w:t>Show cause notices</w:t>
            </w:r>
          </w:p>
          <w:p w14:paraId="4DFC547D" w14:textId="77777777" w:rsidR="00B14E5E" w:rsidRPr="005D104F" w:rsidRDefault="00B14E5E" w:rsidP="00A90858">
            <w:pPr>
              <w:spacing w:before="120"/>
              <w:rPr>
                <w:bCs/>
              </w:rPr>
            </w:pPr>
            <w:r w:rsidRPr="005D104F">
              <w:rPr>
                <w:bCs/>
              </w:rPr>
              <w:t>From 1 July 201</w:t>
            </w:r>
            <w:r>
              <w:rPr>
                <w:bCs/>
              </w:rPr>
              <w:t>8</w:t>
            </w:r>
            <w:r w:rsidRPr="005D104F">
              <w:rPr>
                <w:bCs/>
              </w:rPr>
              <w:t xml:space="preserve"> to 30 June </w:t>
            </w:r>
            <w:r w:rsidRPr="001208FA">
              <w:rPr>
                <w:bCs/>
              </w:rPr>
              <w:t xml:space="preserve">2019, </w:t>
            </w:r>
            <w:r>
              <w:rPr>
                <w:bCs/>
              </w:rPr>
              <w:t>no</w:t>
            </w:r>
            <w:r w:rsidRPr="005D104F">
              <w:rPr>
                <w:bCs/>
              </w:rPr>
              <w:t xml:space="preserve"> show </w:t>
            </w:r>
            <w:proofErr w:type="gramStart"/>
            <w:r w:rsidRPr="005D104F">
              <w:rPr>
                <w:bCs/>
              </w:rPr>
              <w:t>cause</w:t>
            </w:r>
            <w:proofErr w:type="gramEnd"/>
            <w:r w:rsidRPr="005D104F">
              <w:rPr>
                <w:bCs/>
              </w:rPr>
              <w:t xml:space="preserve"> hearings were held.</w:t>
            </w:r>
          </w:p>
          <w:p w14:paraId="64420DDC" w14:textId="41A422AF" w:rsidR="00B14E5E" w:rsidRDefault="00B14E5E" w:rsidP="00A90858">
            <w:pPr>
              <w:spacing w:before="120"/>
              <w:rPr>
                <w:bCs/>
              </w:rPr>
            </w:pPr>
            <w:r w:rsidRPr="005D104F">
              <w:rPr>
                <w:bCs/>
              </w:rPr>
              <w:t xml:space="preserve">Show </w:t>
            </w:r>
            <w:proofErr w:type="gramStart"/>
            <w:r w:rsidRPr="005D104F">
              <w:rPr>
                <w:bCs/>
              </w:rPr>
              <w:t>cause</w:t>
            </w:r>
            <w:proofErr w:type="gramEnd"/>
            <w:r w:rsidRPr="005D104F">
              <w:rPr>
                <w:bCs/>
              </w:rPr>
              <w:t xml:space="preserve"> notices were originally intended as a conferencing tool to address non-compliance with a requirement under a case plan to attend a community support service. The proposed action for a show cause notice given to a person included </w:t>
            </w:r>
            <w:r w:rsidRPr="00352BEA">
              <w:rPr>
                <w:bCs/>
              </w:rPr>
              <w:t>imposing a</w:t>
            </w:r>
            <w:r w:rsidR="005E0A7E" w:rsidRPr="00352BEA">
              <w:rPr>
                <w:bCs/>
              </w:rPr>
              <w:t xml:space="preserve"> CIM</w:t>
            </w:r>
            <w:r w:rsidRPr="00352BEA">
              <w:rPr>
                <w:bCs/>
              </w:rPr>
              <w:t xml:space="preserve"> order, increasing the proportion of the person’s welfare payments</w:t>
            </w:r>
            <w:r w:rsidRPr="005D104F">
              <w:rPr>
                <w:bCs/>
              </w:rPr>
              <w:t xml:space="preserve"> to be income</w:t>
            </w:r>
            <w:r>
              <w:rPr>
                <w:bCs/>
              </w:rPr>
              <w:t>-</w:t>
            </w:r>
            <w:r w:rsidRPr="005D104F">
              <w:rPr>
                <w:bCs/>
              </w:rPr>
              <w:t xml:space="preserve">managed or increasing the period for which the person is subject to income management. Although the show </w:t>
            </w:r>
            <w:proofErr w:type="gramStart"/>
            <w:r w:rsidRPr="005D104F">
              <w:rPr>
                <w:bCs/>
              </w:rPr>
              <w:t>cause</w:t>
            </w:r>
            <w:proofErr w:type="gramEnd"/>
            <w:r w:rsidRPr="005D104F">
              <w:rPr>
                <w:bCs/>
              </w:rPr>
              <w:t xml:space="preserve"> process remains available as a tool for Local Commissioners, the increase of the maximum rate for income management in 2014 to 90 percent has effectively superseded the show cause process.</w:t>
            </w:r>
          </w:p>
          <w:p w14:paraId="551A9194" w14:textId="77777777" w:rsidR="00B14E5E" w:rsidRPr="001A4A81" w:rsidRDefault="00B14E5E" w:rsidP="00BC3193">
            <w:pPr>
              <w:pStyle w:val="Heading3"/>
            </w:pPr>
            <w:r w:rsidRPr="001A4A81">
              <w:t>Amend or end applications</w:t>
            </w:r>
          </w:p>
          <w:p w14:paraId="774FC0BD" w14:textId="77777777" w:rsidR="00B14E5E" w:rsidRDefault="00B14E5E" w:rsidP="00A90858">
            <w:pPr>
              <w:spacing w:before="120"/>
            </w:pPr>
            <w:r w:rsidRPr="005D104F">
              <w:t xml:space="preserve">The FRC Act </w:t>
            </w:r>
            <w:r>
              <w:t>allows</w:t>
            </w:r>
            <w:r w:rsidRPr="005D104F">
              <w:t xml:space="preserve"> clients to apply to amend or end a Commission order or agreement. The Commissioners continue to consider </w:t>
            </w:r>
            <w:proofErr w:type="gramStart"/>
            <w:r w:rsidRPr="005D104F">
              <w:t>a number of</w:t>
            </w:r>
            <w:proofErr w:type="gramEnd"/>
            <w:r w:rsidRPr="005D104F">
              <w:t xml:space="preserve"> options when determining the outcome of applications, including varying a case plan, amending the income management percentage or ending the order or agreement. The Commission views applications to amend or end agreements or orders as an</w:t>
            </w:r>
            <w:r>
              <w:t xml:space="preserve"> </w:t>
            </w:r>
            <w:r w:rsidRPr="005D104F">
              <w:t>indicator of client confidence in the Commission’s ability to provide a fair, just and equitable process.</w:t>
            </w:r>
          </w:p>
          <w:p w14:paraId="49A21B08" w14:textId="0EF10F42" w:rsidR="00B14E5E" w:rsidRPr="005D104F" w:rsidRDefault="00B14E5E" w:rsidP="00A90858">
            <w:r w:rsidRPr="005D104F">
              <w:t xml:space="preserve">Whether the outcome was successful depends on what the client requested. </w:t>
            </w:r>
            <w:r w:rsidRPr="00CA64D7">
              <w:t>Sixty-three</w:t>
            </w:r>
            <w:r w:rsidRPr="005D104F">
              <w:t xml:space="preserve"> percent of the applications received this year were granted. </w:t>
            </w:r>
            <w:r w:rsidRPr="00D57C41">
              <w:t xml:space="preserve">Thirty-five applications resulted in the revocation of income management </w:t>
            </w:r>
            <w:r w:rsidR="001D54AF" w:rsidRPr="00352BEA">
              <w:t xml:space="preserve">agreements and </w:t>
            </w:r>
            <w:r w:rsidRPr="00352BEA">
              <w:t>orders.</w:t>
            </w:r>
          </w:p>
          <w:p w14:paraId="6AF3CBDC" w14:textId="77777777" w:rsidR="00B14E5E" w:rsidRPr="005D104F" w:rsidRDefault="00B14E5E" w:rsidP="00A90858">
            <w:pPr>
              <w:spacing w:before="120"/>
            </w:pPr>
            <w:r w:rsidRPr="005D104F">
              <w:t>Applications to amend or end voluntary income management are heard in the conference setting, unless the client indicates to the Commission the</w:t>
            </w:r>
            <w:r>
              <w:t xml:space="preserve"> </w:t>
            </w:r>
            <w:r w:rsidRPr="005D104F">
              <w:t xml:space="preserve">request requires urgent attention. If so, the application may be </w:t>
            </w:r>
            <w:proofErr w:type="gramStart"/>
            <w:r w:rsidRPr="005D104F">
              <w:t>heard</w:t>
            </w:r>
            <w:proofErr w:type="gramEnd"/>
            <w:r w:rsidRPr="005D104F">
              <w:t xml:space="preserve"> and a decision made outside of a scheduled conference date.</w:t>
            </w:r>
          </w:p>
          <w:p w14:paraId="25E09B7A" w14:textId="77777777" w:rsidR="00B14E5E" w:rsidRPr="0001769E" w:rsidRDefault="00B14E5E" w:rsidP="00A90858">
            <w:pPr>
              <w:rPr>
                <w:lang w:eastAsia="en-AU"/>
              </w:rPr>
            </w:pPr>
            <w:r w:rsidRPr="005D104F">
              <w:rPr>
                <w:bCs/>
              </w:rPr>
              <w:t>Commissioners continue to use applications to amend or end income management as a way of encouraging attendance and to incentivise overall behaviour change.</w:t>
            </w:r>
          </w:p>
          <w:p w14:paraId="34B9682B" w14:textId="77777777" w:rsidR="00B14E5E" w:rsidRDefault="00B14E5E" w:rsidP="00A90858">
            <w:pPr>
              <w:spacing w:before="120"/>
            </w:pPr>
            <w:r w:rsidRPr="005D104F">
              <w:rPr>
                <w:bCs/>
              </w:rPr>
              <w:t>From 1 July 201</w:t>
            </w:r>
            <w:r>
              <w:rPr>
                <w:bCs/>
              </w:rPr>
              <w:t>8</w:t>
            </w:r>
            <w:r w:rsidRPr="005D104F">
              <w:rPr>
                <w:bCs/>
              </w:rPr>
              <w:t xml:space="preserve"> to 30 June 201</w:t>
            </w:r>
            <w:r>
              <w:rPr>
                <w:bCs/>
              </w:rPr>
              <w:t>9</w:t>
            </w:r>
            <w:r w:rsidRPr="005D104F">
              <w:rPr>
                <w:bCs/>
              </w:rPr>
              <w:t xml:space="preserve"> a total of </w:t>
            </w:r>
            <w:r w:rsidRPr="00785A13">
              <w:rPr>
                <w:bCs/>
              </w:rPr>
              <w:t>56</w:t>
            </w:r>
            <w:r w:rsidRPr="005D104F">
              <w:rPr>
                <w:bCs/>
              </w:rPr>
              <w:t xml:space="preserve"> applications to amend or end an </w:t>
            </w:r>
            <w:r>
              <w:rPr>
                <w:bCs/>
              </w:rPr>
              <w:t>agreement</w:t>
            </w:r>
            <w:r w:rsidRPr="005D104F">
              <w:rPr>
                <w:bCs/>
              </w:rPr>
              <w:t xml:space="preserve"> or order were received.</w:t>
            </w:r>
          </w:p>
          <w:p w14:paraId="47DE1316" w14:textId="77777777" w:rsidR="00B14E5E" w:rsidRPr="008E7494" w:rsidRDefault="00B14E5E" w:rsidP="00A90858">
            <w:pPr>
              <w:spacing w:before="120"/>
            </w:pPr>
          </w:p>
        </w:tc>
        <w:tc>
          <w:tcPr>
            <w:tcW w:w="5539" w:type="dxa"/>
            <w:shd w:val="clear" w:color="auto" w:fill="auto"/>
          </w:tcPr>
          <w:p w14:paraId="2D8F0830" w14:textId="77777777" w:rsidR="00B14E5E" w:rsidRPr="008E7494" w:rsidRDefault="00B14E5E" w:rsidP="00BC3193">
            <w:pPr>
              <w:pStyle w:val="Heading4"/>
            </w:pPr>
            <w:r w:rsidRPr="008E7494">
              <w:lastRenderedPageBreak/>
              <w:t>Referrals for domestic violence related matters</w:t>
            </w:r>
          </w:p>
          <w:p w14:paraId="6339E111" w14:textId="77777777" w:rsidR="00B14E5E" w:rsidRPr="005D104F" w:rsidRDefault="00B14E5E" w:rsidP="00A90858">
            <w:r w:rsidRPr="005D104F">
              <w:t xml:space="preserve">As a subset of the total number of referrals in the financial year </w:t>
            </w:r>
            <w:r w:rsidRPr="00EC2179">
              <w:t>17</w:t>
            </w:r>
            <w:r w:rsidRPr="005D104F">
              <w:t xml:space="preserve"> referrals were made in relation to domestic violence matters.</w:t>
            </w:r>
          </w:p>
          <w:p w14:paraId="3E7C3BE4" w14:textId="3174EE8F" w:rsidR="00B14E5E" w:rsidRPr="005D104F" w:rsidRDefault="00B14E5E" w:rsidP="00A90858">
            <w:pPr>
              <w:widowControl w:val="0"/>
              <w:autoSpaceDE w:val="0"/>
              <w:autoSpaceDN w:val="0"/>
              <w:adjustRightInd w:val="0"/>
              <w:ind w:left="720" w:hanging="720"/>
              <w:rPr>
                <w:rFonts w:ascii="Helvetica" w:hAnsi="Helvetica" w:cs="Helvetica"/>
                <w:b/>
                <w:bCs/>
                <w:sz w:val="17"/>
                <w:szCs w:val="17"/>
                <w:lang w:val="en-US"/>
              </w:rPr>
            </w:pPr>
            <w:r w:rsidRPr="005D104F">
              <w:rPr>
                <w:rFonts w:ascii="Helvetica" w:hAnsi="Helvetica" w:cs="Helvetica"/>
                <w:b/>
                <w:bCs/>
                <w:sz w:val="17"/>
                <w:szCs w:val="17"/>
                <w:lang w:val="en-US"/>
              </w:rPr>
              <w:t>Table 1</w:t>
            </w:r>
            <w:r w:rsidR="00A72285">
              <w:rPr>
                <w:rFonts w:ascii="Helvetica" w:hAnsi="Helvetica" w:cs="Helvetica"/>
                <w:b/>
                <w:bCs/>
                <w:sz w:val="17"/>
                <w:szCs w:val="17"/>
                <w:lang w:val="en-US"/>
              </w:rPr>
              <w:t>4</w:t>
            </w:r>
            <w:r w:rsidRPr="005D104F">
              <w:rPr>
                <w:rFonts w:ascii="Helvetica" w:hAnsi="Helvetica" w:cs="Helvetica"/>
                <w:b/>
                <w:bCs/>
                <w:sz w:val="17"/>
                <w:szCs w:val="17"/>
                <w:lang w:val="en-US"/>
              </w:rPr>
              <w:t>: Number of referrals made in relation to domestic violence notices (breaches and orders) per community</w:t>
            </w:r>
            <w:r w:rsidRPr="005D104F">
              <w:rPr>
                <w:rFonts w:ascii="Helvetica" w:hAnsi="Helvetica" w:cs="Helvetica"/>
                <w:b/>
                <w:bCs/>
                <w:sz w:val="17"/>
                <w:szCs w:val="17"/>
                <w:lang w:val="en-US"/>
              </w:rPr>
              <w:br/>
              <w:t>1 July 201</w:t>
            </w:r>
            <w:r>
              <w:rPr>
                <w:rFonts w:ascii="Helvetica" w:hAnsi="Helvetica" w:cs="Helvetica"/>
                <w:b/>
                <w:bCs/>
                <w:sz w:val="17"/>
                <w:szCs w:val="17"/>
                <w:lang w:val="en-US"/>
              </w:rPr>
              <w:t>8</w:t>
            </w:r>
            <w:r w:rsidRPr="005D104F">
              <w:rPr>
                <w:rFonts w:ascii="Helvetica" w:hAnsi="Helvetica" w:cs="Helvetica"/>
                <w:b/>
                <w:bCs/>
                <w:sz w:val="17"/>
                <w:szCs w:val="17"/>
                <w:lang w:val="en-US"/>
              </w:rPr>
              <w:t xml:space="preserve"> to 30 June 201</w:t>
            </w:r>
            <w:r>
              <w:rPr>
                <w:rFonts w:ascii="Helvetica" w:hAnsi="Helvetica" w:cs="Helvetica"/>
                <w:b/>
                <w:bCs/>
                <w:sz w:val="17"/>
                <w:szCs w:val="17"/>
                <w:lang w:val="en-US"/>
              </w:rPr>
              <w:t>9</w:t>
            </w:r>
            <w:r w:rsidRPr="005D104F">
              <w:rPr>
                <w:rFonts w:ascii="Helvetica" w:hAnsi="Helvetica" w:cs="Helvetica"/>
                <w:b/>
                <w:bCs/>
                <w:sz w:val="17"/>
                <w:szCs w:val="17"/>
                <w:lang w:val="en-US"/>
              </w:rPr>
              <w:t>.</w:t>
            </w:r>
          </w:p>
          <w:tbl>
            <w:tblPr>
              <w:tblStyle w:val="TableGrid"/>
              <w:tblW w:w="0" w:type="auto"/>
              <w:tblLayout w:type="fixed"/>
              <w:tblLook w:val="04A0" w:firstRow="1" w:lastRow="0" w:firstColumn="1" w:lastColumn="0" w:noHBand="0" w:noVBand="1"/>
            </w:tblPr>
            <w:tblGrid>
              <w:gridCol w:w="1022"/>
              <w:gridCol w:w="1701"/>
              <w:gridCol w:w="1417"/>
              <w:gridCol w:w="1169"/>
            </w:tblGrid>
            <w:tr w:rsidR="00B14E5E" w:rsidRPr="005D104F" w14:paraId="155614A6" w14:textId="77777777" w:rsidTr="00A90858">
              <w:tc>
                <w:tcPr>
                  <w:tcW w:w="1022" w:type="dxa"/>
                  <w:tcBorders>
                    <w:bottom w:val="single" w:sz="12" w:space="0" w:color="auto"/>
                  </w:tcBorders>
                </w:tcPr>
                <w:p w14:paraId="3F127730" w14:textId="77777777" w:rsidR="00B14E5E" w:rsidRPr="005D104F" w:rsidRDefault="00B14E5E" w:rsidP="00A90858">
                  <w:pPr>
                    <w:rPr>
                      <w:b/>
                    </w:rPr>
                  </w:pPr>
                  <w:r w:rsidRPr="005D104F">
                    <w:rPr>
                      <w:b/>
                    </w:rPr>
                    <w:t>Notice Type</w:t>
                  </w:r>
                </w:p>
              </w:tc>
              <w:tc>
                <w:tcPr>
                  <w:tcW w:w="1701" w:type="dxa"/>
                  <w:tcBorders>
                    <w:bottom w:val="single" w:sz="12" w:space="0" w:color="auto"/>
                  </w:tcBorders>
                </w:tcPr>
                <w:p w14:paraId="427352B7" w14:textId="77777777" w:rsidR="00B14E5E" w:rsidRPr="005D104F" w:rsidRDefault="00B14E5E" w:rsidP="00A90858">
                  <w:pPr>
                    <w:rPr>
                      <w:b/>
                    </w:rPr>
                  </w:pPr>
                  <w:r w:rsidRPr="005D104F">
                    <w:rPr>
                      <w:b/>
                    </w:rPr>
                    <w:t>Community</w:t>
                  </w:r>
                </w:p>
              </w:tc>
              <w:tc>
                <w:tcPr>
                  <w:tcW w:w="1417" w:type="dxa"/>
                  <w:tcBorders>
                    <w:bottom w:val="single" w:sz="12" w:space="0" w:color="auto"/>
                  </w:tcBorders>
                </w:tcPr>
                <w:p w14:paraId="5D390DFF" w14:textId="77777777" w:rsidR="00B14E5E" w:rsidRPr="005D104F" w:rsidRDefault="00B14E5E" w:rsidP="00A90858">
                  <w:pPr>
                    <w:rPr>
                      <w:b/>
                    </w:rPr>
                  </w:pPr>
                  <w:r w:rsidRPr="005D104F">
                    <w:rPr>
                      <w:b/>
                    </w:rPr>
                    <w:t>Referral</w:t>
                  </w:r>
                </w:p>
              </w:tc>
              <w:tc>
                <w:tcPr>
                  <w:tcW w:w="1169" w:type="dxa"/>
                  <w:tcBorders>
                    <w:bottom w:val="single" w:sz="12" w:space="0" w:color="auto"/>
                  </w:tcBorders>
                </w:tcPr>
                <w:p w14:paraId="70DACF78" w14:textId="77777777" w:rsidR="00B14E5E" w:rsidRPr="005D104F" w:rsidRDefault="00B14E5E" w:rsidP="00A90858">
                  <w:pPr>
                    <w:jc w:val="center"/>
                    <w:rPr>
                      <w:b/>
                    </w:rPr>
                  </w:pPr>
                  <w:r w:rsidRPr="005D104F">
                    <w:rPr>
                      <w:b/>
                    </w:rPr>
                    <w:t>Provider Total</w:t>
                  </w:r>
                </w:p>
              </w:tc>
            </w:tr>
            <w:tr w:rsidR="00B14E5E" w:rsidRPr="005D104F" w14:paraId="5D039041" w14:textId="77777777" w:rsidTr="00A90858">
              <w:trPr>
                <w:trHeight w:val="251"/>
              </w:trPr>
              <w:tc>
                <w:tcPr>
                  <w:tcW w:w="1022" w:type="dxa"/>
                  <w:vMerge w:val="restart"/>
                  <w:tcBorders>
                    <w:top w:val="single" w:sz="12" w:space="0" w:color="auto"/>
                  </w:tcBorders>
                </w:tcPr>
                <w:p w14:paraId="2262E711" w14:textId="77777777" w:rsidR="00B14E5E" w:rsidRPr="005D104F" w:rsidRDefault="00B14E5E" w:rsidP="00A90858">
                  <w:pPr>
                    <w:spacing w:after="60"/>
                    <w:rPr>
                      <w:rFonts w:cs="Arial"/>
                      <w:b/>
                    </w:rPr>
                  </w:pPr>
                  <w:r w:rsidRPr="005D104F">
                    <w:rPr>
                      <w:rFonts w:cs="Arial"/>
                      <w:b/>
                    </w:rPr>
                    <w:t>DVB</w:t>
                  </w:r>
                </w:p>
              </w:tc>
              <w:tc>
                <w:tcPr>
                  <w:tcW w:w="1701" w:type="dxa"/>
                  <w:tcBorders>
                    <w:top w:val="single" w:sz="12" w:space="0" w:color="auto"/>
                  </w:tcBorders>
                </w:tcPr>
                <w:p w14:paraId="47474AF2" w14:textId="77777777" w:rsidR="00B14E5E" w:rsidRPr="005D104F" w:rsidRDefault="00B14E5E" w:rsidP="00A90858">
                  <w:pPr>
                    <w:spacing w:after="60"/>
                    <w:rPr>
                      <w:rFonts w:cs="Arial"/>
                    </w:rPr>
                  </w:pPr>
                  <w:r>
                    <w:rPr>
                      <w:rFonts w:cs="Arial"/>
                    </w:rPr>
                    <w:t>Coen</w:t>
                  </w:r>
                </w:p>
              </w:tc>
              <w:tc>
                <w:tcPr>
                  <w:tcW w:w="1417" w:type="dxa"/>
                  <w:tcBorders>
                    <w:top w:val="single" w:sz="12" w:space="0" w:color="auto"/>
                  </w:tcBorders>
                </w:tcPr>
                <w:p w14:paraId="1513029A" w14:textId="77777777" w:rsidR="00B14E5E" w:rsidRPr="005D104F" w:rsidRDefault="00B14E5E" w:rsidP="00A90858">
                  <w:pPr>
                    <w:spacing w:after="60"/>
                    <w:rPr>
                      <w:rFonts w:cs="Arial"/>
                    </w:rPr>
                  </w:pPr>
                  <w:r>
                    <w:rPr>
                      <w:rFonts w:cs="Arial"/>
                    </w:rPr>
                    <w:t>WBC</w:t>
                  </w:r>
                </w:p>
              </w:tc>
              <w:tc>
                <w:tcPr>
                  <w:tcW w:w="1169" w:type="dxa"/>
                  <w:tcBorders>
                    <w:top w:val="single" w:sz="12" w:space="0" w:color="auto"/>
                  </w:tcBorders>
                </w:tcPr>
                <w:p w14:paraId="15579BE0" w14:textId="77777777" w:rsidR="00B14E5E" w:rsidRPr="005D104F" w:rsidRDefault="00B14E5E" w:rsidP="00A90858">
                  <w:pPr>
                    <w:spacing w:after="60"/>
                    <w:jc w:val="right"/>
                    <w:rPr>
                      <w:rFonts w:cs="Arial"/>
                      <w:b/>
                    </w:rPr>
                  </w:pPr>
                  <w:r>
                    <w:rPr>
                      <w:rFonts w:cs="Arial"/>
                      <w:b/>
                    </w:rPr>
                    <w:t>7</w:t>
                  </w:r>
                </w:p>
              </w:tc>
            </w:tr>
            <w:tr w:rsidR="00B14E5E" w:rsidRPr="005D104F" w14:paraId="4D85CC35" w14:textId="77777777" w:rsidTr="00A90858">
              <w:trPr>
                <w:trHeight w:val="255"/>
              </w:trPr>
              <w:tc>
                <w:tcPr>
                  <w:tcW w:w="1022" w:type="dxa"/>
                  <w:vMerge/>
                </w:tcPr>
                <w:p w14:paraId="6CC1EA13" w14:textId="77777777" w:rsidR="00B14E5E" w:rsidRPr="005D104F" w:rsidRDefault="00B14E5E" w:rsidP="00A90858">
                  <w:pPr>
                    <w:spacing w:after="60"/>
                    <w:rPr>
                      <w:rFonts w:cs="Arial"/>
                    </w:rPr>
                  </w:pPr>
                </w:p>
              </w:tc>
              <w:tc>
                <w:tcPr>
                  <w:tcW w:w="1701" w:type="dxa"/>
                </w:tcPr>
                <w:p w14:paraId="663DBA49" w14:textId="77777777" w:rsidR="00B14E5E" w:rsidRPr="005D104F" w:rsidRDefault="00B14E5E" w:rsidP="00A90858">
                  <w:pPr>
                    <w:spacing w:after="60"/>
                    <w:rPr>
                      <w:rFonts w:cs="Arial"/>
                    </w:rPr>
                  </w:pPr>
                  <w:r>
                    <w:rPr>
                      <w:rFonts w:cs="Arial"/>
                    </w:rPr>
                    <w:t>Mossman Gorge</w:t>
                  </w:r>
                </w:p>
              </w:tc>
              <w:tc>
                <w:tcPr>
                  <w:tcW w:w="1417" w:type="dxa"/>
                </w:tcPr>
                <w:p w14:paraId="69206533" w14:textId="77777777" w:rsidR="00B14E5E" w:rsidRPr="005D104F" w:rsidRDefault="00B14E5E" w:rsidP="00A90858">
                  <w:pPr>
                    <w:spacing w:after="60"/>
                    <w:rPr>
                      <w:rFonts w:cs="Arial"/>
                    </w:rPr>
                  </w:pPr>
                  <w:r>
                    <w:rPr>
                      <w:rFonts w:cs="Arial"/>
                    </w:rPr>
                    <w:t>WBC</w:t>
                  </w:r>
                </w:p>
              </w:tc>
              <w:tc>
                <w:tcPr>
                  <w:tcW w:w="1169" w:type="dxa"/>
                </w:tcPr>
                <w:p w14:paraId="1AD737D6" w14:textId="77777777" w:rsidR="00B14E5E" w:rsidRPr="005D104F" w:rsidRDefault="00B14E5E" w:rsidP="00A90858">
                  <w:pPr>
                    <w:spacing w:after="60"/>
                    <w:jc w:val="right"/>
                    <w:rPr>
                      <w:rFonts w:cs="Arial"/>
                      <w:b/>
                    </w:rPr>
                  </w:pPr>
                  <w:r>
                    <w:rPr>
                      <w:rFonts w:cs="Arial"/>
                      <w:b/>
                    </w:rPr>
                    <w:t>1</w:t>
                  </w:r>
                </w:p>
              </w:tc>
            </w:tr>
            <w:tr w:rsidR="00B14E5E" w:rsidRPr="005D104F" w14:paraId="42635F75" w14:textId="77777777" w:rsidTr="00A90858">
              <w:trPr>
                <w:trHeight w:val="255"/>
              </w:trPr>
              <w:tc>
                <w:tcPr>
                  <w:tcW w:w="1022" w:type="dxa"/>
                  <w:vMerge/>
                  <w:tcBorders>
                    <w:bottom w:val="single" w:sz="12" w:space="0" w:color="auto"/>
                  </w:tcBorders>
                </w:tcPr>
                <w:p w14:paraId="20F7E153" w14:textId="77777777" w:rsidR="00B14E5E" w:rsidRPr="005D104F" w:rsidRDefault="00B14E5E" w:rsidP="00A90858">
                  <w:pPr>
                    <w:spacing w:after="60"/>
                    <w:rPr>
                      <w:rFonts w:cs="Arial"/>
                    </w:rPr>
                  </w:pPr>
                </w:p>
              </w:tc>
              <w:tc>
                <w:tcPr>
                  <w:tcW w:w="3118" w:type="dxa"/>
                  <w:gridSpan w:val="2"/>
                  <w:tcBorders>
                    <w:bottom w:val="single" w:sz="12" w:space="0" w:color="auto"/>
                  </w:tcBorders>
                </w:tcPr>
                <w:p w14:paraId="608BFF59" w14:textId="77777777" w:rsidR="00B14E5E" w:rsidRPr="005D104F" w:rsidRDefault="00B14E5E" w:rsidP="00A90858">
                  <w:pPr>
                    <w:spacing w:after="60"/>
                    <w:rPr>
                      <w:rFonts w:cs="Arial"/>
                    </w:rPr>
                  </w:pPr>
                  <w:r w:rsidRPr="005D104F">
                    <w:rPr>
                      <w:rFonts w:cs="Arial"/>
                      <w:b/>
                    </w:rPr>
                    <w:t>DVB Total</w:t>
                  </w:r>
                </w:p>
              </w:tc>
              <w:tc>
                <w:tcPr>
                  <w:tcW w:w="1169" w:type="dxa"/>
                  <w:tcBorders>
                    <w:bottom w:val="single" w:sz="12" w:space="0" w:color="auto"/>
                  </w:tcBorders>
                </w:tcPr>
                <w:p w14:paraId="75CFDD22" w14:textId="77777777" w:rsidR="00B14E5E" w:rsidRPr="005D104F" w:rsidRDefault="00B14E5E" w:rsidP="00A90858">
                  <w:pPr>
                    <w:spacing w:after="60"/>
                    <w:jc w:val="right"/>
                    <w:rPr>
                      <w:rFonts w:cs="Arial"/>
                      <w:b/>
                    </w:rPr>
                  </w:pPr>
                  <w:r>
                    <w:rPr>
                      <w:rFonts w:cs="Arial"/>
                      <w:b/>
                    </w:rPr>
                    <w:t>8</w:t>
                  </w:r>
                </w:p>
              </w:tc>
            </w:tr>
            <w:tr w:rsidR="00B14E5E" w:rsidRPr="005D104F" w14:paraId="2383E73D" w14:textId="77777777" w:rsidTr="00A90858">
              <w:trPr>
                <w:trHeight w:val="255"/>
              </w:trPr>
              <w:tc>
                <w:tcPr>
                  <w:tcW w:w="1022" w:type="dxa"/>
                  <w:vMerge w:val="restart"/>
                  <w:tcBorders>
                    <w:top w:val="single" w:sz="12" w:space="0" w:color="auto"/>
                  </w:tcBorders>
                </w:tcPr>
                <w:p w14:paraId="7951D9F3" w14:textId="77777777" w:rsidR="00B14E5E" w:rsidRPr="005D104F" w:rsidRDefault="00B14E5E" w:rsidP="00A90858">
                  <w:pPr>
                    <w:spacing w:after="60"/>
                    <w:rPr>
                      <w:rFonts w:cs="Arial"/>
                      <w:b/>
                    </w:rPr>
                  </w:pPr>
                  <w:r w:rsidRPr="005D104F">
                    <w:rPr>
                      <w:rFonts w:cs="Arial"/>
                      <w:b/>
                    </w:rPr>
                    <w:t>DVO</w:t>
                  </w:r>
                </w:p>
              </w:tc>
              <w:tc>
                <w:tcPr>
                  <w:tcW w:w="1701" w:type="dxa"/>
                  <w:tcBorders>
                    <w:top w:val="single" w:sz="12" w:space="0" w:color="auto"/>
                  </w:tcBorders>
                </w:tcPr>
                <w:p w14:paraId="5423464C" w14:textId="77777777" w:rsidR="00B14E5E" w:rsidRPr="005D104F" w:rsidRDefault="00B14E5E" w:rsidP="00A90858">
                  <w:pPr>
                    <w:spacing w:after="60"/>
                    <w:rPr>
                      <w:rFonts w:cs="Arial"/>
                    </w:rPr>
                  </w:pPr>
                  <w:r>
                    <w:rPr>
                      <w:rFonts w:cs="Arial"/>
                    </w:rPr>
                    <w:t>Coen</w:t>
                  </w:r>
                </w:p>
              </w:tc>
              <w:tc>
                <w:tcPr>
                  <w:tcW w:w="1417" w:type="dxa"/>
                  <w:tcBorders>
                    <w:top w:val="single" w:sz="12" w:space="0" w:color="auto"/>
                  </w:tcBorders>
                </w:tcPr>
                <w:p w14:paraId="684CB7BC" w14:textId="77777777" w:rsidR="00B14E5E" w:rsidRPr="005D104F" w:rsidRDefault="00B14E5E" w:rsidP="00A90858">
                  <w:pPr>
                    <w:spacing w:after="60"/>
                    <w:rPr>
                      <w:rFonts w:cs="Arial"/>
                    </w:rPr>
                  </w:pPr>
                  <w:proofErr w:type="spellStart"/>
                  <w:r>
                    <w:rPr>
                      <w:rFonts w:cs="Arial"/>
                    </w:rPr>
                    <w:t>MPower</w:t>
                  </w:r>
                  <w:proofErr w:type="spellEnd"/>
                </w:p>
              </w:tc>
              <w:tc>
                <w:tcPr>
                  <w:tcW w:w="1169" w:type="dxa"/>
                  <w:tcBorders>
                    <w:top w:val="single" w:sz="12" w:space="0" w:color="auto"/>
                  </w:tcBorders>
                </w:tcPr>
                <w:p w14:paraId="6231973D" w14:textId="77777777" w:rsidR="00B14E5E" w:rsidRPr="005D104F" w:rsidRDefault="00B14E5E" w:rsidP="00A90858">
                  <w:pPr>
                    <w:spacing w:after="60"/>
                    <w:jc w:val="right"/>
                    <w:rPr>
                      <w:rFonts w:cs="Arial"/>
                      <w:b/>
                    </w:rPr>
                  </w:pPr>
                  <w:r>
                    <w:rPr>
                      <w:rFonts w:cs="Arial"/>
                      <w:b/>
                    </w:rPr>
                    <w:t>1</w:t>
                  </w:r>
                </w:p>
              </w:tc>
            </w:tr>
            <w:tr w:rsidR="00B14E5E" w:rsidRPr="005D104F" w14:paraId="4BAD823A" w14:textId="77777777" w:rsidTr="00A90858">
              <w:trPr>
                <w:trHeight w:val="255"/>
              </w:trPr>
              <w:tc>
                <w:tcPr>
                  <w:tcW w:w="1022" w:type="dxa"/>
                  <w:vMerge/>
                </w:tcPr>
                <w:p w14:paraId="164ACE1A" w14:textId="77777777" w:rsidR="00B14E5E" w:rsidRPr="005D104F" w:rsidRDefault="00B14E5E" w:rsidP="00A90858">
                  <w:pPr>
                    <w:spacing w:after="60"/>
                    <w:rPr>
                      <w:rFonts w:cs="Arial"/>
                    </w:rPr>
                  </w:pPr>
                </w:p>
              </w:tc>
              <w:tc>
                <w:tcPr>
                  <w:tcW w:w="1701" w:type="dxa"/>
                </w:tcPr>
                <w:p w14:paraId="4ED18519" w14:textId="77777777" w:rsidR="00B14E5E" w:rsidRPr="005D104F" w:rsidRDefault="00B14E5E" w:rsidP="00A90858">
                  <w:pPr>
                    <w:spacing w:after="60"/>
                    <w:rPr>
                      <w:rFonts w:cs="Arial"/>
                    </w:rPr>
                  </w:pPr>
                  <w:r>
                    <w:rPr>
                      <w:rFonts w:cs="Arial"/>
                    </w:rPr>
                    <w:t>Coen</w:t>
                  </w:r>
                </w:p>
              </w:tc>
              <w:tc>
                <w:tcPr>
                  <w:tcW w:w="1417" w:type="dxa"/>
                </w:tcPr>
                <w:p w14:paraId="56EBFF20" w14:textId="77777777" w:rsidR="00B14E5E" w:rsidRPr="005D104F" w:rsidRDefault="00B14E5E" w:rsidP="00A90858">
                  <w:pPr>
                    <w:spacing w:after="60"/>
                    <w:rPr>
                      <w:rFonts w:cs="Arial"/>
                    </w:rPr>
                  </w:pPr>
                  <w:r>
                    <w:rPr>
                      <w:rFonts w:cs="Arial"/>
                    </w:rPr>
                    <w:t>WBC</w:t>
                  </w:r>
                </w:p>
              </w:tc>
              <w:tc>
                <w:tcPr>
                  <w:tcW w:w="1169" w:type="dxa"/>
                </w:tcPr>
                <w:p w14:paraId="36A74FCF" w14:textId="77777777" w:rsidR="00B14E5E" w:rsidRPr="005D104F" w:rsidRDefault="00B14E5E" w:rsidP="00A90858">
                  <w:pPr>
                    <w:spacing w:after="60"/>
                    <w:jc w:val="right"/>
                    <w:rPr>
                      <w:rFonts w:cs="Arial"/>
                      <w:b/>
                    </w:rPr>
                  </w:pPr>
                  <w:r>
                    <w:rPr>
                      <w:rFonts w:cs="Arial"/>
                      <w:b/>
                    </w:rPr>
                    <w:t>3</w:t>
                  </w:r>
                </w:p>
              </w:tc>
            </w:tr>
            <w:tr w:rsidR="00B14E5E" w:rsidRPr="005D104F" w14:paraId="04CE5B02" w14:textId="77777777" w:rsidTr="00A90858">
              <w:trPr>
                <w:trHeight w:val="292"/>
              </w:trPr>
              <w:tc>
                <w:tcPr>
                  <w:tcW w:w="1022" w:type="dxa"/>
                  <w:vMerge/>
                </w:tcPr>
                <w:p w14:paraId="5A69D697" w14:textId="77777777" w:rsidR="00B14E5E" w:rsidRPr="005D104F" w:rsidRDefault="00B14E5E" w:rsidP="00A90858">
                  <w:pPr>
                    <w:spacing w:after="60"/>
                    <w:rPr>
                      <w:rFonts w:cs="Arial"/>
                    </w:rPr>
                  </w:pPr>
                </w:p>
              </w:tc>
              <w:tc>
                <w:tcPr>
                  <w:tcW w:w="1701" w:type="dxa"/>
                </w:tcPr>
                <w:p w14:paraId="295A51CC" w14:textId="77777777" w:rsidR="00B14E5E" w:rsidRPr="005D104F" w:rsidRDefault="00B14E5E" w:rsidP="00A90858">
                  <w:pPr>
                    <w:spacing w:after="60"/>
                    <w:rPr>
                      <w:rFonts w:cs="Arial"/>
                    </w:rPr>
                  </w:pPr>
                  <w:r>
                    <w:rPr>
                      <w:rFonts w:cs="Arial"/>
                    </w:rPr>
                    <w:t>Hope Vale</w:t>
                  </w:r>
                </w:p>
              </w:tc>
              <w:tc>
                <w:tcPr>
                  <w:tcW w:w="1417" w:type="dxa"/>
                </w:tcPr>
                <w:p w14:paraId="0900CB04" w14:textId="77777777" w:rsidR="00B14E5E" w:rsidRPr="005D104F" w:rsidRDefault="00B14E5E" w:rsidP="00A90858">
                  <w:pPr>
                    <w:spacing w:after="60"/>
                    <w:rPr>
                      <w:rFonts w:cs="Arial"/>
                    </w:rPr>
                  </w:pPr>
                  <w:r>
                    <w:rPr>
                      <w:rFonts w:cs="Arial"/>
                    </w:rPr>
                    <w:t>WBC</w:t>
                  </w:r>
                </w:p>
              </w:tc>
              <w:tc>
                <w:tcPr>
                  <w:tcW w:w="1169" w:type="dxa"/>
                </w:tcPr>
                <w:p w14:paraId="7E790C00" w14:textId="77777777" w:rsidR="00B14E5E" w:rsidRPr="005D104F" w:rsidRDefault="00B14E5E" w:rsidP="00A90858">
                  <w:pPr>
                    <w:spacing w:after="60"/>
                    <w:jc w:val="right"/>
                    <w:rPr>
                      <w:rFonts w:cs="Arial"/>
                      <w:b/>
                    </w:rPr>
                  </w:pPr>
                  <w:r>
                    <w:rPr>
                      <w:rFonts w:cs="Arial"/>
                      <w:b/>
                    </w:rPr>
                    <w:t>2</w:t>
                  </w:r>
                </w:p>
              </w:tc>
            </w:tr>
            <w:tr w:rsidR="00B14E5E" w:rsidRPr="005D104F" w14:paraId="183EFDCC" w14:textId="77777777" w:rsidTr="00A90858">
              <w:trPr>
                <w:trHeight w:val="255"/>
              </w:trPr>
              <w:tc>
                <w:tcPr>
                  <w:tcW w:w="1022" w:type="dxa"/>
                  <w:vMerge/>
                </w:tcPr>
                <w:p w14:paraId="7B860AB4" w14:textId="77777777" w:rsidR="00B14E5E" w:rsidRPr="005D104F" w:rsidRDefault="00B14E5E" w:rsidP="00A90858">
                  <w:pPr>
                    <w:spacing w:after="60"/>
                    <w:rPr>
                      <w:rFonts w:cs="Arial"/>
                    </w:rPr>
                  </w:pPr>
                </w:p>
              </w:tc>
              <w:tc>
                <w:tcPr>
                  <w:tcW w:w="1701" w:type="dxa"/>
                </w:tcPr>
                <w:p w14:paraId="60559752" w14:textId="77777777" w:rsidR="00B14E5E" w:rsidRPr="005D104F" w:rsidRDefault="00B14E5E" w:rsidP="00A90858">
                  <w:pPr>
                    <w:spacing w:after="60"/>
                    <w:rPr>
                      <w:rFonts w:cs="Arial"/>
                    </w:rPr>
                  </w:pPr>
                  <w:r>
                    <w:rPr>
                      <w:rFonts w:cs="Arial"/>
                    </w:rPr>
                    <w:t>Mossman Gorge</w:t>
                  </w:r>
                  <w:r w:rsidDel="009B14A6">
                    <w:rPr>
                      <w:rFonts w:cs="Arial"/>
                    </w:rPr>
                    <w:t xml:space="preserve"> </w:t>
                  </w:r>
                </w:p>
              </w:tc>
              <w:tc>
                <w:tcPr>
                  <w:tcW w:w="1417" w:type="dxa"/>
                </w:tcPr>
                <w:p w14:paraId="4E9B0F69" w14:textId="77777777" w:rsidR="00B14E5E" w:rsidRPr="005D104F" w:rsidRDefault="00B14E5E" w:rsidP="00A90858">
                  <w:pPr>
                    <w:spacing w:after="60"/>
                    <w:rPr>
                      <w:rFonts w:cs="Arial"/>
                    </w:rPr>
                  </w:pPr>
                  <w:proofErr w:type="spellStart"/>
                  <w:r>
                    <w:rPr>
                      <w:rFonts w:cs="Arial"/>
                    </w:rPr>
                    <w:t>MPower</w:t>
                  </w:r>
                  <w:proofErr w:type="spellEnd"/>
                </w:p>
              </w:tc>
              <w:tc>
                <w:tcPr>
                  <w:tcW w:w="1169" w:type="dxa"/>
                </w:tcPr>
                <w:p w14:paraId="2DAB1B31" w14:textId="77777777" w:rsidR="00B14E5E" w:rsidRPr="005D104F" w:rsidRDefault="00B14E5E" w:rsidP="00A90858">
                  <w:pPr>
                    <w:spacing w:after="60"/>
                    <w:jc w:val="right"/>
                    <w:rPr>
                      <w:rFonts w:cs="Arial"/>
                      <w:b/>
                    </w:rPr>
                  </w:pPr>
                  <w:r>
                    <w:rPr>
                      <w:rFonts w:cs="Arial"/>
                      <w:b/>
                    </w:rPr>
                    <w:t>1</w:t>
                  </w:r>
                </w:p>
              </w:tc>
            </w:tr>
            <w:tr w:rsidR="00B14E5E" w:rsidRPr="005D104F" w14:paraId="68720E63" w14:textId="77777777" w:rsidTr="00A90858">
              <w:trPr>
                <w:trHeight w:val="255"/>
              </w:trPr>
              <w:tc>
                <w:tcPr>
                  <w:tcW w:w="1022" w:type="dxa"/>
                  <w:vMerge/>
                </w:tcPr>
                <w:p w14:paraId="439B2A2A" w14:textId="77777777" w:rsidR="00B14E5E" w:rsidRPr="005D104F" w:rsidRDefault="00B14E5E" w:rsidP="00A90858">
                  <w:pPr>
                    <w:spacing w:after="60"/>
                    <w:rPr>
                      <w:rFonts w:cs="Arial"/>
                    </w:rPr>
                  </w:pPr>
                </w:p>
              </w:tc>
              <w:tc>
                <w:tcPr>
                  <w:tcW w:w="1701" w:type="dxa"/>
                </w:tcPr>
                <w:p w14:paraId="32AD69CC" w14:textId="77777777" w:rsidR="00B14E5E" w:rsidRPr="005D104F" w:rsidRDefault="00B14E5E" w:rsidP="00A90858">
                  <w:pPr>
                    <w:spacing w:after="60"/>
                    <w:rPr>
                      <w:rFonts w:cs="Arial"/>
                    </w:rPr>
                  </w:pPr>
                  <w:r>
                    <w:rPr>
                      <w:rFonts w:cs="Arial"/>
                    </w:rPr>
                    <w:t>Mossman Gorge</w:t>
                  </w:r>
                </w:p>
              </w:tc>
              <w:tc>
                <w:tcPr>
                  <w:tcW w:w="1417" w:type="dxa"/>
                </w:tcPr>
                <w:p w14:paraId="41C07719" w14:textId="77777777" w:rsidR="00B14E5E" w:rsidRPr="005D104F" w:rsidRDefault="00B14E5E" w:rsidP="00A90858">
                  <w:pPr>
                    <w:spacing w:after="60"/>
                    <w:rPr>
                      <w:rFonts w:cs="Arial"/>
                    </w:rPr>
                  </w:pPr>
                  <w:r>
                    <w:rPr>
                      <w:rFonts w:cs="Arial"/>
                    </w:rPr>
                    <w:t>WBC</w:t>
                  </w:r>
                </w:p>
              </w:tc>
              <w:tc>
                <w:tcPr>
                  <w:tcW w:w="1169" w:type="dxa"/>
                </w:tcPr>
                <w:p w14:paraId="0FA5D892" w14:textId="77777777" w:rsidR="00B14E5E" w:rsidRPr="005D104F" w:rsidRDefault="00B14E5E" w:rsidP="00A90858">
                  <w:pPr>
                    <w:spacing w:after="60"/>
                    <w:jc w:val="right"/>
                    <w:rPr>
                      <w:rFonts w:cs="Arial"/>
                      <w:b/>
                    </w:rPr>
                  </w:pPr>
                  <w:r>
                    <w:rPr>
                      <w:rFonts w:cs="Arial"/>
                      <w:b/>
                    </w:rPr>
                    <w:t>2</w:t>
                  </w:r>
                </w:p>
              </w:tc>
            </w:tr>
            <w:tr w:rsidR="00B14E5E" w:rsidRPr="005D104F" w14:paraId="20B46A6F" w14:textId="77777777" w:rsidTr="00A90858">
              <w:trPr>
                <w:trHeight w:val="273"/>
              </w:trPr>
              <w:tc>
                <w:tcPr>
                  <w:tcW w:w="1022" w:type="dxa"/>
                  <w:vMerge/>
                </w:tcPr>
                <w:p w14:paraId="7A9ED263" w14:textId="77777777" w:rsidR="00B14E5E" w:rsidRPr="005D104F" w:rsidRDefault="00B14E5E" w:rsidP="00A90858">
                  <w:pPr>
                    <w:spacing w:after="60"/>
                    <w:rPr>
                      <w:rFonts w:cs="Arial"/>
                    </w:rPr>
                  </w:pPr>
                </w:p>
              </w:tc>
              <w:tc>
                <w:tcPr>
                  <w:tcW w:w="3118" w:type="dxa"/>
                  <w:gridSpan w:val="2"/>
                </w:tcPr>
                <w:p w14:paraId="39FA2BC8" w14:textId="77777777" w:rsidR="00B14E5E" w:rsidRPr="005D104F" w:rsidRDefault="00B14E5E" w:rsidP="00A90858">
                  <w:pPr>
                    <w:spacing w:after="60"/>
                    <w:rPr>
                      <w:rFonts w:cs="Arial"/>
                    </w:rPr>
                  </w:pPr>
                  <w:r w:rsidRPr="005D104F">
                    <w:rPr>
                      <w:rFonts w:cs="Arial"/>
                      <w:b/>
                    </w:rPr>
                    <w:t>DVO Total</w:t>
                  </w:r>
                </w:p>
              </w:tc>
              <w:tc>
                <w:tcPr>
                  <w:tcW w:w="1169" w:type="dxa"/>
                </w:tcPr>
                <w:p w14:paraId="4D6E6F66" w14:textId="77777777" w:rsidR="00B14E5E" w:rsidRPr="005D104F" w:rsidRDefault="00B14E5E" w:rsidP="00A90858">
                  <w:pPr>
                    <w:spacing w:after="60"/>
                    <w:jc w:val="right"/>
                    <w:rPr>
                      <w:rFonts w:cs="Arial"/>
                      <w:b/>
                    </w:rPr>
                  </w:pPr>
                  <w:r>
                    <w:rPr>
                      <w:rFonts w:cs="Arial"/>
                      <w:b/>
                    </w:rPr>
                    <w:t>9</w:t>
                  </w:r>
                </w:p>
              </w:tc>
            </w:tr>
            <w:tr w:rsidR="00B14E5E" w:rsidRPr="005D104F" w14:paraId="64F1820C" w14:textId="77777777" w:rsidTr="00A90858">
              <w:trPr>
                <w:trHeight w:val="255"/>
              </w:trPr>
              <w:tc>
                <w:tcPr>
                  <w:tcW w:w="4140" w:type="dxa"/>
                  <w:gridSpan w:val="3"/>
                  <w:tcBorders>
                    <w:top w:val="single" w:sz="12" w:space="0" w:color="auto"/>
                  </w:tcBorders>
                </w:tcPr>
                <w:p w14:paraId="4463D7A6" w14:textId="77777777" w:rsidR="00B14E5E" w:rsidRPr="005D104F" w:rsidRDefault="00B14E5E" w:rsidP="00A90858">
                  <w:pPr>
                    <w:spacing w:after="60"/>
                    <w:rPr>
                      <w:rFonts w:cs="Arial"/>
                    </w:rPr>
                  </w:pPr>
                  <w:r w:rsidRPr="005D104F">
                    <w:rPr>
                      <w:rFonts w:cs="Arial"/>
                      <w:b/>
                    </w:rPr>
                    <w:t>Grand Total</w:t>
                  </w:r>
                </w:p>
              </w:tc>
              <w:tc>
                <w:tcPr>
                  <w:tcW w:w="1169" w:type="dxa"/>
                  <w:tcBorders>
                    <w:top w:val="single" w:sz="12" w:space="0" w:color="auto"/>
                  </w:tcBorders>
                </w:tcPr>
                <w:p w14:paraId="4554E567" w14:textId="77777777" w:rsidR="00B14E5E" w:rsidRPr="005D104F" w:rsidRDefault="00B14E5E" w:rsidP="00A90858">
                  <w:pPr>
                    <w:spacing w:after="60"/>
                    <w:jc w:val="right"/>
                    <w:rPr>
                      <w:rFonts w:cs="Arial"/>
                      <w:b/>
                    </w:rPr>
                  </w:pPr>
                  <w:r>
                    <w:rPr>
                      <w:rFonts w:cs="Arial"/>
                      <w:b/>
                    </w:rPr>
                    <w:t>17</w:t>
                  </w:r>
                </w:p>
              </w:tc>
            </w:tr>
          </w:tbl>
          <w:p w14:paraId="141F02F2" w14:textId="77777777" w:rsidR="00A72285" w:rsidRDefault="00A72285" w:rsidP="00A90858">
            <w:pPr>
              <w:widowControl w:val="0"/>
              <w:autoSpaceDE w:val="0"/>
              <w:autoSpaceDN w:val="0"/>
              <w:adjustRightInd w:val="0"/>
              <w:spacing w:before="120"/>
              <w:ind w:left="720" w:hanging="720"/>
              <w:rPr>
                <w:rFonts w:ascii="Helvetica" w:hAnsi="Helvetica" w:cs="Helvetica"/>
                <w:b/>
                <w:bCs/>
                <w:sz w:val="17"/>
                <w:szCs w:val="17"/>
                <w:lang w:val="en-US"/>
              </w:rPr>
            </w:pPr>
          </w:p>
          <w:p w14:paraId="2016FA33" w14:textId="0B854E71" w:rsidR="00B14E5E" w:rsidRPr="005D104F" w:rsidRDefault="00B14E5E" w:rsidP="00A90858">
            <w:pPr>
              <w:widowControl w:val="0"/>
              <w:autoSpaceDE w:val="0"/>
              <w:autoSpaceDN w:val="0"/>
              <w:adjustRightInd w:val="0"/>
              <w:spacing w:before="120"/>
              <w:ind w:left="720" w:hanging="720"/>
              <w:rPr>
                <w:rFonts w:ascii="Helvetica" w:hAnsi="Helvetica" w:cs="Helvetica"/>
                <w:b/>
                <w:bCs/>
                <w:sz w:val="17"/>
                <w:szCs w:val="17"/>
                <w:lang w:val="en-US"/>
              </w:rPr>
            </w:pPr>
            <w:r w:rsidRPr="00436677">
              <w:rPr>
                <w:rFonts w:ascii="Helvetica" w:hAnsi="Helvetica" w:cs="Helvetica"/>
                <w:b/>
                <w:bCs/>
                <w:sz w:val="17"/>
                <w:szCs w:val="17"/>
                <w:lang w:val="en-US"/>
              </w:rPr>
              <w:t>T</w:t>
            </w:r>
            <w:r w:rsidRPr="005D104F">
              <w:rPr>
                <w:rFonts w:ascii="Helvetica" w:hAnsi="Helvetica" w:cs="Helvetica"/>
                <w:b/>
                <w:bCs/>
                <w:sz w:val="17"/>
                <w:szCs w:val="17"/>
                <w:lang w:val="en-US"/>
              </w:rPr>
              <w:t>able 1</w:t>
            </w:r>
            <w:r w:rsidR="00A72285">
              <w:rPr>
                <w:rFonts w:ascii="Helvetica" w:hAnsi="Helvetica" w:cs="Helvetica"/>
                <w:b/>
                <w:bCs/>
                <w:sz w:val="17"/>
                <w:szCs w:val="17"/>
                <w:lang w:val="en-US"/>
              </w:rPr>
              <w:t>5</w:t>
            </w:r>
            <w:r w:rsidRPr="005D104F">
              <w:rPr>
                <w:rFonts w:ascii="Helvetica" w:hAnsi="Helvetica" w:cs="Helvetica"/>
                <w:b/>
                <w:bCs/>
                <w:sz w:val="17"/>
                <w:szCs w:val="17"/>
                <w:lang w:val="en-US"/>
              </w:rPr>
              <w:t>: Domestic violence referral pathways by referral type and quarter 1 July 201</w:t>
            </w:r>
            <w:r>
              <w:rPr>
                <w:rFonts w:ascii="Helvetica" w:hAnsi="Helvetica" w:cs="Helvetica"/>
                <w:b/>
                <w:bCs/>
                <w:sz w:val="17"/>
                <w:szCs w:val="17"/>
                <w:lang w:val="en-US"/>
              </w:rPr>
              <w:t>8</w:t>
            </w:r>
            <w:r w:rsidRPr="005D104F">
              <w:rPr>
                <w:rFonts w:ascii="Helvetica" w:hAnsi="Helvetica" w:cs="Helvetica"/>
                <w:b/>
                <w:bCs/>
                <w:sz w:val="17"/>
                <w:szCs w:val="17"/>
                <w:lang w:val="en-US"/>
              </w:rPr>
              <w:t xml:space="preserve"> to 30 June 201</w:t>
            </w:r>
            <w:r>
              <w:rPr>
                <w:rFonts w:ascii="Helvetica" w:hAnsi="Helvetica" w:cs="Helvetica"/>
                <w:b/>
                <w:bCs/>
                <w:sz w:val="17"/>
                <w:szCs w:val="17"/>
                <w:lang w:val="en-US"/>
              </w:rPr>
              <w:t>9</w:t>
            </w:r>
            <w:r w:rsidRPr="005D104F">
              <w:rPr>
                <w:rFonts w:ascii="Helvetica" w:hAnsi="Helvetica" w:cs="Helvetica"/>
                <w:b/>
                <w:bCs/>
                <w:sz w:val="17"/>
                <w:szCs w:val="17"/>
                <w:lang w:val="en-US"/>
              </w:rPr>
              <w:t>.</w:t>
            </w:r>
          </w:p>
          <w:tbl>
            <w:tblPr>
              <w:tblW w:w="5270" w:type="dxa"/>
              <w:tblLayout w:type="fixed"/>
              <w:tblLook w:val="04A0" w:firstRow="1" w:lastRow="0" w:firstColumn="1" w:lastColumn="0" w:noHBand="0" w:noVBand="1"/>
            </w:tblPr>
            <w:tblGrid>
              <w:gridCol w:w="2178"/>
              <w:gridCol w:w="773"/>
              <w:gridCol w:w="773"/>
              <w:gridCol w:w="773"/>
              <w:gridCol w:w="773"/>
            </w:tblGrid>
            <w:tr w:rsidR="00B14E5E" w:rsidRPr="005D104F" w14:paraId="57DD92A3" w14:textId="77777777" w:rsidTr="00A90858">
              <w:trPr>
                <w:trHeight w:val="510"/>
              </w:trPr>
              <w:tc>
                <w:tcPr>
                  <w:tcW w:w="2178" w:type="dxa"/>
                  <w:tcBorders>
                    <w:top w:val="single" w:sz="4" w:space="0" w:color="auto"/>
                    <w:left w:val="single" w:sz="4" w:space="0" w:color="auto"/>
                    <w:bottom w:val="single" w:sz="4" w:space="0" w:color="auto"/>
                    <w:right w:val="single" w:sz="4" w:space="0" w:color="auto"/>
                  </w:tcBorders>
                  <w:shd w:val="clear" w:color="auto" w:fill="auto"/>
                  <w:noWrap/>
                  <w:hideMark/>
                </w:tcPr>
                <w:p w14:paraId="2C894953" w14:textId="77777777" w:rsidR="00B14E5E" w:rsidRPr="005D104F" w:rsidRDefault="00B14E5E" w:rsidP="00A90858">
                  <w:pPr>
                    <w:spacing w:after="60"/>
                    <w:rPr>
                      <w:rFonts w:cs="Arial"/>
                      <w:b/>
                      <w:bCs/>
                      <w:szCs w:val="20"/>
                      <w:lang w:eastAsia="en-AU"/>
                    </w:rPr>
                  </w:pPr>
                  <w:r w:rsidRPr="005D104F">
                    <w:rPr>
                      <w:rFonts w:cs="Arial"/>
                      <w:b/>
                      <w:bCs/>
                      <w:szCs w:val="20"/>
                      <w:lang w:eastAsia="en-AU"/>
                    </w:rPr>
                    <w:t>Referral Type</w:t>
                  </w:r>
                </w:p>
              </w:tc>
              <w:tc>
                <w:tcPr>
                  <w:tcW w:w="773" w:type="dxa"/>
                  <w:tcBorders>
                    <w:top w:val="single" w:sz="4" w:space="0" w:color="auto"/>
                    <w:left w:val="nil"/>
                    <w:bottom w:val="single" w:sz="4" w:space="0" w:color="auto"/>
                    <w:right w:val="single" w:sz="4" w:space="0" w:color="auto"/>
                  </w:tcBorders>
                  <w:shd w:val="clear" w:color="auto" w:fill="auto"/>
                  <w:hideMark/>
                </w:tcPr>
                <w:p w14:paraId="29CEC3FB" w14:textId="77777777" w:rsidR="00B14E5E" w:rsidRPr="005D104F" w:rsidRDefault="00B14E5E" w:rsidP="00A90858">
                  <w:pPr>
                    <w:spacing w:after="60"/>
                    <w:jc w:val="right"/>
                    <w:rPr>
                      <w:rFonts w:cs="Arial"/>
                      <w:b/>
                      <w:bCs/>
                      <w:szCs w:val="20"/>
                      <w:lang w:eastAsia="en-AU"/>
                    </w:rPr>
                  </w:pPr>
                  <w:proofErr w:type="spellStart"/>
                  <w:r w:rsidRPr="005D104F">
                    <w:rPr>
                      <w:rFonts w:cs="Arial"/>
                      <w:b/>
                      <w:bCs/>
                      <w:szCs w:val="20"/>
                      <w:lang w:eastAsia="en-AU"/>
                    </w:rPr>
                    <w:t>Qtr</w:t>
                  </w:r>
                  <w:proofErr w:type="spellEnd"/>
                  <w:r w:rsidRPr="005D104F">
                    <w:rPr>
                      <w:rFonts w:cs="Arial"/>
                      <w:b/>
                      <w:bCs/>
                      <w:szCs w:val="20"/>
                      <w:lang w:eastAsia="en-AU"/>
                    </w:rPr>
                    <w:t xml:space="preserve"> </w:t>
                  </w:r>
                  <w:r>
                    <w:rPr>
                      <w:rFonts w:cs="Arial"/>
                      <w:b/>
                      <w:bCs/>
                      <w:szCs w:val="20"/>
                      <w:lang w:eastAsia="en-AU"/>
                    </w:rPr>
                    <w:t>41</w:t>
                  </w:r>
                </w:p>
              </w:tc>
              <w:tc>
                <w:tcPr>
                  <w:tcW w:w="773" w:type="dxa"/>
                  <w:tcBorders>
                    <w:top w:val="single" w:sz="4" w:space="0" w:color="auto"/>
                    <w:left w:val="nil"/>
                    <w:bottom w:val="single" w:sz="4" w:space="0" w:color="auto"/>
                    <w:right w:val="single" w:sz="4" w:space="0" w:color="auto"/>
                  </w:tcBorders>
                  <w:shd w:val="clear" w:color="auto" w:fill="auto"/>
                  <w:hideMark/>
                </w:tcPr>
                <w:p w14:paraId="7C412AF4" w14:textId="77777777" w:rsidR="00B14E5E" w:rsidRPr="005D104F" w:rsidRDefault="00B14E5E" w:rsidP="00A90858">
                  <w:pPr>
                    <w:spacing w:after="60"/>
                    <w:jc w:val="right"/>
                    <w:rPr>
                      <w:rFonts w:cs="Arial"/>
                      <w:b/>
                      <w:bCs/>
                      <w:szCs w:val="20"/>
                      <w:lang w:eastAsia="en-AU"/>
                    </w:rPr>
                  </w:pPr>
                  <w:proofErr w:type="spellStart"/>
                  <w:r w:rsidRPr="005D104F">
                    <w:rPr>
                      <w:rFonts w:cs="Arial"/>
                      <w:b/>
                      <w:bCs/>
                      <w:szCs w:val="20"/>
                      <w:lang w:eastAsia="en-AU"/>
                    </w:rPr>
                    <w:t>Qtr</w:t>
                  </w:r>
                  <w:proofErr w:type="spellEnd"/>
                  <w:r w:rsidRPr="005D104F">
                    <w:rPr>
                      <w:rFonts w:cs="Arial"/>
                      <w:b/>
                      <w:bCs/>
                      <w:szCs w:val="20"/>
                      <w:lang w:eastAsia="en-AU"/>
                    </w:rPr>
                    <w:t xml:space="preserve"> </w:t>
                  </w:r>
                  <w:r>
                    <w:rPr>
                      <w:rFonts w:cs="Arial"/>
                      <w:b/>
                      <w:bCs/>
                      <w:szCs w:val="20"/>
                      <w:lang w:eastAsia="en-AU"/>
                    </w:rPr>
                    <w:t>42</w:t>
                  </w:r>
                </w:p>
              </w:tc>
              <w:tc>
                <w:tcPr>
                  <w:tcW w:w="773" w:type="dxa"/>
                  <w:tcBorders>
                    <w:top w:val="single" w:sz="4" w:space="0" w:color="auto"/>
                    <w:left w:val="nil"/>
                    <w:bottom w:val="single" w:sz="4" w:space="0" w:color="auto"/>
                    <w:right w:val="single" w:sz="4" w:space="0" w:color="auto"/>
                  </w:tcBorders>
                  <w:shd w:val="clear" w:color="auto" w:fill="auto"/>
                  <w:hideMark/>
                </w:tcPr>
                <w:p w14:paraId="6B19CA60" w14:textId="77777777" w:rsidR="00B14E5E" w:rsidRPr="005D104F" w:rsidRDefault="00B14E5E" w:rsidP="00A90858">
                  <w:pPr>
                    <w:spacing w:after="60"/>
                    <w:jc w:val="right"/>
                    <w:rPr>
                      <w:rFonts w:cs="Arial"/>
                      <w:b/>
                      <w:bCs/>
                      <w:szCs w:val="20"/>
                      <w:lang w:eastAsia="en-AU"/>
                    </w:rPr>
                  </w:pPr>
                  <w:proofErr w:type="spellStart"/>
                  <w:r w:rsidRPr="005D104F">
                    <w:rPr>
                      <w:rFonts w:cs="Arial"/>
                      <w:b/>
                      <w:bCs/>
                      <w:szCs w:val="20"/>
                      <w:lang w:eastAsia="en-AU"/>
                    </w:rPr>
                    <w:t>Qtr</w:t>
                  </w:r>
                  <w:proofErr w:type="spellEnd"/>
                  <w:r w:rsidRPr="005D104F">
                    <w:rPr>
                      <w:rFonts w:cs="Arial"/>
                      <w:b/>
                      <w:bCs/>
                      <w:szCs w:val="20"/>
                      <w:lang w:eastAsia="en-AU"/>
                    </w:rPr>
                    <w:t xml:space="preserve"> </w:t>
                  </w:r>
                  <w:r>
                    <w:rPr>
                      <w:rFonts w:cs="Arial"/>
                      <w:b/>
                      <w:bCs/>
                      <w:szCs w:val="20"/>
                      <w:lang w:eastAsia="en-AU"/>
                    </w:rPr>
                    <w:t>43</w:t>
                  </w:r>
                </w:p>
              </w:tc>
              <w:tc>
                <w:tcPr>
                  <w:tcW w:w="773" w:type="dxa"/>
                  <w:tcBorders>
                    <w:top w:val="single" w:sz="4" w:space="0" w:color="auto"/>
                    <w:left w:val="nil"/>
                    <w:bottom w:val="single" w:sz="4" w:space="0" w:color="auto"/>
                    <w:right w:val="single" w:sz="4" w:space="0" w:color="auto"/>
                  </w:tcBorders>
                  <w:shd w:val="clear" w:color="auto" w:fill="auto"/>
                  <w:hideMark/>
                </w:tcPr>
                <w:p w14:paraId="5775A8E7" w14:textId="77777777" w:rsidR="00B14E5E" w:rsidRPr="005D104F" w:rsidRDefault="00B14E5E" w:rsidP="00A90858">
                  <w:pPr>
                    <w:spacing w:after="60"/>
                    <w:jc w:val="right"/>
                    <w:rPr>
                      <w:rFonts w:cs="Arial"/>
                      <w:b/>
                      <w:bCs/>
                      <w:szCs w:val="20"/>
                      <w:lang w:eastAsia="en-AU"/>
                    </w:rPr>
                  </w:pPr>
                  <w:proofErr w:type="spellStart"/>
                  <w:r w:rsidRPr="005D104F">
                    <w:rPr>
                      <w:rFonts w:cs="Arial"/>
                      <w:b/>
                      <w:bCs/>
                      <w:szCs w:val="20"/>
                      <w:lang w:eastAsia="en-AU"/>
                    </w:rPr>
                    <w:t>Qtr</w:t>
                  </w:r>
                  <w:proofErr w:type="spellEnd"/>
                  <w:r w:rsidRPr="005D104F">
                    <w:rPr>
                      <w:rFonts w:cs="Arial"/>
                      <w:b/>
                      <w:bCs/>
                      <w:szCs w:val="20"/>
                      <w:lang w:eastAsia="en-AU"/>
                    </w:rPr>
                    <w:t xml:space="preserve"> </w:t>
                  </w:r>
                  <w:r>
                    <w:rPr>
                      <w:rFonts w:cs="Arial"/>
                      <w:b/>
                      <w:bCs/>
                      <w:szCs w:val="20"/>
                      <w:lang w:eastAsia="en-AU"/>
                    </w:rPr>
                    <w:t>44</w:t>
                  </w:r>
                </w:p>
              </w:tc>
            </w:tr>
            <w:tr w:rsidR="00B14E5E" w:rsidRPr="005D104F" w14:paraId="5BEBC169" w14:textId="77777777" w:rsidTr="00A90858">
              <w:trPr>
                <w:trHeight w:val="255"/>
              </w:trPr>
              <w:tc>
                <w:tcPr>
                  <w:tcW w:w="2178" w:type="dxa"/>
                  <w:tcBorders>
                    <w:top w:val="nil"/>
                    <w:left w:val="single" w:sz="4" w:space="0" w:color="auto"/>
                    <w:bottom w:val="single" w:sz="4" w:space="0" w:color="auto"/>
                    <w:right w:val="single" w:sz="4" w:space="0" w:color="auto"/>
                  </w:tcBorders>
                  <w:shd w:val="clear" w:color="auto" w:fill="auto"/>
                  <w:noWrap/>
                  <w:hideMark/>
                </w:tcPr>
                <w:p w14:paraId="6A4F668E" w14:textId="77777777" w:rsidR="00B14E5E" w:rsidRPr="005D104F" w:rsidRDefault="00B14E5E" w:rsidP="00A90858">
                  <w:pPr>
                    <w:spacing w:after="60"/>
                    <w:rPr>
                      <w:rFonts w:cs="Arial"/>
                      <w:szCs w:val="20"/>
                      <w:lang w:eastAsia="en-AU"/>
                    </w:rPr>
                  </w:pPr>
                  <w:proofErr w:type="spellStart"/>
                  <w:r w:rsidRPr="005D104F">
                    <w:rPr>
                      <w:rFonts w:cs="Arial"/>
                      <w:szCs w:val="20"/>
                      <w:lang w:eastAsia="en-AU"/>
                    </w:rPr>
                    <w:t>MPower</w:t>
                  </w:r>
                  <w:proofErr w:type="spellEnd"/>
                </w:p>
              </w:tc>
              <w:tc>
                <w:tcPr>
                  <w:tcW w:w="773" w:type="dxa"/>
                  <w:tcBorders>
                    <w:top w:val="nil"/>
                    <w:left w:val="nil"/>
                    <w:bottom w:val="single" w:sz="4" w:space="0" w:color="auto"/>
                    <w:right w:val="single" w:sz="4" w:space="0" w:color="auto"/>
                  </w:tcBorders>
                  <w:shd w:val="clear" w:color="auto" w:fill="auto"/>
                  <w:noWrap/>
                </w:tcPr>
                <w:p w14:paraId="031E52A5" w14:textId="77777777" w:rsidR="00B14E5E" w:rsidRPr="008E5925" w:rsidRDefault="00B14E5E" w:rsidP="00A90858">
                  <w:pPr>
                    <w:spacing w:after="60"/>
                    <w:jc w:val="right"/>
                    <w:rPr>
                      <w:rFonts w:cs="Arial"/>
                      <w:szCs w:val="20"/>
                      <w:lang w:eastAsia="en-AU"/>
                    </w:rPr>
                  </w:pPr>
                  <w:r w:rsidRPr="008E5925">
                    <w:rPr>
                      <w:rFonts w:cs="Arial"/>
                      <w:szCs w:val="20"/>
                    </w:rPr>
                    <w:t>1</w:t>
                  </w:r>
                </w:p>
              </w:tc>
              <w:tc>
                <w:tcPr>
                  <w:tcW w:w="773" w:type="dxa"/>
                  <w:tcBorders>
                    <w:top w:val="nil"/>
                    <w:left w:val="nil"/>
                    <w:bottom w:val="single" w:sz="4" w:space="0" w:color="auto"/>
                    <w:right w:val="single" w:sz="4" w:space="0" w:color="auto"/>
                  </w:tcBorders>
                  <w:shd w:val="clear" w:color="auto" w:fill="auto"/>
                  <w:noWrap/>
                </w:tcPr>
                <w:p w14:paraId="3D553D7D" w14:textId="77777777" w:rsidR="00B14E5E" w:rsidRPr="008E5925" w:rsidRDefault="00B14E5E" w:rsidP="00A90858">
                  <w:pPr>
                    <w:spacing w:after="60"/>
                    <w:jc w:val="right"/>
                    <w:rPr>
                      <w:rFonts w:cs="Arial"/>
                      <w:szCs w:val="20"/>
                      <w:lang w:eastAsia="en-AU"/>
                    </w:rPr>
                  </w:pPr>
                  <w:r w:rsidRPr="008E5925">
                    <w:rPr>
                      <w:rFonts w:cs="Arial"/>
                      <w:szCs w:val="20"/>
                    </w:rPr>
                    <w:t>1</w:t>
                  </w:r>
                </w:p>
              </w:tc>
              <w:tc>
                <w:tcPr>
                  <w:tcW w:w="773" w:type="dxa"/>
                  <w:tcBorders>
                    <w:top w:val="nil"/>
                    <w:left w:val="nil"/>
                    <w:bottom w:val="single" w:sz="4" w:space="0" w:color="auto"/>
                    <w:right w:val="single" w:sz="4" w:space="0" w:color="auto"/>
                  </w:tcBorders>
                  <w:shd w:val="clear" w:color="auto" w:fill="auto"/>
                  <w:noWrap/>
                </w:tcPr>
                <w:p w14:paraId="0A24AB13" w14:textId="77777777" w:rsidR="00B14E5E" w:rsidRPr="008E5925" w:rsidRDefault="00B14E5E" w:rsidP="00A90858">
                  <w:pPr>
                    <w:spacing w:after="60"/>
                    <w:jc w:val="right"/>
                    <w:rPr>
                      <w:rFonts w:cs="Arial"/>
                      <w:szCs w:val="20"/>
                      <w:lang w:eastAsia="en-AU"/>
                    </w:rPr>
                  </w:pPr>
                  <w:r w:rsidRPr="008E5925">
                    <w:rPr>
                      <w:rFonts w:cs="Arial"/>
                      <w:szCs w:val="20"/>
                    </w:rPr>
                    <w:t>0</w:t>
                  </w:r>
                </w:p>
              </w:tc>
              <w:tc>
                <w:tcPr>
                  <w:tcW w:w="773" w:type="dxa"/>
                  <w:tcBorders>
                    <w:top w:val="nil"/>
                    <w:left w:val="nil"/>
                    <w:bottom w:val="single" w:sz="4" w:space="0" w:color="auto"/>
                    <w:right w:val="single" w:sz="4" w:space="0" w:color="auto"/>
                  </w:tcBorders>
                  <w:shd w:val="clear" w:color="auto" w:fill="auto"/>
                  <w:noWrap/>
                </w:tcPr>
                <w:p w14:paraId="3BC3A708" w14:textId="77777777" w:rsidR="00B14E5E" w:rsidRPr="008E5925" w:rsidRDefault="00B14E5E" w:rsidP="00A90858">
                  <w:pPr>
                    <w:spacing w:after="60"/>
                    <w:jc w:val="right"/>
                    <w:rPr>
                      <w:rFonts w:cs="Arial"/>
                      <w:szCs w:val="20"/>
                      <w:lang w:eastAsia="en-AU"/>
                    </w:rPr>
                  </w:pPr>
                  <w:r w:rsidRPr="008E5925">
                    <w:rPr>
                      <w:rFonts w:cs="Arial"/>
                      <w:szCs w:val="20"/>
                    </w:rPr>
                    <w:t>0</w:t>
                  </w:r>
                </w:p>
              </w:tc>
            </w:tr>
            <w:tr w:rsidR="00B14E5E" w:rsidRPr="005D104F" w14:paraId="4FB2081E" w14:textId="77777777" w:rsidTr="00A90858">
              <w:trPr>
                <w:trHeight w:val="255"/>
              </w:trPr>
              <w:tc>
                <w:tcPr>
                  <w:tcW w:w="2178" w:type="dxa"/>
                  <w:tcBorders>
                    <w:top w:val="nil"/>
                    <w:left w:val="single" w:sz="4" w:space="0" w:color="auto"/>
                    <w:bottom w:val="single" w:sz="4" w:space="0" w:color="auto"/>
                    <w:right w:val="single" w:sz="4" w:space="0" w:color="auto"/>
                  </w:tcBorders>
                  <w:shd w:val="clear" w:color="auto" w:fill="auto"/>
                  <w:noWrap/>
                  <w:hideMark/>
                </w:tcPr>
                <w:p w14:paraId="7E67BB5F" w14:textId="77777777" w:rsidR="00B14E5E" w:rsidRPr="005D104F" w:rsidRDefault="00B14E5E" w:rsidP="00A90858">
                  <w:pPr>
                    <w:spacing w:after="60"/>
                    <w:rPr>
                      <w:rFonts w:cs="Arial"/>
                      <w:szCs w:val="20"/>
                      <w:lang w:eastAsia="en-AU"/>
                    </w:rPr>
                  </w:pPr>
                  <w:r>
                    <w:rPr>
                      <w:rFonts w:cs="Arial"/>
                      <w:szCs w:val="20"/>
                      <w:lang w:eastAsia="en-AU"/>
                    </w:rPr>
                    <w:t>WBC</w:t>
                  </w:r>
                  <w:r w:rsidRPr="00AF1976">
                    <w:rPr>
                      <w:rFonts w:cs="Arial"/>
                      <w:szCs w:val="20"/>
                      <w:lang w:eastAsia="en-AU"/>
                    </w:rPr>
                    <w:t xml:space="preserve"> - </w:t>
                  </w:r>
                  <w:proofErr w:type="spellStart"/>
                  <w:r w:rsidRPr="00AF1976">
                    <w:rPr>
                      <w:rFonts w:cs="Arial"/>
                      <w:szCs w:val="20"/>
                      <w:lang w:eastAsia="en-AU"/>
                    </w:rPr>
                    <w:t>Apunipima</w:t>
                  </w:r>
                  <w:proofErr w:type="spellEnd"/>
                </w:p>
              </w:tc>
              <w:tc>
                <w:tcPr>
                  <w:tcW w:w="773" w:type="dxa"/>
                  <w:tcBorders>
                    <w:top w:val="nil"/>
                    <w:left w:val="nil"/>
                    <w:bottom w:val="single" w:sz="4" w:space="0" w:color="auto"/>
                    <w:right w:val="single" w:sz="4" w:space="0" w:color="auto"/>
                  </w:tcBorders>
                  <w:shd w:val="clear" w:color="auto" w:fill="auto"/>
                  <w:noWrap/>
                </w:tcPr>
                <w:p w14:paraId="6C8C30BB" w14:textId="77777777" w:rsidR="00B14E5E" w:rsidRPr="008E5925" w:rsidRDefault="00B14E5E" w:rsidP="00A90858">
                  <w:pPr>
                    <w:spacing w:after="60"/>
                    <w:jc w:val="right"/>
                    <w:rPr>
                      <w:rFonts w:cs="Arial"/>
                      <w:szCs w:val="20"/>
                      <w:lang w:eastAsia="en-AU"/>
                    </w:rPr>
                  </w:pPr>
                  <w:r w:rsidRPr="008E5925">
                    <w:rPr>
                      <w:rFonts w:cs="Arial"/>
                      <w:szCs w:val="20"/>
                    </w:rPr>
                    <w:t>4</w:t>
                  </w:r>
                </w:p>
              </w:tc>
              <w:tc>
                <w:tcPr>
                  <w:tcW w:w="773" w:type="dxa"/>
                  <w:tcBorders>
                    <w:top w:val="nil"/>
                    <w:left w:val="nil"/>
                    <w:bottom w:val="single" w:sz="4" w:space="0" w:color="auto"/>
                    <w:right w:val="single" w:sz="4" w:space="0" w:color="auto"/>
                  </w:tcBorders>
                  <w:shd w:val="clear" w:color="auto" w:fill="auto"/>
                  <w:noWrap/>
                </w:tcPr>
                <w:p w14:paraId="593674A3" w14:textId="77777777" w:rsidR="00B14E5E" w:rsidRPr="008E5925" w:rsidRDefault="00B14E5E" w:rsidP="00A90858">
                  <w:pPr>
                    <w:spacing w:after="60"/>
                    <w:jc w:val="right"/>
                    <w:rPr>
                      <w:rFonts w:cs="Arial"/>
                      <w:szCs w:val="20"/>
                      <w:lang w:eastAsia="en-AU"/>
                    </w:rPr>
                  </w:pPr>
                  <w:r w:rsidRPr="008E5925">
                    <w:rPr>
                      <w:rFonts w:cs="Arial"/>
                      <w:szCs w:val="20"/>
                    </w:rPr>
                    <w:t>5</w:t>
                  </w:r>
                </w:p>
              </w:tc>
              <w:tc>
                <w:tcPr>
                  <w:tcW w:w="773" w:type="dxa"/>
                  <w:tcBorders>
                    <w:top w:val="nil"/>
                    <w:left w:val="nil"/>
                    <w:bottom w:val="single" w:sz="4" w:space="0" w:color="auto"/>
                    <w:right w:val="single" w:sz="4" w:space="0" w:color="auto"/>
                  </w:tcBorders>
                  <w:shd w:val="clear" w:color="auto" w:fill="auto"/>
                  <w:noWrap/>
                </w:tcPr>
                <w:p w14:paraId="1925710D" w14:textId="77777777" w:rsidR="00B14E5E" w:rsidRPr="008E5925" w:rsidRDefault="00B14E5E" w:rsidP="00A90858">
                  <w:pPr>
                    <w:spacing w:after="60"/>
                    <w:jc w:val="right"/>
                    <w:rPr>
                      <w:rFonts w:cs="Arial"/>
                      <w:szCs w:val="20"/>
                      <w:lang w:eastAsia="en-AU"/>
                    </w:rPr>
                  </w:pPr>
                  <w:r w:rsidRPr="008E5925">
                    <w:rPr>
                      <w:rFonts w:cs="Arial"/>
                      <w:szCs w:val="20"/>
                    </w:rPr>
                    <w:t>0</w:t>
                  </w:r>
                </w:p>
              </w:tc>
              <w:tc>
                <w:tcPr>
                  <w:tcW w:w="773" w:type="dxa"/>
                  <w:tcBorders>
                    <w:top w:val="nil"/>
                    <w:left w:val="nil"/>
                    <w:bottom w:val="single" w:sz="4" w:space="0" w:color="auto"/>
                    <w:right w:val="single" w:sz="4" w:space="0" w:color="auto"/>
                  </w:tcBorders>
                  <w:shd w:val="clear" w:color="auto" w:fill="auto"/>
                  <w:noWrap/>
                </w:tcPr>
                <w:p w14:paraId="4C6EBF69" w14:textId="77777777" w:rsidR="00B14E5E" w:rsidRPr="008E5925" w:rsidRDefault="00B14E5E" w:rsidP="00A90858">
                  <w:pPr>
                    <w:spacing w:after="60"/>
                    <w:jc w:val="right"/>
                    <w:rPr>
                      <w:rFonts w:cs="Arial"/>
                      <w:szCs w:val="20"/>
                      <w:lang w:eastAsia="en-AU"/>
                    </w:rPr>
                  </w:pPr>
                  <w:r w:rsidRPr="008E5925">
                    <w:rPr>
                      <w:rFonts w:cs="Arial"/>
                      <w:szCs w:val="20"/>
                    </w:rPr>
                    <w:t>6</w:t>
                  </w:r>
                </w:p>
              </w:tc>
            </w:tr>
            <w:tr w:rsidR="00B14E5E" w:rsidRPr="005D104F" w14:paraId="5CD24471" w14:textId="77777777" w:rsidTr="00A90858">
              <w:trPr>
                <w:trHeight w:val="255"/>
              </w:trPr>
              <w:tc>
                <w:tcPr>
                  <w:tcW w:w="2178" w:type="dxa"/>
                  <w:tcBorders>
                    <w:top w:val="nil"/>
                    <w:left w:val="single" w:sz="4" w:space="0" w:color="auto"/>
                    <w:bottom w:val="single" w:sz="4" w:space="0" w:color="auto"/>
                    <w:right w:val="single" w:sz="4" w:space="0" w:color="auto"/>
                  </w:tcBorders>
                  <w:shd w:val="clear" w:color="auto" w:fill="auto"/>
                  <w:noWrap/>
                  <w:hideMark/>
                </w:tcPr>
                <w:p w14:paraId="7BEE5317" w14:textId="77777777" w:rsidR="00B14E5E" w:rsidRPr="005D104F" w:rsidRDefault="00B14E5E" w:rsidP="00A90858">
                  <w:pPr>
                    <w:spacing w:after="60"/>
                    <w:rPr>
                      <w:rFonts w:cs="Arial"/>
                      <w:szCs w:val="20"/>
                      <w:lang w:eastAsia="en-AU"/>
                    </w:rPr>
                  </w:pPr>
                  <w:r>
                    <w:rPr>
                      <w:rFonts w:cs="Arial"/>
                      <w:szCs w:val="20"/>
                      <w:lang w:eastAsia="en-AU"/>
                    </w:rPr>
                    <w:t>QLD Health</w:t>
                  </w:r>
                </w:p>
              </w:tc>
              <w:tc>
                <w:tcPr>
                  <w:tcW w:w="773" w:type="dxa"/>
                  <w:tcBorders>
                    <w:top w:val="nil"/>
                    <w:left w:val="nil"/>
                    <w:bottom w:val="single" w:sz="4" w:space="0" w:color="auto"/>
                    <w:right w:val="single" w:sz="4" w:space="0" w:color="auto"/>
                  </w:tcBorders>
                  <w:shd w:val="clear" w:color="auto" w:fill="auto"/>
                  <w:noWrap/>
                </w:tcPr>
                <w:p w14:paraId="00F6A4A7" w14:textId="77777777" w:rsidR="00B14E5E" w:rsidRPr="008E5925" w:rsidRDefault="00B14E5E" w:rsidP="00A90858">
                  <w:pPr>
                    <w:spacing w:after="60"/>
                    <w:jc w:val="right"/>
                    <w:rPr>
                      <w:rFonts w:cs="Arial"/>
                      <w:szCs w:val="20"/>
                      <w:lang w:eastAsia="en-AU"/>
                    </w:rPr>
                  </w:pPr>
                  <w:r w:rsidRPr="008E5925">
                    <w:rPr>
                      <w:rFonts w:cs="Arial"/>
                      <w:szCs w:val="20"/>
                    </w:rPr>
                    <w:t>0</w:t>
                  </w:r>
                </w:p>
              </w:tc>
              <w:tc>
                <w:tcPr>
                  <w:tcW w:w="773" w:type="dxa"/>
                  <w:tcBorders>
                    <w:top w:val="nil"/>
                    <w:left w:val="nil"/>
                    <w:bottom w:val="single" w:sz="4" w:space="0" w:color="auto"/>
                    <w:right w:val="single" w:sz="4" w:space="0" w:color="auto"/>
                  </w:tcBorders>
                  <w:shd w:val="clear" w:color="auto" w:fill="auto"/>
                  <w:noWrap/>
                </w:tcPr>
                <w:p w14:paraId="1117418F" w14:textId="77777777" w:rsidR="00B14E5E" w:rsidRPr="008E5925" w:rsidRDefault="00B14E5E" w:rsidP="00A90858">
                  <w:pPr>
                    <w:spacing w:after="60"/>
                    <w:jc w:val="right"/>
                    <w:rPr>
                      <w:rFonts w:cs="Arial"/>
                      <w:szCs w:val="20"/>
                      <w:lang w:eastAsia="en-AU"/>
                    </w:rPr>
                  </w:pPr>
                  <w:r w:rsidRPr="008E5925">
                    <w:rPr>
                      <w:rFonts w:cs="Arial"/>
                      <w:szCs w:val="20"/>
                    </w:rPr>
                    <w:t>0</w:t>
                  </w:r>
                </w:p>
              </w:tc>
              <w:tc>
                <w:tcPr>
                  <w:tcW w:w="773" w:type="dxa"/>
                  <w:tcBorders>
                    <w:top w:val="nil"/>
                    <w:left w:val="nil"/>
                    <w:bottom w:val="single" w:sz="4" w:space="0" w:color="auto"/>
                    <w:right w:val="single" w:sz="4" w:space="0" w:color="auto"/>
                  </w:tcBorders>
                  <w:shd w:val="clear" w:color="auto" w:fill="auto"/>
                  <w:noWrap/>
                </w:tcPr>
                <w:p w14:paraId="443AC8D7" w14:textId="77777777" w:rsidR="00B14E5E" w:rsidRPr="008E5925" w:rsidRDefault="00B14E5E" w:rsidP="00A90858">
                  <w:pPr>
                    <w:spacing w:after="60"/>
                    <w:jc w:val="right"/>
                    <w:rPr>
                      <w:rFonts w:cs="Arial"/>
                      <w:szCs w:val="20"/>
                      <w:lang w:eastAsia="en-AU"/>
                    </w:rPr>
                  </w:pPr>
                  <w:r w:rsidRPr="008E5925">
                    <w:rPr>
                      <w:rFonts w:cs="Arial"/>
                      <w:szCs w:val="20"/>
                    </w:rPr>
                    <w:t>0</w:t>
                  </w:r>
                </w:p>
              </w:tc>
              <w:tc>
                <w:tcPr>
                  <w:tcW w:w="773" w:type="dxa"/>
                  <w:tcBorders>
                    <w:top w:val="nil"/>
                    <w:left w:val="nil"/>
                    <w:bottom w:val="single" w:sz="4" w:space="0" w:color="auto"/>
                    <w:right w:val="single" w:sz="4" w:space="0" w:color="auto"/>
                  </w:tcBorders>
                  <w:shd w:val="clear" w:color="auto" w:fill="auto"/>
                  <w:noWrap/>
                </w:tcPr>
                <w:p w14:paraId="1E37C6CC" w14:textId="77777777" w:rsidR="00B14E5E" w:rsidRPr="008E5925" w:rsidRDefault="00B14E5E" w:rsidP="00A90858">
                  <w:pPr>
                    <w:spacing w:after="60"/>
                    <w:jc w:val="right"/>
                    <w:rPr>
                      <w:rFonts w:cs="Arial"/>
                      <w:szCs w:val="20"/>
                      <w:lang w:eastAsia="en-AU"/>
                    </w:rPr>
                  </w:pPr>
                  <w:r w:rsidRPr="008E5925">
                    <w:rPr>
                      <w:rFonts w:cs="Arial"/>
                      <w:szCs w:val="20"/>
                    </w:rPr>
                    <w:t>0</w:t>
                  </w:r>
                </w:p>
              </w:tc>
            </w:tr>
            <w:tr w:rsidR="00B14E5E" w:rsidRPr="005D104F" w14:paraId="086ED4A7" w14:textId="77777777" w:rsidTr="00A90858">
              <w:trPr>
                <w:trHeight w:val="255"/>
              </w:trPr>
              <w:tc>
                <w:tcPr>
                  <w:tcW w:w="2178" w:type="dxa"/>
                  <w:tcBorders>
                    <w:top w:val="nil"/>
                    <w:left w:val="single" w:sz="4" w:space="0" w:color="auto"/>
                    <w:bottom w:val="single" w:sz="4" w:space="0" w:color="auto"/>
                    <w:right w:val="single" w:sz="4" w:space="0" w:color="auto"/>
                  </w:tcBorders>
                  <w:shd w:val="clear" w:color="auto" w:fill="auto"/>
                  <w:noWrap/>
                  <w:hideMark/>
                </w:tcPr>
                <w:p w14:paraId="09989612" w14:textId="77777777" w:rsidR="00B14E5E" w:rsidRPr="005D104F" w:rsidRDefault="00B14E5E" w:rsidP="00A90858">
                  <w:pPr>
                    <w:spacing w:after="60"/>
                    <w:rPr>
                      <w:rFonts w:cs="Arial"/>
                      <w:szCs w:val="20"/>
                      <w:lang w:eastAsia="en-AU"/>
                    </w:rPr>
                  </w:pPr>
                  <w:r w:rsidRPr="00AF1976">
                    <w:rPr>
                      <w:rFonts w:cs="Arial"/>
                      <w:szCs w:val="20"/>
                      <w:lang w:eastAsia="en-AU"/>
                    </w:rPr>
                    <w:t xml:space="preserve">RAATSIC </w:t>
                  </w:r>
                  <w:r>
                    <w:rPr>
                      <w:rFonts w:cs="Arial"/>
                      <w:szCs w:val="20"/>
                      <w:lang w:eastAsia="en-AU"/>
                    </w:rPr>
                    <w:t>–</w:t>
                  </w:r>
                  <w:r w:rsidRPr="00AF1976">
                    <w:rPr>
                      <w:rFonts w:cs="Arial"/>
                      <w:szCs w:val="20"/>
                      <w:lang w:eastAsia="en-AU"/>
                    </w:rPr>
                    <w:t xml:space="preserve"> </w:t>
                  </w:r>
                  <w:r>
                    <w:rPr>
                      <w:rFonts w:cs="Arial"/>
                      <w:szCs w:val="20"/>
                      <w:lang w:eastAsia="en-AU"/>
                    </w:rPr>
                    <w:t xml:space="preserve">(FWS) - </w:t>
                  </w:r>
                  <w:r w:rsidRPr="00AF1976">
                    <w:rPr>
                      <w:rFonts w:cs="Arial"/>
                      <w:szCs w:val="20"/>
                      <w:lang w:eastAsia="en-AU"/>
                    </w:rPr>
                    <w:t>Parenting Program</w:t>
                  </w:r>
                </w:p>
              </w:tc>
              <w:tc>
                <w:tcPr>
                  <w:tcW w:w="773" w:type="dxa"/>
                  <w:tcBorders>
                    <w:top w:val="nil"/>
                    <w:left w:val="nil"/>
                    <w:bottom w:val="single" w:sz="4" w:space="0" w:color="auto"/>
                    <w:right w:val="single" w:sz="4" w:space="0" w:color="auto"/>
                  </w:tcBorders>
                  <w:shd w:val="clear" w:color="auto" w:fill="auto"/>
                  <w:noWrap/>
                </w:tcPr>
                <w:p w14:paraId="3DC1DD0C" w14:textId="77777777" w:rsidR="00B14E5E" w:rsidRPr="008E5925" w:rsidRDefault="00B14E5E" w:rsidP="00A90858">
                  <w:pPr>
                    <w:spacing w:after="60"/>
                    <w:jc w:val="right"/>
                    <w:rPr>
                      <w:rFonts w:cs="Arial"/>
                      <w:szCs w:val="20"/>
                      <w:lang w:eastAsia="en-AU"/>
                    </w:rPr>
                  </w:pPr>
                  <w:r w:rsidRPr="008E5925">
                    <w:rPr>
                      <w:rFonts w:cs="Arial"/>
                      <w:szCs w:val="20"/>
                    </w:rPr>
                    <w:t>0</w:t>
                  </w:r>
                </w:p>
              </w:tc>
              <w:tc>
                <w:tcPr>
                  <w:tcW w:w="773" w:type="dxa"/>
                  <w:tcBorders>
                    <w:top w:val="nil"/>
                    <w:left w:val="nil"/>
                    <w:bottom w:val="single" w:sz="4" w:space="0" w:color="auto"/>
                    <w:right w:val="single" w:sz="4" w:space="0" w:color="auto"/>
                  </w:tcBorders>
                  <w:shd w:val="clear" w:color="auto" w:fill="auto"/>
                  <w:noWrap/>
                </w:tcPr>
                <w:p w14:paraId="5149EB27" w14:textId="77777777" w:rsidR="00B14E5E" w:rsidRPr="008E5925" w:rsidRDefault="00B14E5E" w:rsidP="00A90858">
                  <w:pPr>
                    <w:spacing w:after="60"/>
                    <w:jc w:val="right"/>
                    <w:rPr>
                      <w:rFonts w:cs="Arial"/>
                      <w:szCs w:val="20"/>
                      <w:lang w:eastAsia="en-AU"/>
                    </w:rPr>
                  </w:pPr>
                  <w:r w:rsidRPr="008E5925">
                    <w:rPr>
                      <w:rFonts w:cs="Arial"/>
                      <w:szCs w:val="20"/>
                    </w:rPr>
                    <w:t>0</w:t>
                  </w:r>
                </w:p>
              </w:tc>
              <w:tc>
                <w:tcPr>
                  <w:tcW w:w="773" w:type="dxa"/>
                  <w:tcBorders>
                    <w:top w:val="nil"/>
                    <w:left w:val="nil"/>
                    <w:bottom w:val="single" w:sz="4" w:space="0" w:color="auto"/>
                    <w:right w:val="single" w:sz="4" w:space="0" w:color="auto"/>
                  </w:tcBorders>
                  <w:shd w:val="clear" w:color="auto" w:fill="auto"/>
                  <w:noWrap/>
                </w:tcPr>
                <w:p w14:paraId="1BCF102F" w14:textId="77777777" w:rsidR="00B14E5E" w:rsidRPr="008E5925" w:rsidRDefault="00B14E5E" w:rsidP="00A90858">
                  <w:pPr>
                    <w:spacing w:after="60"/>
                    <w:jc w:val="right"/>
                    <w:rPr>
                      <w:rFonts w:cs="Arial"/>
                      <w:szCs w:val="20"/>
                      <w:lang w:eastAsia="en-AU"/>
                    </w:rPr>
                  </w:pPr>
                  <w:r w:rsidRPr="008E5925">
                    <w:rPr>
                      <w:rFonts w:cs="Arial"/>
                      <w:szCs w:val="20"/>
                    </w:rPr>
                    <w:t>0</w:t>
                  </w:r>
                </w:p>
              </w:tc>
              <w:tc>
                <w:tcPr>
                  <w:tcW w:w="773" w:type="dxa"/>
                  <w:tcBorders>
                    <w:top w:val="nil"/>
                    <w:left w:val="nil"/>
                    <w:bottom w:val="single" w:sz="4" w:space="0" w:color="auto"/>
                    <w:right w:val="single" w:sz="4" w:space="0" w:color="auto"/>
                  </w:tcBorders>
                  <w:shd w:val="clear" w:color="auto" w:fill="auto"/>
                  <w:noWrap/>
                </w:tcPr>
                <w:p w14:paraId="71ACACD1" w14:textId="77777777" w:rsidR="00B14E5E" w:rsidRPr="008E5925" w:rsidRDefault="00B14E5E" w:rsidP="00A90858">
                  <w:pPr>
                    <w:spacing w:after="60"/>
                    <w:jc w:val="right"/>
                    <w:rPr>
                      <w:rFonts w:cs="Arial"/>
                      <w:szCs w:val="20"/>
                      <w:lang w:eastAsia="en-AU"/>
                    </w:rPr>
                  </w:pPr>
                  <w:r w:rsidRPr="008E5925">
                    <w:rPr>
                      <w:rFonts w:cs="Arial"/>
                      <w:szCs w:val="20"/>
                    </w:rPr>
                    <w:t>0</w:t>
                  </w:r>
                </w:p>
              </w:tc>
            </w:tr>
            <w:tr w:rsidR="00B14E5E" w:rsidRPr="005D104F" w14:paraId="4E1ECCB8" w14:textId="77777777" w:rsidTr="00A90858">
              <w:trPr>
                <w:trHeight w:val="255"/>
              </w:trPr>
              <w:tc>
                <w:tcPr>
                  <w:tcW w:w="2178" w:type="dxa"/>
                  <w:tcBorders>
                    <w:top w:val="nil"/>
                    <w:left w:val="single" w:sz="4" w:space="0" w:color="auto"/>
                    <w:bottom w:val="single" w:sz="4" w:space="0" w:color="auto"/>
                    <w:right w:val="single" w:sz="4" w:space="0" w:color="auto"/>
                  </w:tcBorders>
                  <w:shd w:val="clear" w:color="auto" w:fill="auto"/>
                  <w:noWrap/>
                </w:tcPr>
                <w:p w14:paraId="1EE0AE90" w14:textId="77777777" w:rsidR="00B14E5E" w:rsidRDefault="00B14E5E" w:rsidP="00A90858">
                  <w:pPr>
                    <w:spacing w:after="60"/>
                    <w:rPr>
                      <w:rFonts w:cs="Arial"/>
                      <w:szCs w:val="20"/>
                      <w:lang w:eastAsia="en-AU"/>
                    </w:rPr>
                  </w:pPr>
                  <w:r w:rsidRPr="00AF1976">
                    <w:rPr>
                      <w:rFonts w:cs="Arial"/>
                      <w:szCs w:val="20"/>
                      <w:lang w:eastAsia="en-AU"/>
                    </w:rPr>
                    <w:t>Gungarde (</w:t>
                  </w:r>
                  <w:r>
                    <w:rPr>
                      <w:rFonts w:cs="Arial"/>
                      <w:szCs w:val="20"/>
                      <w:lang w:eastAsia="en-AU"/>
                    </w:rPr>
                    <w:t>FWS</w:t>
                  </w:r>
                  <w:r w:rsidRPr="00AF1976">
                    <w:rPr>
                      <w:rFonts w:cs="Arial"/>
                      <w:szCs w:val="20"/>
                      <w:lang w:eastAsia="en-AU"/>
                    </w:rPr>
                    <w:t>) - Parenting Program</w:t>
                  </w:r>
                </w:p>
              </w:tc>
              <w:tc>
                <w:tcPr>
                  <w:tcW w:w="773" w:type="dxa"/>
                  <w:tcBorders>
                    <w:top w:val="nil"/>
                    <w:left w:val="nil"/>
                    <w:bottom w:val="single" w:sz="4" w:space="0" w:color="auto"/>
                    <w:right w:val="single" w:sz="4" w:space="0" w:color="auto"/>
                  </w:tcBorders>
                  <w:shd w:val="clear" w:color="auto" w:fill="auto"/>
                  <w:noWrap/>
                </w:tcPr>
                <w:p w14:paraId="2C957E04" w14:textId="77777777" w:rsidR="00B14E5E" w:rsidRPr="008E5925" w:rsidRDefault="00B14E5E" w:rsidP="00A90858">
                  <w:pPr>
                    <w:spacing w:after="60"/>
                    <w:jc w:val="right"/>
                    <w:rPr>
                      <w:rFonts w:cs="Arial"/>
                      <w:szCs w:val="20"/>
                    </w:rPr>
                  </w:pPr>
                  <w:r w:rsidRPr="008E5925">
                    <w:rPr>
                      <w:rFonts w:cs="Arial"/>
                      <w:szCs w:val="20"/>
                    </w:rPr>
                    <w:t>0</w:t>
                  </w:r>
                </w:p>
              </w:tc>
              <w:tc>
                <w:tcPr>
                  <w:tcW w:w="773" w:type="dxa"/>
                  <w:tcBorders>
                    <w:top w:val="nil"/>
                    <w:left w:val="nil"/>
                    <w:bottom w:val="single" w:sz="4" w:space="0" w:color="auto"/>
                    <w:right w:val="single" w:sz="4" w:space="0" w:color="auto"/>
                  </w:tcBorders>
                  <w:shd w:val="clear" w:color="auto" w:fill="auto"/>
                  <w:noWrap/>
                </w:tcPr>
                <w:p w14:paraId="7E101FAA" w14:textId="77777777" w:rsidR="00B14E5E" w:rsidRPr="008E5925" w:rsidRDefault="00B14E5E" w:rsidP="00A90858">
                  <w:pPr>
                    <w:spacing w:after="60"/>
                    <w:jc w:val="right"/>
                    <w:rPr>
                      <w:rFonts w:cs="Arial"/>
                      <w:szCs w:val="20"/>
                    </w:rPr>
                  </w:pPr>
                  <w:r w:rsidRPr="008E5925">
                    <w:rPr>
                      <w:rFonts w:cs="Arial"/>
                      <w:szCs w:val="20"/>
                    </w:rPr>
                    <w:t>0</w:t>
                  </w:r>
                </w:p>
              </w:tc>
              <w:tc>
                <w:tcPr>
                  <w:tcW w:w="773" w:type="dxa"/>
                  <w:tcBorders>
                    <w:top w:val="nil"/>
                    <w:left w:val="nil"/>
                    <w:bottom w:val="single" w:sz="4" w:space="0" w:color="auto"/>
                    <w:right w:val="single" w:sz="4" w:space="0" w:color="auto"/>
                  </w:tcBorders>
                  <w:shd w:val="clear" w:color="auto" w:fill="auto"/>
                  <w:noWrap/>
                </w:tcPr>
                <w:p w14:paraId="4B9BB026" w14:textId="77777777" w:rsidR="00B14E5E" w:rsidRPr="008E5925" w:rsidRDefault="00B14E5E" w:rsidP="00A90858">
                  <w:pPr>
                    <w:spacing w:after="60"/>
                    <w:jc w:val="right"/>
                    <w:rPr>
                      <w:rFonts w:cs="Arial"/>
                      <w:szCs w:val="20"/>
                    </w:rPr>
                  </w:pPr>
                  <w:r w:rsidRPr="008E5925">
                    <w:rPr>
                      <w:rFonts w:cs="Arial"/>
                      <w:szCs w:val="20"/>
                    </w:rPr>
                    <w:t>0</w:t>
                  </w:r>
                </w:p>
              </w:tc>
              <w:tc>
                <w:tcPr>
                  <w:tcW w:w="773" w:type="dxa"/>
                  <w:tcBorders>
                    <w:top w:val="nil"/>
                    <w:left w:val="nil"/>
                    <w:bottom w:val="single" w:sz="4" w:space="0" w:color="auto"/>
                    <w:right w:val="single" w:sz="4" w:space="0" w:color="auto"/>
                  </w:tcBorders>
                  <w:shd w:val="clear" w:color="auto" w:fill="auto"/>
                  <w:noWrap/>
                </w:tcPr>
                <w:p w14:paraId="2EC17128" w14:textId="77777777" w:rsidR="00B14E5E" w:rsidRPr="008E5925" w:rsidRDefault="00B14E5E" w:rsidP="00A90858">
                  <w:pPr>
                    <w:spacing w:after="60"/>
                    <w:jc w:val="right"/>
                    <w:rPr>
                      <w:rFonts w:cs="Arial"/>
                      <w:szCs w:val="20"/>
                      <w:lang w:eastAsia="en-AU"/>
                    </w:rPr>
                  </w:pPr>
                  <w:r w:rsidRPr="008E5925">
                    <w:rPr>
                      <w:rFonts w:cs="Arial"/>
                      <w:szCs w:val="20"/>
                    </w:rPr>
                    <w:t>0</w:t>
                  </w:r>
                </w:p>
              </w:tc>
            </w:tr>
            <w:tr w:rsidR="00B14E5E" w:rsidRPr="005D104F" w14:paraId="17E4ABB6" w14:textId="77777777" w:rsidTr="00A90858">
              <w:trPr>
                <w:trHeight w:val="255"/>
              </w:trPr>
              <w:tc>
                <w:tcPr>
                  <w:tcW w:w="2178" w:type="dxa"/>
                  <w:tcBorders>
                    <w:top w:val="nil"/>
                    <w:left w:val="single" w:sz="4" w:space="0" w:color="auto"/>
                    <w:bottom w:val="single" w:sz="4" w:space="0" w:color="auto"/>
                    <w:right w:val="single" w:sz="4" w:space="0" w:color="auto"/>
                  </w:tcBorders>
                  <w:shd w:val="clear" w:color="auto" w:fill="auto"/>
                  <w:noWrap/>
                </w:tcPr>
                <w:p w14:paraId="0EA089BC" w14:textId="77777777" w:rsidR="00B14E5E" w:rsidRDefault="00B14E5E" w:rsidP="00A90858">
                  <w:pPr>
                    <w:spacing w:after="60"/>
                    <w:rPr>
                      <w:rFonts w:cs="Arial"/>
                      <w:szCs w:val="20"/>
                      <w:lang w:eastAsia="en-AU"/>
                    </w:rPr>
                  </w:pPr>
                  <w:proofErr w:type="spellStart"/>
                  <w:r w:rsidRPr="00AF1976">
                    <w:rPr>
                      <w:rFonts w:cs="Arial"/>
                      <w:szCs w:val="20"/>
                      <w:lang w:eastAsia="en-AU"/>
                    </w:rPr>
                    <w:t>Mulungu</w:t>
                  </w:r>
                  <w:proofErr w:type="spellEnd"/>
                  <w:r w:rsidRPr="00AF1976">
                    <w:rPr>
                      <w:rFonts w:cs="Arial"/>
                      <w:szCs w:val="20"/>
                      <w:lang w:eastAsia="en-AU"/>
                    </w:rPr>
                    <w:t xml:space="preserve"> (</w:t>
                  </w:r>
                  <w:r>
                    <w:rPr>
                      <w:rFonts w:cs="Arial"/>
                      <w:szCs w:val="20"/>
                      <w:lang w:eastAsia="en-AU"/>
                    </w:rPr>
                    <w:t>FWS</w:t>
                  </w:r>
                  <w:r w:rsidRPr="00AF1976">
                    <w:rPr>
                      <w:rFonts w:cs="Arial"/>
                      <w:szCs w:val="20"/>
                      <w:lang w:eastAsia="en-AU"/>
                    </w:rPr>
                    <w:t>) - Parenting Program</w:t>
                  </w:r>
                </w:p>
              </w:tc>
              <w:tc>
                <w:tcPr>
                  <w:tcW w:w="773" w:type="dxa"/>
                  <w:tcBorders>
                    <w:top w:val="nil"/>
                    <w:left w:val="nil"/>
                    <w:bottom w:val="single" w:sz="4" w:space="0" w:color="auto"/>
                    <w:right w:val="single" w:sz="4" w:space="0" w:color="auto"/>
                  </w:tcBorders>
                  <w:shd w:val="clear" w:color="auto" w:fill="auto"/>
                  <w:noWrap/>
                </w:tcPr>
                <w:p w14:paraId="3FD0B170" w14:textId="77777777" w:rsidR="00B14E5E" w:rsidRPr="008E5925" w:rsidRDefault="00B14E5E" w:rsidP="00A90858">
                  <w:pPr>
                    <w:spacing w:after="60"/>
                    <w:jc w:val="right"/>
                    <w:rPr>
                      <w:rFonts w:cs="Arial"/>
                      <w:szCs w:val="20"/>
                    </w:rPr>
                  </w:pPr>
                  <w:r w:rsidRPr="008E5925">
                    <w:rPr>
                      <w:rFonts w:cs="Arial"/>
                      <w:szCs w:val="20"/>
                    </w:rPr>
                    <w:t>0</w:t>
                  </w:r>
                </w:p>
              </w:tc>
              <w:tc>
                <w:tcPr>
                  <w:tcW w:w="773" w:type="dxa"/>
                  <w:tcBorders>
                    <w:top w:val="nil"/>
                    <w:left w:val="nil"/>
                    <w:bottom w:val="single" w:sz="4" w:space="0" w:color="auto"/>
                    <w:right w:val="single" w:sz="4" w:space="0" w:color="auto"/>
                  </w:tcBorders>
                  <w:shd w:val="clear" w:color="auto" w:fill="auto"/>
                  <w:noWrap/>
                </w:tcPr>
                <w:p w14:paraId="4433DBBF" w14:textId="77777777" w:rsidR="00B14E5E" w:rsidRPr="008E5925" w:rsidRDefault="00B14E5E" w:rsidP="00A90858">
                  <w:pPr>
                    <w:spacing w:after="60"/>
                    <w:jc w:val="right"/>
                    <w:rPr>
                      <w:rFonts w:cs="Arial"/>
                      <w:szCs w:val="20"/>
                    </w:rPr>
                  </w:pPr>
                  <w:r w:rsidRPr="008E5925">
                    <w:rPr>
                      <w:rFonts w:cs="Arial"/>
                      <w:szCs w:val="20"/>
                    </w:rPr>
                    <w:t>0</w:t>
                  </w:r>
                </w:p>
              </w:tc>
              <w:tc>
                <w:tcPr>
                  <w:tcW w:w="773" w:type="dxa"/>
                  <w:tcBorders>
                    <w:top w:val="nil"/>
                    <w:left w:val="nil"/>
                    <w:bottom w:val="single" w:sz="4" w:space="0" w:color="auto"/>
                    <w:right w:val="single" w:sz="4" w:space="0" w:color="auto"/>
                  </w:tcBorders>
                  <w:shd w:val="clear" w:color="auto" w:fill="auto"/>
                  <w:noWrap/>
                </w:tcPr>
                <w:p w14:paraId="148201DC" w14:textId="77777777" w:rsidR="00B14E5E" w:rsidRPr="008E5925" w:rsidRDefault="00B14E5E" w:rsidP="00A90858">
                  <w:pPr>
                    <w:spacing w:after="60"/>
                    <w:jc w:val="right"/>
                    <w:rPr>
                      <w:rFonts w:cs="Arial"/>
                      <w:szCs w:val="20"/>
                    </w:rPr>
                  </w:pPr>
                  <w:r w:rsidRPr="008E5925">
                    <w:rPr>
                      <w:rFonts w:cs="Arial"/>
                      <w:szCs w:val="20"/>
                    </w:rPr>
                    <w:t>0</w:t>
                  </w:r>
                </w:p>
              </w:tc>
              <w:tc>
                <w:tcPr>
                  <w:tcW w:w="773" w:type="dxa"/>
                  <w:tcBorders>
                    <w:top w:val="nil"/>
                    <w:left w:val="nil"/>
                    <w:bottom w:val="single" w:sz="4" w:space="0" w:color="auto"/>
                    <w:right w:val="single" w:sz="4" w:space="0" w:color="auto"/>
                  </w:tcBorders>
                  <w:shd w:val="clear" w:color="auto" w:fill="auto"/>
                  <w:noWrap/>
                </w:tcPr>
                <w:p w14:paraId="5A8E15BC" w14:textId="77777777" w:rsidR="00B14E5E" w:rsidRPr="008E5925" w:rsidRDefault="00B14E5E" w:rsidP="00A90858">
                  <w:pPr>
                    <w:spacing w:after="60"/>
                    <w:jc w:val="right"/>
                    <w:rPr>
                      <w:rFonts w:cs="Arial"/>
                      <w:szCs w:val="20"/>
                      <w:lang w:eastAsia="en-AU"/>
                    </w:rPr>
                  </w:pPr>
                  <w:r w:rsidRPr="008E5925">
                    <w:rPr>
                      <w:rFonts w:cs="Arial"/>
                      <w:szCs w:val="20"/>
                    </w:rPr>
                    <w:t>0</w:t>
                  </w:r>
                </w:p>
              </w:tc>
            </w:tr>
            <w:tr w:rsidR="00B14E5E" w:rsidRPr="005D104F" w14:paraId="56149429" w14:textId="77777777" w:rsidTr="00A90858">
              <w:trPr>
                <w:trHeight w:val="255"/>
              </w:trPr>
              <w:tc>
                <w:tcPr>
                  <w:tcW w:w="2178" w:type="dxa"/>
                  <w:tcBorders>
                    <w:top w:val="single" w:sz="4" w:space="0" w:color="auto"/>
                    <w:left w:val="single" w:sz="4" w:space="0" w:color="auto"/>
                    <w:bottom w:val="single" w:sz="4" w:space="0" w:color="auto"/>
                    <w:right w:val="single" w:sz="4" w:space="0" w:color="auto"/>
                  </w:tcBorders>
                  <w:shd w:val="clear" w:color="auto" w:fill="auto"/>
                  <w:noWrap/>
                </w:tcPr>
                <w:p w14:paraId="3A9C1380" w14:textId="77777777" w:rsidR="00B14E5E" w:rsidRPr="005D104F" w:rsidRDefault="00B14E5E" w:rsidP="00A90858">
                  <w:pPr>
                    <w:spacing w:after="60"/>
                    <w:rPr>
                      <w:rFonts w:cs="Arial"/>
                      <w:b/>
                      <w:bCs/>
                      <w:szCs w:val="20"/>
                      <w:lang w:eastAsia="en-AU"/>
                    </w:rPr>
                  </w:pPr>
                  <w:r w:rsidRPr="005D104F">
                    <w:rPr>
                      <w:rFonts w:cs="Arial"/>
                      <w:b/>
                      <w:bCs/>
                      <w:szCs w:val="20"/>
                      <w:lang w:eastAsia="en-AU"/>
                    </w:rPr>
                    <w:t>Total</w:t>
                  </w:r>
                </w:p>
              </w:tc>
              <w:tc>
                <w:tcPr>
                  <w:tcW w:w="773" w:type="dxa"/>
                  <w:tcBorders>
                    <w:top w:val="single" w:sz="4" w:space="0" w:color="auto"/>
                    <w:left w:val="nil"/>
                    <w:bottom w:val="single" w:sz="4" w:space="0" w:color="auto"/>
                    <w:right w:val="single" w:sz="4" w:space="0" w:color="auto"/>
                  </w:tcBorders>
                  <w:shd w:val="clear" w:color="auto" w:fill="auto"/>
                  <w:noWrap/>
                  <w:vAlign w:val="bottom"/>
                </w:tcPr>
                <w:p w14:paraId="10A4D9B0" w14:textId="77777777" w:rsidR="00B14E5E" w:rsidRPr="008E5925" w:rsidRDefault="00B14E5E" w:rsidP="00A90858">
                  <w:pPr>
                    <w:spacing w:after="60"/>
                    <w:jc w:val="right"/>
                    <w:rPr>
                      <w:rFonts w:cs="Arial"/>
                      <w:b/>
                      <w:bCs/>
                      <w:szCs w:val="20"/>
                      <w:lang w:eastAsia="en-AU"/>
                    </w:rPr>
                  </w:pPr>
                  <w:r w:rsidRPr="008E5925">
                    <w:rPr>
                      <w:rFonts w:cs="Arial"/>
                      <w:b/>
                      <w:bCs/>
                      <w:szCs w:val="20"/>
                    </w:rPr>
                    <w:t>5</w:t>
                  </w:r>
                </w:p>
              </w:tc>
              <w:tc>
                <w:tcPr>
                  <w:tcW w:w="773" w:type="dxa"/>
                  <w:tcBorders>
                    <w:top w:val="single" w:sz="4" w:space="0" w:color="auto"/>
                    <w:left w:val="nil"/>
                    <w:bottom w:val="single" w:sz="4" w:space="0" w:color="auto"/>
                    <w:right w:val="single" w:sz="4" w:space="0" w:color="auto"/>
                  </w:tcBorders>
                  <w:shd w:val="clear" w:color="auto" w:fill="auto"/>
                  <w:noWrap/>
                  <w:vAlign w:val="bottom"/>
                </w:tcPr>
                <w:p w14:paraId="1F3FF3A8" w14:textId="77777777" w:rsidR="00B14E5E" w:rsidRPr="008E5925" w:rsidRDefault="00B14E5E" w:rsidP="00A90858">
                  <w:pPr>
                    <w:spacing w:after="60"/>
                    <w:jc w:val="right"/>
                    <w:rPr>
                      <w:rFonts w:cs="Arial"/>
                      <w:b/>
                      <w:bCs/>
                      <w:szCs w:val="20"/>
                      <w:lang w:eastAsia="en-AU"/>
                    </w:rPr>
                  </w:pPr>
                  <w:r w:rsidRPr="008E5925">
                    <w:rPr>
                      <w:rFonts w:cs="Arial"/>
                      <w:b/>
                      <w:bCs/>
                      <w:szCs w:val="20"/>
                    </w:rPr>
                    <w:t>6</w:t>
                  </w:r>
                </w:p>
              </w:tc>
              <w:tc>
                <w:tcPr>
                  <w:tcW w:w="773" w:type="dxa"/>
                  <w:tcBorders>
                    <w:top w:val="single" w:sz="4" w:space="0" w:color="auto"/>
                    <w:left w:val="nil"/>
                    <w:bottom w:val="single" w:sz="4" w:space="0" w:color="auto"/>
                    <w:right w:val="single" w:sz="4" w:space="0" w:color="auto"/>
                  </w:tcBorders>
                  <w:shd w:val="clear" w:color="auto" w:fill="auto"/>
                  <w:noWrap/>
                  <w:vAlign w:val="bottom"/>
                </w:tcPr>
                <w:p w14:paraId="737328C7" w14:textId="77777777" w:rsidR="00B14E5E" w:rsidRPr="008E5925" w:rsidRDefault="00B14E5E" w:rsidP="00A90858">
                  <w:pPr>
                    <w:spacing w:after="60"/>
                    <w:jc w:val="right"/>
                    <w:rPr>
                      <w:rFonts w:cs="Arial"/>
                      <w:b/>
                      <w:bCs/>
                      <w:szCs w:val="20"/>
                      <w:lang w:eastAsia="en-AU"/>
                    </w:rPr>
                  </w:pPr>
                  <w:r w:rsidRPr="008E5925">
                    <w:rPr>
                      <w:rFonts w:cs="Arial"/>
                      <w:b/>
                      <w:bCs/>
                      <w:szCs w:val="20"/>
                    </w:rPr>
                    <w:t>0</w:t>
                  </w:r>
                </w:p>
              </w:tc>
              <w:tc>
                <w:tcPr>
                  <w:tcW w:w="773" w:type="dxa"/>
                  <w:tcBorders>
                    <w:top w:val="single" w:sz="4" w:space="0" w:color="auto"/>
                    <w:left w:val="nil"/>
                    <w:bottom w:val="single" w:sz="4" w:space="0" w:color="auto"/>
                    <w:right w:val="single" w:sz="4" w:space="0" w:color="auto"/>
                  </w:tcBorders>
                  <w:shd w:val="clear" w:color="auto" w:fill="auto"/>
                  <w:noWrap/>
                  <w:vAlign w:val="bottom"/>
                </w:tcPr>
                <w:p w14:paraId="23F055B4" w14:textId="77777777" w:rsidR="00B14E5E" w:rsidRPr="008E5925" w:rsidRDefault="00B14E5E" w:rsidP="00A90858">
                  <w:pPr>
                    <w:spacing w:after="60"/>
                    <w:jc w:val="right"/>
                    <w:rPr>
                      <w:rFonts w:cs="Arial"/>
                      <w:b/>
                      <w:bCs/>
                      <w:szCs w:val="20"/>
                      <w:lang w:eastAsia="en-AU"/>
                    </w:rPr>
                  </w:pPr>
                  <w:r w:rsidRPr="008E5925">
                    <w:rPr>
                      <w:rFonts w:cs="Arial"/>
                      <w:b/>
                      <w:bCs/>
                      <w:szCs w:val="20"/>
                    </w:rPr>
                    <w:t>6</w:t>
                  </w:r>
                </w:p>
              </w:tc>
            </w:tr>
          </w:tbl>
          <w:p w14:paraId="6E84C474" w14:textId="77777777" w:rsidR="00B14E5E" w:rsidRDefault="00B14E5E" w:rsidP="00A90858">
            <w:pPr>
              <w:spacing w:before="120"/>
            </w:pPr>
          </w:p>
          <w:p w14:paraId="7E6DC20A" w14:textId="77777777" w:rsidR="00B14E5E" w:rsidRDefault="00B14E5E" w:rsidP="00A90858">
            <w:pPr>
              <w:spacing w:before="120"/>
            </w:pPr>
          </w:p>
          <w:p w14:paraId="53B9FDE1" w14:textId="77777777" w:rsidR="00B14E5E" w:rsidRPr="00240479" w:rsidRDefault="00B14E5E" w:rsidP="00A90858">
            <w:pPr>
              <w:spacing w:before="120"/>
            </w:pPr>
          </w:p>
          <w:p w14:paraId="214D9182" w14:textId="26C9F9A9" w:rsidR="00B14E5E" w:rsidRPr="005D104F" w:rsidRDefault="00B14E5E" w:rsidP="00A90858">
            <w:pPr>
              <w:spacing w:before="120"/>
            </w:pPr>
            <w:r w:rsidRPr="005D104F">
              <w:lastRenderedPageBreak/>
              <w:t>order at that point in time.</w:t>
            </w:r>
            <w:r>
              <w:t xml:space="preserve"> It should be noted in table</w:t>
            </w:r>
            <w:r w:rsidR="00B816D5">
              <w:t xml:space="preserve"> 12</w:t>
            </w:r>
            <w:r>
              <w:t xml:space="preserve"> that Doomadgee Commissioners only had the ability to issue CIM orders from April 2016.</w:t>
            </w:r>
          </w:p>
          <w:p w14:paraId="37D3E9DD" w14:textId="77777777" w:rsidR="00B14E5E" w:rsidRPr="00B44788" w:rsidRDefault="00B14E5E" w:rsidP="00BC3193">
            <w:pPr>
              <w:pStyle w:val="Heading4"/>
            </w:pPr>
            <w:r w:rsidRPr="00B44788">
              <w:t xml:space="preserve">Conditional </w:t>
            </w:r>
            <w:r>
              <w:t>i</w:t>
            </w:r>
            <w:r w:rsidRPr="00B44788">
              <w:t xml:space="preserve">ncome </w:t>
            </w:r>
            <w:r>
              <w:t>m</w:t>
            </w:r>
            <w:r w:rsidRPr="00B44788">
              <w:t xml:space="preserve">anagement for domestic violence related </w:t>
            </w:r>
            <w:r w:rsidRPr="00484B75">
              <w:t>matters</w:t>
            </w:r>
          </w:p>
          <w:p w14:paraId="57BFA19E" w14:textId="77777777" w:rsidR="00B14E5E" w:rsidRPr="005D104F" w:rsidRDefault="00B14E5E" w:rsidP="00A90858">
            <w:r w:rsidRPr="005D104F">
              <w:t xml:space="preserve">As a subset of the total number of CIM orders in the financial year </w:t>
            </w:r>
            <w:r w:rsidRPr="00E27F9B">
              <w:t>22</w:t>
            </w:r>
            <w:r w:rsidRPr="005D104F">
              <w:t xml:space="preserve"> CIM orders were made in relation to domestic violence matters.</w:t>
            </w:r>
          </w:p>
          <w:p w14:paraId="5EFAD6C0" w14:textId="0ACA0B39" w:rsidR="00A65158" w:rsidRPr="000E4D75" w:rsidRDefault="00A65158" w:rsidP="00A65158">
            <w:pPr>
              <w:widowControl w:val="0"/>
              <w:autoSpaceDE w:val="0"/>
              <w:autoSpaceDN w:val="0"/>
              <w:adjustRightInd w:val="0"/>
              <w:ind w:left="720" w:hanging="720"/>
              <w:rPr>
                <w:rFonts w:ascii="Helvetica" w:hAnsi="Helvetica" w:cs="Helvetica"/>
                <w:b/>
                <w:bCs/>
                <w:sz w:val="17"/>
                <w:szCs w:val="17"/>
                <w:lang w:val="en-US"/>
              </w:rPr>
            </w:pPr>
            <w:r>
              <w:rPr>
                <w:rFonts w:ascii="Helvetica" w:hAnsi="Helvetica" w:cs="Helvetica"/>
                <w:b/>
                <w:bCs/>
                <w:sz w:val="17"/>
                <w:szCs w:val="17"/>
                <w:lang w:val="en-US"/>
              </w:rPr>
              <w:t>Table 18</w:t>
            </w:r>
            <w:r w:rsidRPr="00447E70">
              <w:rPr>
                <w:rFonts w:ascii="Helvetica" w:hAnsi="Helvetica" w:cs="Helvetica"/>
                <w:b/>
                <w:bCs/>
                <w:sz w:val="17"/>
                <w:szCs w:val="17"/>
                <w:lang w:val="en-US"/>
              </w:rPr>
              <w:t xml:space="preserve">: </w:t>
            </w:r>
            <w:r w:rsidRPr="005D104F">
              <w:rPr>
                <w:rFonts w:ascii="Helvetica" w:hAnsi="Helvetica" w:cs="Helvetica"/>
                <w:b/>
                <w:bCs/>
                <w:sz w:val="17"/>
                <w:szCs w:val="17"/>
                <w:lang w:val="en-US"/>
              </w:rPr>
              <w:t>Domestic violence conditional income management orders by community and quarter</w:t>
            </w:r>
            <w:r>
              <w:rPr>
                <w:rFonts w:ascii="Helvetica" w:hAnsi="Helvetica" w:cs="Helvetica"/>
                <w:b/>
                <w:bCs/>
                <w:sz w:val="17"/>
                <w:szCs w:val="17"/>
                <w:lang w:val="en-US"/>
              </w:rPr>
              <w:t xml:space="preserve"> 1 July 201</w:t>
            </w:r>
            <w:r>
              <w:rPr>
                <w:rFonts w:ascii="Helvetica" w:hAnsi="Helvetica" w:cs="Helvetica"/>
                <w:b/>
                <w:bCs/>
                <w:sz w:val="17"/>
                <w:szCs w:val="17"/>
                <w:lang w:val="en-US"/>
              </w:rPr>
              <w:t>8</w:t>
            </w:r>
            <w:r>
              <w:rPr>
                <w:rFonts w:ascii="Helvetica" w:hAnsi="Helvetica" w:cs="Helvetica"/>
                <w:b/>
                <w:bCs/>
                <w:sz w:val="17"/>
                <w:szCs w:val="17"/>
                <w:lang w:val="en-US"/>
              </w:rPr>
              <w:t xml:space="preserve"> to 30 June 201</w:t>
            </w:r>
            <w:r>
              <w:rPr>
                <w:rFonts w:ascii="Helvetica" w:hAnsi="Helvetica" w:cs="Helvetica"/>
                <w:b/>
                <w:bCs/>
                <w:sz w:val="17"/>
                <w:szCs w:val="17"/>
                <w:lang w:val="en-US"/>
              </w:rPr>
              <w:t>9</w:t>
            </w:r>
            <w:r>
              <w:rPr>
                <w:rFonts w:ascii="Helvetica" w:hAnsi="Helvetica" w:cs="Helvetica"/>
                <w:b/>
                <w:bCs/>
                <w:sz w:val="17"/>
                <w:szCs w:val="17"/>
                <w:lang w:val="en-US"/>
              </w:rPr>
              <w:t>.</w:t>
            </w:r>
          </w:p>
          <w:tbl>
            <w:tblPr>
              <w:tblW w:w="5098" w:type="dxa"/>
              <w:tblLayout w:type="fixed"/>
              <w:tblLook w:val="04A0" w:firstRow="1" w:lastRow="0" w:firstColumn="1" w:lastColumn="0" w:noHBand="0" w:noVBand="1"/>
            </w:tblPr>
            <w:tblGrid>
              <w:gridCol w:w="2032"/>
              <w:gridCol w:w="766"/>
              <w:gridCol w:w="767"/>
              <w:gridCol w:w="766"/>
              <w:gridCol w:w="767"/>
            </w:tblGrid>
            <w:tr w:rsidR="00A65158" w:rsidRPr="00550B7B" w14:paraId="287E433D" w14:textId="77777777" w:rsidTr="00B25249">
              <w:trPr>
                <w:trHeight w:val="306"/>
              </w:trPr>
              <w:tc>
                <w:tcPr>
                  <w:tcW w:w="2032" w:type="dxa"/>
                  <w:tcBorders>
                    <w:top w:val="single" w:sz="4" w:space="0" w:color="auto"/>
                    <w:left w:val="single" w:sz="4" w:space="0" w:color="auto"/>
                    <w:bottom w:val="single" w:sz="4" w:space="0" w:color="auto"/>
                    <w:right w:val="single" w:sz="4" w:space="0" w:color="auto"/>
                  </w:tcBorders>
                  <w:noWrap/>
                  <w:vAlign w:val="center"/>
                  <w:hideMark/>
                </w:tcPr>
                <w:p w14:paraId="580D6109" w14:textId="77777777" w:rsidR="00A65158" w:rsidRPr="00FB39EA" w:rsidRDefault="00A65158" w:rsidP="00A65158">
                  <w:pPr>
                    <w:spacing w:after="0"/>
                    <w:rPr>
                      <w:rFonts w:cs="Arial"/>
                      <w:b/>
                      <w:bCs/>
                      <w:szCs w:val="20"/>
                      <w:lang w:eastAsia="en-AU"/>
                    </w:rPr>
                  </w:pPr>
                  <w:r w:rsidRPr="00FB39EA">
                    <w:rPr>
                      <w:rFonts w:cs="Arial"/>
                      <w:b/>
                      <w:bCs/>
                      <w:szCs w:val="20"/>
                      <w:lang w:eastAsia="en-AU"/>
                    </w:rPr>
                    <w:t>Community</w:t>
                  </w:r>
                </w:p>
              </w:tc>
              <w:tc>
                <w:tcPr>
                  <w:tcW w:w="766" w:type="dxa"/>
                  <w:tcBorders>
                    <w:top w:val="single" w:sz="4" w:space="0" w:color="auto"/>
                    <w:bottom w:val="single" w:sz="4" w:space="0" w:color="auto"/>
                    <w:right w:val="single" w:sz="4" w:space="0" w:color="auto"/>
                  </w:tcBorders>
                  <w:vAlign w:val="center"/>
                  <w:hideMark/>
                </w:tcPr>
                <w:p w14:paraId="14507595" w14:textId="49682B07" w:rsidR="00A65158" w:rsidRPr="00FB39EA" w:rsidRDefault="00A65158" w:rsidP="00A65158">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sidR="0093554F">
                    <w:rPr>
                      <w:rFonts w:cs="Arial"/>
                      <w:b/>
                      <w:bCs/>
                      <w:szCs w:val="20"/>
                      <w:lang w:eastAsia="en-AU"/>
                    </w:rPr>
                    <w:t>41</w:t>
                  </w:r>
                </w:p>
              </w:tc>
              <w:tc>
                <w:tcPr>
                  <w:tcW w:w="767" w:type="dxa"/>
                  <w:tcBorders>
                    <w:top w:val="single" w:sz="4" w:space="0" w:color="auto"/>
                    <w:bottom w:val="single" w:sz="4" w:space="0" w:color="auto"/>
                    <w:right w:val="single" w:sz="4" w:space="0" w:color="auto"/>
                  </w:tcBorders>
                  <w:vAlign w:val="center"/>
                  <w:hideMark/>
                </w:tcPr>
                <w:p w14:paraId="6DBB8A67" w14:textId="1ECC657E" w:rsidR="00A65158" w:rsidRPr="00FB39EA" w:rsidRDefault="00A65158" w:rsidP="00A65158">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sidR="0093554F">
                    <w:rPr>
                      <w:rFonts w:cs="Arial"/>
                      <w:b/>
                      <w:bCs/>
                      <w:szCs w:val="20"/>
                      <w:lang w:eastAsia="en-AU"/>
                    </w:rPr>
                    <w:t>42</w:t>
                  </w:r>
                </w:p>
              </w:tc>
              <w:tc>
                <w:tcPr>
                  <w:tcW w:w="766" w:type="dxa"/>
                  <w:tcBorders>
                    <w:top w:val="single" w:sz="4" w:space="0" w:color="auto"/>
                    <w:bottom w:val="single" w:sz="4" w:space="0" w:color="auto"/>
                    <w:right w:val="single" w:sz="4" w:space="0" w:color="auto"/>
                  </w:tcBorders>
                  <w:vAlign w:val="center"/>
                  <w:hideMark/>
                </w:tcPr>
                <w:p w14:paraId="4EB970E0" w14:textId="7BC4776F" w:rsidR="00A65158" w:rsidRPr="00FB39EA" w:rsidRDefault="00A65158" w:rsidP="00A65158">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sidR="0093554F">
                    <w:rPr>
                      <w:rFonts w:cs="Arial"/>
                      <w:b/>
                      <w:bCs/>
                      <w:szCs w:val="20"/>
                      <w:lang w:eastAsia="en-AU"/>
                    </w:rPr>
                    <w:t>43</w:t>
                  </w:r>
                </w:p>
              </w:tc>
              <w:tc>
                <w:tcPr>
                  <w:tcW w:w="767" w:type="dxa"/>
                  <w:tcBorders>
                    <w:top w:val="single" w:sz="4" w:space="0" w:color="auto"/>
                    <w:bottom w:val="single" w:sz="4" w:space="0" w:color="auto"/>
                    <w:right w:val="single" w:sz="4" w:space="0" w:color="auto"/>
                  </w:tcBorders>
                  <w:vAlign w:val="center"/>
                  <w:hideMark/>
                </w:tcPr>
                <w:p w14:paraId="3B2C2B19" w14:textId="1E7F9564" w:rsidR="00A65158" w:rsidRPr="00FB39EA" w:rsidRDefault="00A65158" w:rsidP="00A65158">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sidR="0093554F">
                    <w:rPr>
                      <w:rFonts w:cs="Arial"/>
                      <w:b/>
                      <w:bCs/>
                      <w:szCs w:val="20"/>
                      <w:lang w:eastAsia="en-AU"/>
                    </w:rPr>
                    <w:t>44</w:t>
                  </w:r>
                </w:p>
              </w:tc>
            </w:tr>
            <w:tr w:rsidR="00826466" w:rsidRPr="00550B7B" w14:paraId="646F95B0" w14:textId="77777777" w:rsidTr="00B25249">
              <w:trPr>
                <w:trHeight w:val="255"/>
              </w:trPr>
              <w:tc>
                <w:tcPr>
                  <w:tcW w:w="2032" w:type="dxa"/>
                  <w:tcBorders>
                    <w:left w:val="single" w:sz="4" w:space="0" w:color="auto"/>
                    <w:bottom w:val="single" w:sz="4" w:space="0" w:color="auto"/>
                    <w:right w:val="single" w:sz="4" w:space="0" w:color="auto"/>
                  </w:tcBorders>
                  <w:noWrap/>
                  <w:vAlign w:val="bottom"/>
                  <w:hideMark/>
                </w:tcPr>
                <w:p w14:paraId="0EE636E2" w14:textId="77777777" w:rsidR="00826466" w:rsidRPr="00FB39EA" w:rsidRDefault="00826466" w:rsidP="00826466">
                  <w:pPr>
                    <w:spacing w:after="60"/>
                    <w:rPr>
                      <w:rFonts w:cs="Arial"/>
                      <w:szCs w:val="20"/>
                      <w:lang w:eastAsia="en-AU"/>
                    </w:rPr>
                  </w:pPr>
                  <w:r w:rsidRPr="00FB39EA">
                    <w:rPr>
                      <w:rFonts w:cs="Arial"/>
                      <w:szCs w:val="20"/>
                      <w:lang w:eastAsia="en-AU"/>
                    </w:rPr>
                    <w:t>Aurukun</w:t>
                  </w:r>
                </w:p>
              </w:tc>
              <w:tc>
                <w:tcPr>
                  <w:tcW w:w="766" w:type="dxa"/>
                  <w:tcBorders>
                    <w:bottom w:val="single" w:sz="4" w:space="0" w:color="auto"/>
                    <w:right w:val="single" w:sz="4" w:space="0" w:color="auto"/>
                  </w:tcBorders>
                </w:tcPr>
                <w:p w14:paraId="30D426A9" w14:textId="6255BFA6" w:rsidR="00826466" w:rsidRPr="00826466" w:rsidRDefault="00826466" w:rsidP="00826466">
                  <w:pPr>
                    <w:spacing w:after="60"/>
                    <w:jc w:val="right"/>
                    <w:rPr>
                      <w:rFonts w:cs="Arial"/>
                      <w:szCs w:val="20"/>
                      <w:lang w:eastAsia="en-AU"/>
                    </w:rPr>
                  </w:pPr>
                  <w:r w:rsidRPr="00826466">
                    <w:rPr>
                      <w:rFonts w:cs="Arial"/>
                      <w:szCs w:val="20"/>
                    </w:rPr>
                    <w:t>2</w:t>
                  </w:r>
                </w:p>
              </w:tc>
              <w:tc>
                <w:tcPr>
                  <w:tcW w:w="767" w:type="dxa"/>
                  <w:tcBorders>
                    <w:bottom w:val="single" w:sz="4" w:space="0" w:color="auto"/>
                    <w:right w:val="single" w:sz="4" w:space="0" w:color="auto"/>
                  </w:tcBorders>
                </w:tcPr>
                <w:p w14:paraId="55DC01D4" w14:textId="0EA632F4" w:rsidR="00826466" w:rsidRPr="00826466" w:rsidRDefault="00826466" w:rsidP="00826466">
                  <w:pPr>
                    <w:spacing w:after="60"/>
                    <w:jc w:val="right"/>
                    <w:rPr>
                      <w:rFonts w:cs="Arial"/>
                      <w:szCs w:val="20"/>
                      <w:lang w:eastAsia="en-AU"/>
                    </w:rPr>
                  </w:pPr>
                  <w:r w:rsidRPr="00826466">
                    <w:rPr>
                      <w:rFonts w:cs="Arial"/>
                      <w:szCs w:val="20"/>
                    </w:rPr>
                    <w:t>1</w:t>
                  </w:r>
                </w:p>
              </w:tc>
              <w:tc>
                <w:tcPr>
                  <w:tcW w:w="766" w:type="dxa"/>
                  <w:tcBorders>
                    <w:bottom w:val="single" w:sz="4" w:space="0" w:color="auto"/>
                    <w:right w:val="single" w:sz="4" w:space="0" w:color="auto"/>
                  </w:tcBorders>
                </w:tcPr>
                <w:p w14:paraId="743EF316" w14:textId="18FD607B" w:rsidR="00826466" w:rsidRPr="00826466" w:rsidRDefault="00826466" w:rsidP="00826466">
                  <w:pPr>
                    <w:spacing w:after="60"/>
                    <w:jc w:val="right"/>
                    <w:rPr>
                      <w:rFonts w:cs="Arial"/>
                      <w:szCs w:val="20"/>
                      <w:lang w:eastAsia="en-AU"/>
                    </w:rPr>
                  </w:pPr>
                  <w:r w:rsidRPr="00826466">
                    <w:rPr>
                      <w:rFonts w:cs="Arial"/>
                      <w:szCs w:val="20"/>
                    </w:rPr>
                    <w:t>4</w:t>
                  </w:r>
                </w:p>
              </w:tc>
              <w:tc>
                <w:tcPr>
                  <w:tcW w:w="767" w:type="dxa"/>
                  <w:tcBorders>
                    <w:bottom w:val="single" w:sz="4" w:space="0" w:color="auto"/>
                    <w:right w:val="single" w:sz="4" w:space="0" w:color="auto"/>
                  </w:tcBorders>
                </w:tcPr>
                <w:p w14:paraId="2E00815D" w14:textId="4B6B1E1B" w:rsidR="00826466" w:rsidRPr="00826466" w:rsidRDefault="00826466" w:rsidP="00826466">
                  <w:pPr>
                    <w:spacing w:after="60"/>
                    <w:jc w:val="right"/>
                    <w:rPr>
                      <w:rFonts w:cs="Arial"/>
                      <w:szCs w:val="20"/>
                      <w:lang w:eastAsia="en-AU"/>
                    </w:rPr>
                  </w:pPr>
                  <w:r w:rsidRPr="00826466">
                    <w:rPr>
                      <w:rFonts w:cs="Arial"/>
                      <w:szCs w:val="20"/>
                    </w:rPr>
                    <w:t>3</w:t>
                  </w:r>
                </w:p>
              </w:tc>
            </w:tr>
            <w:tr w:rsidR="00826466" w:rsidRPr="00550B7B" w14:paraId="1AED8AD6" w14:textId="77777777" w:rsidTr="00B25249">
              <w:trPr>
                <w:trHeight w:val="255"/>
              </w:trPr>
              <w:tc>
                <w:tcPr>
                  <w:tcW w:w="2032" w:type="dxa"/>
                  <w:tcBorders>
                    <w:left w:val="single" w:sz="4" w:space="0" w:color="auto"/>
                    <w:bottom w:val="single" w:sz="4" w:space="0" w:color="auto"/>
                    <w:right w:val="single" w:sz="4" w:space="0" w:color="auto"/>
                  </w:tcBorders>
                  <w:noWrap/>
                  <w:vAlign w:val="bottom"/>
                  <w:hideMark/>
                </w:tcPr>
                <w:p w14:paraId="27CE7707" w14:textId="77777777" w:rsidR="00826466" w:rsidRPr="00FB39EA" w:rsidRDefault="00826466" w:rsidP="00826466">
                  <w:pPr>
                    <w:spacing w:after="60"/>
                    <w:rPr>
                      <w:rFonts w:cs="Arial"/>
                      <w:szCs w:val="20"/>
                      <w:lang w:eastAsia="en-AU"/>
                    </w:rPr>
                  </w:pPr>
                  <w:r w:rsidRPr="00FB39EA">
                    <w:rPr>
                      <w:rFonts w:cs="Arial"/>
                      <w:szCs w:val="20"/>
                      <w:lang w:eastAsia="en-AU"/>
                    </w:rPr>
                    <w:t>Coen</w:t>
                  </w:r>
                </w:p>
              </w:tc>
              <w:tc>
                <w:tcPr>
                  <w:tcW w:w="766" w:type="dxa"/>
                  <w:tcBorders>
                    <w:bottom w:val="single" w:sz="4" w:space="0" w:color="auto"/>
                    <w:right w:val="single" w:sz="4" w:space="0" w:color="auto"/>
                  </w:tcBorders>
                </w:tcPr>
                <w:p w14:paraId="36B90536" w14:textId="676EE053" w:rsidR="00826466" w:rsidRPr="00826466" w:rsidRDefault="00826466" w:rsidP="00826466">
                  <w:pPr>
                    <w:spacing w:after="60"/>
                    <w:jc w:val="right"/>
                    <w:rPr>
                      <w:rFonts w:cs="Arial"/>
                      <w:szCs w:val="20"/>
                      <w:lang w:eastAsia="en-AU"/>
                    </w:rPr>
                  </w:pPr>
                  <w:r w:rsidRPr="00826466">
                    <w:rPr>
                      <w:rFonts w:cs="Arial"/>
                      <w:szCs w:val="20"/>
                    </w:rPr>
                    <w:t>1</w:t>
                  </w:r>
                </w:p>
              </w:tc>
              <w:tc>
                <w:tcPr>
                  <w:tcW w:w="767" w:type="dxa"/>
                  <w:tcBorders>
                    <w:bottom w:val="single" w:sz="4" w:space="0" w:color="auto"/>
                    <w:right w:val="single" w:sz="4" w:space="0" w:color="auto"/>
                  </w:tcBorders>
                </w:tcPr>
                <w:p w14:paraId="7309AEE6" w14:textId="23A0CD49" w:rsidR="00826466" w:rsidRPr="00826466" w:rsidRDefault="00826466" w:rsidP="00826466">
                  <w:pPr>
                    <w:spacing w:after="60"/>
                    <w:jc w:val="right"/>
                    <w:rPr>
                      <w:rFonts w:cs="Arial"/>
                      <w:szCs w:val="20"/>
                      <w:lang w:eastAsia="en-AU"/>
                    </w:rPr>
                  </w:pPr>
                  <w:r w:rsidRPr="00826466">
                    <w:rPr>
                      <w:rFonts w:cs="Arial"/>
                      <w:szCs w:val="20"/>
                    </w:rPr>
                    <w:t>0</w:t>
                  </w:r>
                </w:p>
              </w:tc>
              <w:tc>
                <w:tcPr>
                  <w:tcW w:w="766" w:type="dxa"/>
                  <w:tcBorders>
                    <w:bottom w:val="single" w:sz="4" w:space="0" w:color="auto"/>
                    <w:right w:val="single" w:sz="4" w:space="0" w:color="auto"/>
                  </w:tcBorders>
                </w:tcPr>
                <w:p w14:paraId="558795EE" w14:textId="6AF02A08" w:rsidR="00826466" w:rsidRPr="00826466" w:rsidRDefault="00826466" w:rsidP="00826466">
                  <w:pPr>
                    <w:spacing w:after="60"/>
                    <w:jc w:val="right"/>
                    <w:rPr>
                      <w:rFonts w:cs="Arial"/>
                      <w:szCs w:val="20"/>
                      <w:lang w:eastAsia="en-AU"/>
                    </w:rPr>
                  </w:pPr>
                  <w:r w:rsidRPr="00826466">
                    <w:rPr>
                      <w:rFonts w:cs="Arial"/>
                      <w:szCs w:val="20"/>
                    </w:rPr>
                    <w:t>1</w:t>
                  </w:r>
                </w:p>
              </w:tc>
              <w:tc>
                <w:tcPr>
                  <w:tcW w:w="767" w:type="dxa"/>
                  <w:tcBorders>
                    <w:bottom w:val="single" w:sz="4" w:space="0" w:color="auto"/>
                    <w:right w:val="single" w:sz="4" w:space="0" w:color="auto"/>
                  </w:tcBorders>
                </w:tcPr>
                <w:p w14:paraId="4D8FA659" w14:textId="1A895DCF" w:rsidR="00826466" w:rsidRPr="00826466" w:rsidRDefault="00826466" w:rsidP="00826466">
                  <w:pPr>
                    <w:spacing w:after="60"/>
                    <w:jc w:val="right"/>
                    <w:rPr>
                      <w:rFonts w:cs="Arial"/>
                      <w:szCs w:val="20"/>
                      <w:lang w:eastAsia="en-AU"/>
                    </w:rPr>
                  </w:pPr>
                  <w:r w:rsidRPr="00826466">
                    <w:rPr>
                      <w:rFonts w:cs="Arial"/>
                      <w:szCs w:val="20"/>
                    </w:rPr>
                    <w:t>2</w:t>
                  </w:r>
                </w:p>
              </w:tc>
            </w:tr>
            <w:tr w:rsidR="00826466" w:rsidRPr="00550B7B" w14:paraId="2116F4A6" w14:textId="77777777" w:rsidTr="00B25249">
              <w:trPr>
                <w:trHeight w:val="255"/>
              </w:trPr>
              <w:tc>
                <w:tcPr>
                  <w:tcW w:w="2032" w:type="dxa"/>
                  <w:tcBorders>
                    <w:left w:val="single" w:sz="4" w:space="0" w:color="auto"/>
                    <w:bottom w:val="single" w:sz="4" w:space="0" w:color="auto"/>
                    <w:right w:val="single" w:sz="4" w:space="0" w:color="auto"/>
                  </w:tcBorders>
                  <w:noWrap/>
                  <w:vAlign w:val="bottom"/>
                  <w:hideMark/>
                </w:tcPr>
                <w:p w14:paraId="25F3F9CD" w14:textId="77777777" w:rsidR="00826466" w:rsidRPr="00FB39EA" w:rsidRDefault="00826466" w:rsidP="00826466">
                  <w:pPr>
                    <w:spacing w:after="60"/>
                    <w:rPr>
                      <w:rFonts w:cs="Arial"/>
                      <w:szCs w:val="20"/>
                      <w:lang w:eastAsia="en-AU"/>
                    </w:rPr>
                  </w:pPr>
                  <w:r w:rsidRPr="00FB39EA">
                    <w:rPr>
                      <w:rFonts w:cs="Arial"/>
                      <w:szCs w:val="20"/>
                      <w:lang w:eastAsia="en-AU"/>
                    </w:rPr>
                    <w:t>Hope Vale</w:t>
                  </w:r>
                </w:p>
              </w:tc>
              <w:tc>
                <w:tcPr>
                  <w:tcW w:w="766" w:type="dxa"/>
                  <w:tcBorders>
                    <w:bottom w:val="single" w:sz="4" w:space="0" w:color="auto"/>
                    <w:right w:val="single" w:sz="4" w:space="0" w:color="auto"/>
                  </w:tcBorders>
                </w:tcPr>
                <w:p w14:paraId="1BC300F2" w14:textId="22E08D11" w:rsidR="00826466" w:rsidRPr="00826466" w:rsidRDefault="00826466" w:rsidP="00826466">
                  <w:pPr>
                    <w:spacing w:after="60"/>
                    <w:jc w:val="right"/>
                    <w:rPr>
                      <w:rFonts w:cs="Arial"/>
                      <w:szCs w:val="20"/>
                      <w:lang w:eastAsia="en-AU"/>
                    </w:rPr>
                  </w:pPr>
                  <w:r w:rsidRPr="00826466">
                    <w:rPr>
                      <w:rFonts w:cs="Arial"/>
                      <w:szCs w:val="20"/>
                    </w:rPr>
                    <w:t>2</w:t>
                  </w:r>
                </w:p>
              </w:tc>
              <w:tc>
                <w:tcPr>
                  <w:tcW w:w="767" w:type="dxa"/>
                  <w:tcBorders>
                    <w:bottom w:val="single" w:sz="4" w:space="0" w:color="auto"/>
                    <w:right w:val="single" w:sz="4" w:space="0" w:color="auto"/>
                  </w:tcBorders>
                </w:tcPr>
                <w:p w14:paraId="230804BB" w14:textId="1B9087DD" w:rsidR="00826466" w:rsidRPr="00826466" w:rsidRDefault="00826466" w:rsidP="00826466">
                  <w:pPr>
                    <w:spacing w:after="60"/>
                    <w:jc w:val="right"/>
                    <w:rPr>
                      <w:rFonts w:cs="Arial"/>
                      <w:szCs w:val="20"/>
                      <w:lang w:eastAsia="en-AU"/>
                    </w:rPr>
                  </w:pPr>
                  <w:r w:rsidRPr="00826466">
                    <w:rPr>
                      <w:rFonts w:cs="Arial"/>
                      <w:szCs w:val="20"/>
                    </w:rPr>
                    <w:t>0</w:t>
                  </w:r>
                </w:p>
              </w:tc>
              <w:tc>
                <w:tcPr>
                  <w:tcW w:w="766" w:type="dxa"/>
                  <w:tcBorders>
                    <w:bottom w:val="single" w:sz="4" w:space="0" w:color="auto"/>
                    <w:right w:val="single" w:sz="4" w:space="0" w:color="auto"/>
                  </w:tcBorders>
                </w:tcPr>
                <w:p w14:paraId="05AA31FC" w14:textId="12B8F617" w:rsidR="00826466" w:rsidRPr="00826466" w:rsidRDefault="00826466" w:rsidP="00826466">
                  <w:pPr>
                    <w:spacing w:after="60"/>
                    <w:jc w:val="right"/>
                    <w:rPr>
                      <w:rFonts w:cs="Arial"/>
                      <w:szCs w:val="20"/>
                      <w:lang w:eastAsia="en-AU"/>
                    </w:rPr>
                  </w:pPr>
                  <w:r w:rsidRPr="00826466">
                    <w:rPr>
                      <w:rFonts w:cs="Arial"/>
                      <w:szCs w:val="20"/>
                    </w:rPr>
                    <w:t>0</w:t>
                  </w:r>
                </w:p>
              </w:tc>
              <w:tc>
                <w:tcPr>
                  <w:tcW w:w="767" w:type="dxa"/>
                  <w:tcBorders>
                    <w:bottom w:val="single" w:sz="4" w:space="0" w:color="auto"/>
                    <w:right w:val="single" w:sz="4" w:space="0" w:color="auto"/>
                  </w:tcBorders>
                </w:tcPr>
                <w:p w14:paraId="6D4C3EED" w14:textId="5CC58ACC" w:rsidR="00826466" w:rsidRPr="00826466" w:rsidRDefault="00826466" w:rsidP="00826466">
                  <w:pPr>
                    <w:spacing w:after="60"/>
                    <w:jc w:val="right"/>
                    <w:rPr>
                      <w:rFonts w:cs="Arial"/>
                      <w:szCs w:val="20"/>
                      <w:lang w:eastAsia="en-AU"/>
                    </w:rPr>
                  </w:pPr>
                  <w:r w:rsidRPr="00826466">
                    <w:rPr>
                      <w:rFonts w:cs="Arial"/>
                      <w:szCs w:val="20"/>
                    </w:rPr>
                    <w:t>1</w:t>
                  </w:r>
                </w:p>
              </w:tc>
            </w:tr>
            <w:tr w:rsidR="00826466" w:rsidRPr="00550B7B" w14:paraId="73D232F0" w14:textId="77777777" w:rsidTr="00B25249">
              <w:trPr>
                <w:trHeight w:val="255"/>
              </w:trPr>
              <w:tc>
                <w:tcPr>
                  <w:tcW w:w="2032" w:type="dxa"/>
                  <w:tcBorders>
                    <w:left w:val="single" w:sz="4" w:space="0" w:color="auto"/>
                    <w:bottom w:val="single" w:sz="4" w:space="0" w:color="auto"/>
                    <w:right w:val="single" w:sz="4" w:space="0" w:color="auto"/>
                  </w:tcBorders>
                  <w:noWrap/>
                  <w:vAlign w:val="bottom"/>
                  <w:hideMark/>
                </w:tcPr>
                <w:p w14:paraId="08B4432C" w14:textId="77777777" w:rsidR="00826466" w:rsidRPr="00FB39EA" w:rsidRDefault="00826466" w:rsidP="00826466">
                  <w:pPr>
                    <w:spacing w:after="60"/>
                    <w:rPr>
                      <w:rFonts w:cs="Arial"/>
                      <w:szCs w:val="20"/>
                      <w:lang w:eastAsia="en-AU"/>
                    </w:rPr>
                  </w:pPr>
                  <w:r w:rsidRPr="00FB39EA">
                    <w:rPr>
                      <w:rFonts w:cs="Arial"/>
                      <w:szCs w:val="20"/>
                      <w:lang w:eastAsia="en-AU"/>
                    </w:rPr>
                    <w:t>Mossman Gorge</w:t>
                  </w:r>
                </w:p>
              </w:tc>
              <w:tc>
                <w:tcPr>
                  <w:tcW w:w="766" w:type="dxa"/>
                  <w:tcBorders>
                    <w:bottom w:val="single" w:sz="4" w:space="0" w:color="auto"/>
                    <w:right w:val="single" w:sz="4" w:space="0" w:color="auto"/>
                  </w:tcBorders>
                </w:tcPr>
                <w:p w14:paraId="0681B1AD" w14:textId="216AA807" w:rsidR="00826466" w:rsidRPr="00826466" w:rsidRDefault="00826466" w:rsidP="00826466">
                  <w:pPr>
                    <w:spacing w:after="60"/>
                    <w:jc w:val="right"/>
                    <w:rPr>
                      <w:rFonts w:cs="Arial"/>
                      <w:szCs w:val="20"/>
                      <w:lang w:eastAsia="en-AU"/>
                    </w:rPr>
                  </w:pPr>
                  <w:r w:rsidRPr="00826466">
                    <w:rPr>
                      <w:rFonts w:cs="Arial"/>
                      <w:szCs w:val="20"/>
                    </w:rPr>
                    <w:t>2</w:t>
                  </w:r>
                </w:p>
              </w:tc>
              <w:tc>
                <w:tcPr>
                  <w:tcW w:w="767" w:type="dxa"/>
                  <w:tcBorders>
                    <w:bottom w:val="single" w:sz="4" w:space="0" w:color="auto"/>
                    <w:right w:val="single" w:sz="4" w:space="0" w:color="auto"/>
                  </w:tcBorders>
                </w:tcPr>
                <w:p w14:paraId="3889E049" w14:textId="13BCC7F2" w:rsidR="00826466" w:rsidRPr="00826466" w:rsidRDefault="00826466" w:rsidP="00826466">
                  <w:pPr>
                    <w:spacing w:after="60"/>
                    <w:jc w:val="right"/>
                    <w:rPr>
                      <w:rFonts w:cs="Arial"/>
                      <w:szCs w:val="20"/>
                      <w:lang w:eastAsia="en-AU"/>
                    </w:rPr>
                  </w:pPr>
                  <w:r w:rsidRPr="00826466">
                    <w:rPr>
                      <w:rFonts w:cs="Arial"/>
                      <w:szCs w:val="20"/>
                    </w:rPr>
                    <w:t>1</w:t>
                  </w:r>
                </w:p>
              </w:tc>
              <w:tc>
                <w:tcPr>
                  <w:tcW w:w="766" w:type="dxa"/>
                  <w:tcBorders>
                    <w:bottom w:val="single" w:sz="4" w:space="0" w:color="auto"/>
                    <w:right w:val="single" w:sz="4" w:space="0" w:color="auto"/>
                  </w:tcBorders>
                </w:tcPr>
                <w:p w14:paraId="1C6E3154" w14:textId="4C4F599E" w:rsidR="00826466" w:rsidRPr="00826466" w:rsidRDefault="00826466" w:rsidP="00826466">
                  <w:pPr>
                    <w:spacing w:after="60"/>
                    <w:jc w:val="right"/>
                    <w:rPr>
                      <w:rFonts w:cs="Arial"/>
                      <w:szCs w:val="20"/>
                      <w:lang w:eastAsia="en-AU"/>
                    </w:rPr>
                  </w:pPr>
                  <w:r w:rsidRPr="00826466">
                    <w:rPr>
                      <w:rFonts w:cs="Arial"/>
                      <w:szCs w:val="20"/>
                    </w:rPr>
                    <w:t>0</w:t>
                  </w:r>
                </w:p>
              </w:tc>
              <w:tc>
                <w:tcPr>
                  <w:tcW w:w="767" w:type="dxa"/>
                  <w:tcBorders>
                    <w:bottom w:val="single" w:sz="4" w:space="0" w:color="auto"/>
                    <w:right w:val="single" w:sz="4" w:space="0" w:color="auto"/>
                  </w:tcBorders>
                </w:tcPr>
                <w:p w14:paraId="4A673111" w14:textId="1B2DDFE9" w:rsidR="00826466" w:rsidRPr="00826466" w:rsidRDefault="00826466" w:rsidP="00826466">
                  <w:pPr>
                    <w:spacing w:after="60"/>
                    <w:jc w:val="right"/>
                    <w:rPr>
                      <w:rFonts w:cs="Arial"/>
                      <w:szCs w:val="20"/>
                      <w:lang w:eastAsia="en-AU"/>
                    </w:rPr>
                  </w:pPr>
                  <w:r w:rsidRPr="00826466">
                    <w:rPr>
                      <w:rFonts w:cs="Arial"/>
                      <w:szCs w:val="20"/>
                    </w:rPr>
                    <w:t>2</w:t>
                  </w:r>
                </w:p>
              </w:tc>
            </w:tr>
            <w:tr w:rsidR="00826466" w:rsidRPr="00550B7B" w14:paraId="016D5B01" w14:textId="77777777" w:rsidTr="00B25249">
              <w:trPr>
                <w:trHeight w:val="255"/>
              </w:trPr>
              <w:tc>
                <w:tcPr>
                  <w:tcW w:w="2032" w:type="dxa"/>
                  <w:tcBorders>
                    <w:left w:val="single" w:sz="4" w:space="0" w:color="auto"/>
                    <w:bottom w:val="single" w:sz="4" w:space="0" w:color="auto"/>
                    <w:right w:val="single" w:sz="4" w:space="0" w:color="auto"/>
                  </w:tcBorders>
                  <w:noWrap/>
                  <w:vAlign w:val="bottom"/>
                  <w:hideMark/>
                </w:tcPr>
                <w:p w14:paraId="61F91241" w14:textId="77777777" w:rsidR="00826466" w:rsidRPr="00FB39EA" w:rsidRDefault="00826466" w:rsidP="00826466">
                  <w:pPr>
                    <w:spacing w:after="60"/>
                    <w:rPr>
                      <w:rFonts w:cs="Arial"/>
                      <w:b/>
                      <w:bCs/>
                      <w:szCs w:val="20"/>
                      <w:lang w:eastAsia="en-AU"/>
                    </w:rPr>
                  </w:pPr>
                  <w:r w:rsidRPr="00FB39EA">
                    <w:rPr>
                      <w:rFonts w:cs="Arial"/>
                      <w:b/>
                      <w:bCs/>
                      <w:szCs w:val="20"/>
                      <w:lang w:eastAsia="en-AU"/>
                    </w:rPr>
                    <w:t>TOTAL</w:t>
                  </w:r>
                </w:p>
              </w:tc>
              <w:tc>
                <w:tcPr>
                  <w:tcW w:w="766" w:type="dxa"/>
                  <w:tcBorders>
                    <w:bottom w:val="single" w:sz="4" w:space="0" w:color="auto"/>
                    <w:right w:val="single" w:sz="4" w:space="0" w:color="auto"/>
                  </w:tcBorders>
                  <w:noWrap/>
                </w:tcPr>
                <w:p w14:paraId="2B3E2533" w14:textId="49F3BB7F" w:rsidR="00826466" w:rsidRPr="00826466" w:rsidRDefault="00826466" w:rsidP="00826466">
                  <w:pPr>
                    <w:spacing w:after="60"/>
                    <w:jc w:val="right"/>
                    <w:rPr>
                      <w:rFonts w:cs="Arial"/>
                      <w:b/>
                      <w:bCs/>
                      <w:szCs w:val="20"/>
                      <w:lang w:eastAsia="en-AU"/>
                    </w:rPr>
                  </w:pPr>
                  <w:r w:rsidRPr="00826466">
                    <w:rPr>
                      <w:rFonts w:cs="Arial"/>
                      <w:b/>
                      <w:bCs/>
                      <w:szCs w:val="20"/>
                    </w:rPr>
                    <w:t>7</w:t>
                  </w:r>
                </w:p>
              </w:tc>
              <w:tc>
                <w:tcPr>
                  <w:tcW w:w="767" w:type="dxa"/>
                  <w:tcBorders>
                    <w:bottom w:val="single" w:sz="4" w:space="0" w:color="auto"/>
                    <w:right w:val="single" w:sz="4" w:space="0" w:color="auto"/>
                  </w:tcBorders>
                  <w:noWrap/>
                </w:tcPr>
                <w:p w14:paraId="0A25EA5A" w14:textId="266CC66A" w:rsidR="00826466" w:rsidRPr="00826466" w:rsidRDefault="00826466" w:rsidP="00826466">
                  <w:pPr>
                    <w:spacing w:after="60"/>
                    <w:jc w:val="right"/>
                    <w:rPr>
                      <w:rFonts w:cs="Arial"/>
                      <w:b/>
                      <w:bCs/>
                      <w:szCs w:val="20"/>
                      <w:lang w:eastAsia="en-AU"/>
                    </w:rPr>
                  </w:pPr>
                  <w:r w:rsidRPr="00826466">
                    <w:rPr>
                      <w:rFonts w:cs="Arial"/>
                      <w:b/>
                      <w:bCs/>
                      <w:szCs w:val="20"/>
                    </w:rPr>
                    <w:t>2</w:t>
                  </w:r>
                </w:p>
              </w:tc>
              <w:tc>
                <w:tcPr>
                  <w:tcW w:w="766" w:type="dxa"/>
                  <w:tcBorders>
                    <w:bottom w:val="single" w:sz="4" w:space="0" w:color="auto"/>
                    <w:right w:val="single" w:sz="4" w:space="0" w:color="auto"/>
                  </w:tcBorders>
                  <w:noWrap/>
                </w:tcPr>
                <w:p w14:paraId="6B9C237C" w14:textId="36048ABA" w:rsidR="00826466" w:rsidRPr="00826466" w:rsidRDefault="00826466" w:rsidP="00826466">
                  <w:pPr>
                    <w:spacing w:after="60"/>
                    <w:jc w:val="right"/>
                    <w:rPr>
                      <w:rFonts w:cs="Arial"/>
                      <w:b/>
                      <w:bCs/>
                      <w:szCs w:val="20"/>
                      <w:lang w:eastAsia="en-AU"/>
                    </w:rPr>
                  </w:pPr>
                  <w:r w:rsidRPr="00826466">
                    <w:rPr>
                      <w:rFonts w:cs="Arial"/>
                      <w:b/>
                      <w:bCs/>
                      <w:szCs w:val="20"/>
                    </w:rPr>
                    <w:t>5</w:t>
                  </w:r>
                </w:p>
              </w:tc>
              <w:tc>
                <w:tcPr>
                  <w:tcW w:w="767" w:type="dxa"/>
                  <w:tcBorders>
                    <w:bottom w:val="single" w:sz="4" w:space="0" w:color="auto"/>
                    <w:right w:val="single" w:sz="4" w:space="0" w:color="auto"/>
                  </w:tcBorders>
                  <w:noWrap/>
                </w:tcPr>
                <w:p w14:paraId="600A2D01" w14:textId="674AE094" w:rsidR="00826466" w:rsidRPr="00826466" w:rsidRDefault="00826466" w:rsidP="00826466">
                  <w:pPr>
                    <w:spacing w:after="60"/>
                    <w:jc w:val="right"/>
                    <w:rPr>
                      <w:rFonts w:cs="Arial"/>
                      <w:b/>
                      <w:bCs/>
                      <w:szCs w:val="20"/>
                      <w:lang w:eastAsia="en-AU"/>
                    </w:rPr>
                  </w:pPr>
                  <w:r w:rsidRPr="00826466">
                    <w:rPr>
                      <w:rFonts w:cs="Arial"/>
                      <w:b/>
                      <w:bCs/>
                      <w:szCs w:val="20"/>
                    </w:rPr>
                    <w:t>8</w:t>
                  </w:r>
                </w:p>
              </w:tc>
            </w:tr>
          </w:tbl>
          <w:p w14:paraId="06EF1978" w14:textId="4AE83B2F" w:rsidR="00B14E5E" w:rsidRPr="006D1748" w:rsidRDefault="00B14E5E" w:rsidP="00BC3193">
            <w:pPr>
              <w:pStyle w:val="Heading3"/>
              <w:spacing w:before="120"/>
            </w:pPr>
            <w:r w:rsidRPr="006D1748">
              <w:t>Voluntary income management</w:t>
            </w:r>
          </w:p>
          <w:p w14:paraId="1DB0CFD6" w14:textId="77777777" w:rsidR="00B14E5E" w:rsidRDefault="00B14E5E" w:rsidP="00A90858">
            <w:pPr>
              <w:spacing w:before="120"/>
            </w:pPr>
            <w:r w:rsidRPr="005D104F">
              <w:t xml:space="preserve">The Commission processed </w:t>
            </w:r>
            <w:r w:rsidRPr="00E20307">
              <w:t>20</w:t>
            </w:r>
            <w:r w:rsidRPr="005D104F">
              <w:t xml:space="preserve"> VIM agreements during this reporting period</w:t>
            </w:r>
            <w:r>
              <w:t>.</w:t>
            </w:r>
            <w:r w:rsidRPr="005D104F">
              <w:t xml:space="preserve"> VIM provides a practical option for all welfare reform community members to help manage their finances.</w:t>
            </w:r>
            <w:r>
              <w:t xml:space="preserve"> The Commission has renewed its focus on raising awareness about Voluntary Income Management within communities.</w:t>
            </w:r>
          </w:p>
          <w:p w14:paraId="232203E9" w14:textId="77777777" w:rsidR="00B14E5E" w:rsidRPr="006D1748" w:rsidRDefault="00B14E5E" w:rsidP="00BC3193">
            <w:pPr>
              <w:pStyle w:val="Heading3"/>
            </w:pPr>
            <w:r w:rsidRPr="006D1748">
              <w:t>Case management monitoring</w:t>
            </w:r>
          </w:p>
          <w:p w14:paraId="6AFCB9D7" w14:textId="77777777" w:rsidR="00B14E5E" w:rsidRDefault="00B14E5E" w:rsidP="00A90858">
            <w:r w:rsidRPr="005D104F">
              <w:t>As at 30 June 201</w:t>
            </w:r>
            <w:r>
              <w:t>9</w:t>
            </w:r>
            <w:r w:rsidRPr="005D104F">
              <w:t xml:space="preserve">, </w:t>
            </w:r>
            <w:r w:rsidRPr="001208FA">
              <w:t>73</w:t>
            </w:r>
            <w:r w:rsidRPr="005D104F">
              <w:t xml:space="preserve"> clients were being case-managed through active case plans pertaining to referrals.</w:t>
            </w:r>
          </w:p>
          <w:p w14:paraId="7C724FC8" w14:textId="77777777" w:rsidR="00B14E5E" w:rsidRDefault="00B14E5E" w:rsidP="00A90858">
            <w:r>
              <w:t>As noted, the Commission has not been receiving client progress reports from some key support services. Whilst it is acknowledged that service providers have competing priorities with respect to their reporting obligations, the lack of information about client progress available to Commissioners impedes the effectiveness of case plan referrals.</w:t>
            </w:r>
          </w:p>
          <w:p w14:paraId="486BB466" w14:textId="77777777" w:rsidR="00B14E5E" w:rsidRDefault="00B14E5E" w:rsidP="00A90858"/>
          <w:p w14:paraId="66F499EC" w14:textId="33824F89" w:rsidR="00B14E5E" w:rsidRDefault="00B14E5E" w:rsidP="00A90858"/>
          <w:p w14:paraId="2931F943" w14:textId="7D34458B" w:rsidR="00C74C84" w:rsidRDefault="00C74C84" w:rsidP="00A90858"/>
          <w:p w14:paraId="595CED44" w14:textId="5D0728A3" w:rsidR="00C74C84" w:rsidRDefault="00C74C84" w:rsidP="00A90858"/>
          <w:p w14:paraId="76AED45F" w14:textId="77777777" w:rsidR="00C74C84" w:rsidRDefault="00C74C84" w:rsidP="00A90858"/>
          <w:p w14:paraId="50C1F004" w14:textId="77777777" w:rsidR="00B14E5E" w:rsidRPr="005D104F" w:rsidRDefault="00B14E5E" w:rsidP="00A90858">
            <w:pPr>
              <w:spacing w:before="120"/>
              <w:rPr>
                <w:bCs/>
              </w:rPr>
            </w:pPr>
            <w:r w:rsidRPr="005D104F">
              <w:rPr>
                <w:bCs/>
              </w:rPr>
              <w:lastRenderedPageBreak/>
              <w:t xml:space="preserve">The </w:t>
            </w:r>
            <w:r w:rsidRPr="00CA64D7">
              <w:rPr>
                <w:bCs/>
              </w:rPr>
              <w:t xml:space="preserve">applications resulted in 35 applications being granted, </w:t>
            </w:r>
            <w:r>
              <w:rPr>
                <w:bCs/>
              </w:rPr>
              <w:t>8</w:t>
            </w:r>
            <w:r w:rsidRPr="00CA64D7">
              <w:rPr>
                <w:bCs/>
              </w:rPr>
              <w:t xml:space="preserve"> applications resulting in a revised order or agreement</w:t>
            </w:r>
            <w:r>
              <w:rPr>
                <w:bCs/>
              </w:rPr>
              <w:t>,</w:t>
            </w:r>
            <w:r w:rsidRPr="00CA64D7">
              <w:rPr>
                <w:bCs/>
              </w:rPr>
              <w:t xml:space="preserve"> 11 applications</w:t>
            </w:r>
            <w:r w:rsidRPr="005D104F">
              <w:rPr>
                <w:bCs/>
              </w:rPr>
              <w:t xml:space="preserve"> being refused,</w:t>
            </w:r>
            <w:r>
              <w:rPr>
                <w:bCs/>
              </w:rPr>
              <w:t xml:space="preserve"> and 2 applications were received at the end of the financial year with decisions pending</w:t>
            </w:r>
            <w:r w:rsidRPr="005D104F">
              <w:rPr>
                <w:bCs/>
              </w:rPr>
              <w:t>.</w:t>
            </w:r>
          </w:p>
          <w:p w14:paraId="3B2197E7" w14:textId="77777777" w:rsidR="00B14E5E" w:rsidRPr="005D104F" w:rsidRDefault="00B14E5E" w:rsidP="00A90858">
            <w:pPr>
              <w:spacing w:before="120"/>
              <w:rPr>
                <w:bCs/>
              </w:rPr>
            </w:pPr>
            <w:r w:rsidRPr="005D104F">
              <w:rPr>
                <w:bCs/>
              </w:rPr>
              <w:t>Granted applications:</w:t>
            </w:r>
          </w:p>
          <w:p w14:paraId="12CD5994" w14:textId="77777777" w:rsidR="00B14E5E" w:rsidRPr="005D104F" w:rsidRDefault="00B14E5E" w:rsidP="00A90858">
            <w:pPr>
              <w:tabs>
                <w:tab w:val="right" w:pos="601"/>
                <w:tab w:val="left" w:pos="1026"/>
              </w:tabs>
              <w:spacing w:after="60"/>
              <w:ind w:left="1026" w:hanging="1026"/>
            </w:pPr>
            <w:r w:rsidRPr="005D104F">
              <w:tab/>
            </w:r>
            <w:r w:rsidRPr="00CA64D7">
              <w:t>35</w:t>
            </w:r>
            <w:r w:rsidRPr="005D104F">
              <w:tab/>
              <w:t>income management agreements and orders revoked</w:t>
            </w:r>
            <w:r>
              <w:t>.</w:t>
            </w:r>
          </w:p>
          <w:p w14:paraId="6AF24261" w14:textId="77777777" w:rsidR="00B14E5E" w:rsidRPr="005D104F" w:rsidRDefault="00B14E5E" w:rsidP="00A90858">
            <w:pPr>
              <w:tabs>
                <w:tab w:val="right" w:pos="601"/>
                <w:tab w:val="left" w:pos="1026"/>
              </w:tabs>
              <w:spacing w:after="60"/>
              <w:ind w:left="1026" w:hanging="1026"/>
            </w:pPr>
            <w:r w:rsidRPr="005D104F">
              <w:t>Applications with a revised order or agreement:</w:t>
            </w:r>
          </w:p>
          <w:p w14:paraId="6AE9653E" w14:textId="77777777" w:rsidR="00B14E5E" w:rsidRPr="00D13F46" w:rsidRDefault="00B14E5E" w:rsidP="00A90858">
            <w:pPr>
              <w:tabs>
                <w:tab w:val="right" w:pos="601"/>
                <w:tab w:val="left" w:pos="1026"/>
              </w:tabs>
              <w:spacing w:after="60"/>
              <w:ind w:left="1026" w:hanging="1026"/>
            </w:pPr>
            <w:r w:rsidRPr="005D104F">
              <w:tab/>
            </w:r>
            <w:r w:rsidRPr="00BF0E20">
              <w:t>2</w:t>
            </w:r>
            <w:r w:rsidRPr="005D104F">
              <w:tab/>
            </w:r>
            <w:r w:rsidRPr="00D13F46">
              <w:t>CIM orders at 90 percent revoked and clients placed on a new CIM order at 60 percent for a period of 12 months</w:t>
            </w:r>
          </w:p>
          <w:p w14:paraId="16DDEBD8" w14:textId="77777777" w:rsidR="00B14E5E" w:rsidRPr="00D13F46" w:rsidRDefault="00B14E5E" w:rsidP="00A90858">
            <w:pPr>
              <w:tabs>
                <w:tab w:val="right" w:pos="601"/>
                <w:tab w:val="left" w:pos="1026"/>
              </w:tabs>
              <w:spacing w:after="60"/>
              <w:ind w:left="1026" w:hanging="1026"/>
            </w:pPr>
            <w:r w:rsidRPr="00D13F46">
              <w:tab/>
              <w:t>3</w:t>
            </w:r>
            <w:r w:rsidRPr="00D13F46">
              <w:tab/>
              <w:t>CIM orders at 90 percent revoked and clients placed on a new CIM order at 75 percent for a period of 12 months</w:t>
            </w:r>
          </w:p>
          <w:p w14:paraId="5AAD7BBC" w14:textId="77777777" w:rsidR="00B14E5E" w:rsidRPr="00BF0E20" w:rsidRDefault="00B14E5E" w:rsidP="00A90858">
            <w:pPr>
              <w:tabs>
                <w:tab w:val="right" w:pos="601"/>
                <w:tab w:val="left" w:pos="1026"/>
              </w:tabs>
              <w:spacing w:after="60"/>
              <w:ind w:left="1026" w:hanging="1026"/>
            </w:pPr>
            <w:r w:rsidRPr="00D13F46">
              <w:tab/>
              <w:t>1</w:t>
            </w:r>
            <w:r w:rsidRPr="00D13F46">
              <w:tab/>
              <w:t>CIM order at 75 percent revoked and client placed on a new CIM order at 60 percent for a period of 12 months</w:t>
            </w:r>
          </w:p>
          <w:p w14:paraId="4C70B2F6" w14:textId="77777777" w:rsidR="00B14E5E" w:rsidRPr="00BF0E20" w:rsidRDefault="00B14E5E" w:rsidP="00A90858">
            <w:pPr>
              <w:tabs>
                <w:tab w:val="right" w:pos="601"/>
                <w:tab w:val="left" w:pos="1026"/>
              </w:tabs>
              <w:spacing w:after="60"/>
              <w:ind w:left="1026" w:hanging="1026"/>
            </w:pPr>
            <w:r w:rsidRPr="00D13F46">
              <w:tab/>
              <w:t>1</w:t>
            </w:r>
            <w:r w:rsidRPr="00D13F46">
              <w:tab/>
              <w:t xml:space="preserve">CIM order at 75 percent revoked and client placed on a new CIM order at 60 percent for a period of </w:t>
            </w:r>
            <w:r w:rsidRPr="00BF0E20">
              <w:t>9 months</w:t>
            </w:r>
          </w:p>
          <w:p w14:paraId="1A8E7524" w14:textId="77777777" w:rsidR="00B14E5E" w:rsidRPr="005D104F" w:rsidRDefault="00B14E5E" w:rsidP="00A90858">
            <w:pPr>
              <w:tabs>
                <w:tab w:val="right" w:pos="601"/>
                <w:tab w:val="left" w:pos="1026"/>
              </w:tabs>
              <w:spacing w:after="60"/>
              <w:ind w:left="1026" w:hanging="1026"/>
            </w:pPr>
            <w:r w:rsidRPr="00D13F46">
              <w:tab/>
              <w:t>1</w:t>
            </w:r>
            <w:r w:rsidRPr="00D13F46">
              <w:tab/>
              <w:t xml:space="preserve">CIM order percentage reduced from 75 to 60 percent for the </w:t>
            </w:r>
            <w:r w:rsidRPr="00BF0E20">
              <w:t>remainder</w:t>
            </w:r>
            <w:r w:rsidRPr="005D104F">
              <w:t xml:space="preserve"> of the original income management order.</w:t>
            </w:r>
          </w:p>
          <w:p w14:paraId="66309D86" w14:textId="77777777" w:rsidR="00B14E5E" w:rsidRPr="005D104F" w:rsidRDefault="00B14E5E" w:rsidP="00A90858">
            <w:pPr>
              <w:tabs>
                <w:tab w:val="right" w:pos="601"/>
                <w:tab w:val="left" w:pos="1026"/>
              </w:tabs>
              <w:spacing w:after="60"/>
              <w:ind w:left="1026" w:hanging="1026"/>
            </w:pPr>
            <w:r w:rsidRPr="005D104F">
              <w:t>Refused applications:</w:t>
            </w:r>
          </w:p>
          <w:p w14:paraId="72180767" w14:textId="77777777" w:rsidR="00B14E5E" w:rsidRDefault="00B14E5E" w:rsidP="00A90858">
            <w:pPr>
              <w:tabs>
                <w:tab w:val="right" w:pos="601"/>
                <w:tab w:val="left" w:pos="1026"/>
              </w:tabs>
              <w:spacing w:after="60"/>
              <w:ind w:left="1026" w:hanging="1026"/>
            </w:pPr>
            <w:r w:rsidRPr="005D104F">
              <w:tab/>
            </w:r>
            <w:r w:rsidRPr="00CA64D7">
              <w:t>11</w:t>
            </w:r>
            <w:r w:rsidRPr="005D104F">
              <w:tab/>
              <w:t>applications refused</w:t>
            </w:r>
            <w:r>
              <w:t>.</w:t>
            </w:r>
          </w:p>
          <w:p w14:paraId="1EE0DF93" w14:textId="77777777" w:rsidR="00B14E5E" w:rsidRDefault="00B14E5E" w:rsidP="00A90858">
            <w:pPr>
              <w:tabs>
                <w:tab w:val="right" w:pos="601"/>
                <w:tab w:val="left" w:pos="1026"/>
              </w:tabs>
              <w:spacing w:after="60"/>
              <w:ind w:left="1026" w:hanging="1026"/>
            </w:pPr>
            <w:r>
              <w:t>Pending applications:</w:t>
            </w:r>
          </w:p>
          <w:p w14:paraId="33EDC645" w14:textId="77777777" w:rsidR="00B14E5E" w:rsidRDefault="00B14E5E" w:rsidP="00A90858">
            <w:pPr>
              <w:tabs>
                <w:tab w:val="right" w:pos="601"/>
                <w:tab w:val="left" w:pos="1026"/>
              </w:tabs>
              <w:spacing w:after="60"/>
              <w:ind w:left="1026" w:hanging="1026"/>
            </w:pPr>
            <w:r w:rsidRPr="005D104F">
              <w:tab/>
            </w:r>
            <w:r>
              <w:t>2</w:t>
            </w:r>
            <w:r w:rsidRPr="005D104F">
              <w:tab/>
              <w:t>applications</w:t>
            </w:r>
            <w:r>
              <w:t xml:space="preserve"> were received at the end of the financial year with decisions pending.</w:t>
            </w:r>
          </w:p>
          <w:p w14:paraId="79132D76" w14:textId="095B5E02" w:rsidR="00C74C84" w:rsidRPr="000E4D75" w:rsidRDefault="00C74C84" w:rsidP="00C74C84">
            <w:pPr>
              <w:widowControl w:val="0"/>
              <w:autoSpaceDE w:val="0"/>
              <w:autoSpaceDN w:val="0"/>
              <w:adjustRightInd w:val="0"/>
              <w:ind w:left="720" w:hanging="720"/>
              <w:rPr>
                <w:rFonts w:ascii="Helvetica" w:hAnsi="Helvetica" w:cs="Helvetica"/>
                <w:b/>
                <w:bCs/>
                <w:sz w:val="17"/>
                <w:szCs w:val="17"/>
                <w:lang w:val="en-US"/>
              </w:rPr>
            </w:pPr>
            <w:r>
              <w:rPr>
                <w:rFonts w:ascii="Helvetica" w:hAnsi="Helvetica" w:cs="Helvetica"/>
                <w:b/>
                <w:bCs/>
                <w:sz w:val="17"/>
                <w:szCs w:val="17"/>
                <w:lang w:val="en-US"/>
              </w:rPr>
              <w:t xml:space="preserve">Table </w:t>
            </w:r>
            <w:r w:rsidR="00026F4C">
              <w:rPr>
                <w:rFonts w:ascii="Helvetica" w:hAnsi="Helvetica" w:cs="Helvetica"/>
                <w:b/>
                <w:bCs/>
                <w:sz w:val="17"/>
                <w:szCs w:val="17"/>
                <w:lang w:val="en-US"/>
              </w:rPr>
              <w:t>19</w:t>
            </w:r>
            <w:r w:rsidRPr="00447E70">
              <w:rPr>
                <w:rFonts w:ascii="Helvetica" w:hAnsi="Helvetica" w:cs="Helvetica"/>
                <w:b/>
                <w:bCs/>
                <w:sz w:val="17"/>
                <w:szCs w:val="17"/>
                <w:lang w:val="en-US"/>
              </w:rPr>
              <w:t xml:space="preserve">: </w:t>
            </w:r>
            <w:r>
              <w:rPr>
                <w:rFonts w:ascii="Helvetica" w:hAnsi="Helvetica" w:cs="Helvetica"/>
                <w:b/>
                <w:bCs/>
                <w:sz w:val="17"/>
                <w:szCs w:val="17"/>
                <w:lang w:val="en-US"/>
              </w:rPr>
              <w:t>Applications to amend or end agreements</w:t>
            </w:r>
            <w:r w:rsidRPr="005D104F">
              <w:rPr>
                <w:rFonts w:ascii="Helvetica" w:hAnsi="Helvetica" w:cs="Helvetica"/>
                <w:b/>
                <w:bCs/>
                <w:sz w:val="17"/>
                <w:szCs w:val="17"/>
                <w:lang w:val="en-US"/>
              </w:rPr>
              <w:t xml:space="preserve"> or order</w:t>
            </w:r>
            <w:r>
              <w:rPr>
                <w:rFonts w:ascii="Helvetica" w:hAnsi="Helvetica" w:cs="Helvetica"/>
                <w:b/>
                <w:bCs/>
                <w:sz w:val="17"/>
                <w:szCs w:val="17"/>
                <w:lang w:val="en-US"/>
              </w:rPr>
              <w:t>s</w:t>
            </w:r>
            <w:r w:rsidRPr="005D104F">
              <w:rPr>
                <w:rFonts w:ascii="Helvetica" w:hAnsi="Helvetica" w:cs="Helvetica"/>
                <w:b/>
                <w:bCs/>
                <w:sz w:val="17"/>
                <w:szCs w:val="17"/>
                <w:lang w:val="en-US"/>
              </w:rPr>
              <w:t xml:space="preserve"> by community and quarter 1 July 201</w:t>
            </w:r>
            <w:r>
              <w:rPr>
                <w:rFonts w:ascii="Helvetica" w:hAnsi="Helvetica" w:cs="Helvetica"/>
                <w:b/>
                <w:bCs/>
                <w:sz w:val="17"/>
                <w:szCs w:val="17"/>
                <w:lang w:val="en-US"/>
              </w:rPr>
              <w:t>8</w:t>
            </w:r>
            <w:r w:rsidRPr="005D104F">
              <w:rPr>
                <w:rFonts w:ascii="Helvetica" w:hAnsi="Helvetica" w:cs="Helvetica"/>
                <w:b/>
                <w:bCs/>
                <w:sz w:val="17"/>
                <w:szCs w:val="17"/>
                <w:lang w:val="en-US"/>
              </w:rPr>
              <w:t xml:space="preserve"> to 30 June 201</w:t>
            </w:r>
            <w:r>
              <w:rPr>
                <w:rFonts w:ascii="Helvetica" w:hAnsi="Helvetica" w:cs="Helvetica"/>
                <w:b/>
                <w:bCs/>
                <w:sz w:val="17"/>
                <w:szCs w:val="17"/>
                <w:lang w:val="en-US"/>
              </w:rPr>
              <w:t>9.</w:t>
            </w:r>
          </w:p>
          <w:tbl>
            <w:tblPr>
              <w:tblW w:w="5098" w:type="dxa"/>
              <w:tblLayout w:type="fixed"/>
              <w:tblLook w:val="04A0" w:firstRow="1" w:lastRow="0" w:firstColumn="1" w:lastColumn="0" w:noHBand="0" w:noVBand="1"/>
            </w:tblPr>
            <w:tblGrid>
              <w:gridCol w:w="2032"/>
              <w:gridCol w:w="766"/>
              <w:gridCol w:w="767"/>
              <w:gridCol w:w="766"/>
              <w:gridCol w:w="767"/>
            </w:tblGrid>
            <w:tr w:rsidR="00C74C84" w:rsidRPr="00550B7B" w14:paraId="023E92A6" w14:textId="77777777" w:rsidTr="00B25249">
              <w:trPr>
                <w:trHeight w:val="306"/>
              </w:trPr>
              <w:tc>
                <w:tcPr>
                  <w:tcW w:w="2032" w:type="dxa"/>
                  <w:tcBorders>
                    <w:top w:val="single" w:sz="4" w:space="0" w:color="auto"/>
                    <w:left w:val="single" w:sz="4" w:space="0" w:color="auto"/>
                    <w:bottom w:val="single" w:sz="4" w:space="0" w:color="auto"/>
                    <w:right w:val="single" w:sz="4" w:space="0" w:color="auto"/>
                  </w:tcBorders>
                  <w:noWrap/>
                  <w:vAlign w:val="center"/>
                  <w:hideMark/>
                </w:tcPr>
                <w:p w14:paraId="6FC413C1" w14:textId="77777777" w:rsidR="00C74C84" w:rsidRPr="00FB39EA" w:rsidRDefault="00C74C84" w:rsidP="00C74C84">
                  <w:pPr>
                    <w:spacing w:after="0"/>
                    <w:rPr>
                      <w:rFonts w:cs="Arial"/>
                      <w:b/>
                      <w:bCs/>
                      <w:szCs w:val="20"/>
                      <w:lang w:eastAsia="en-AU"/>
                    </w:rPr>
                  </w:pPr>
                  <w:r w:rsidRPr="00FB39EA">
                    <w:rPr>
                      <w:rFonts w:cs="Arial"/>
                      <w:b/>
                      <w:bCs/>
                      <w:szCs w:val="20"/>
                      <w:lang w:eastAsia="en-AU"/>
                    </w:rPr>
                    <w:t>Community</w:t>
                  </w:r>
                </w:p>
              </w:tc>
              <w:tc>
                <w:tcPr>
                  <w:tcW w:w="766" w:type="dxa"/>
                  <w:tcBorders>
                    <w:top w:val="single" w:sz="4" w:space="0" w:color="auto"/>
                    <w:bottom w:val="single" w:sz="4" w:space="0" w:color="auto"/>
                    <w:right w:val="single" w:sz="4" w:space="0" w:color="auto"/>
                  </w:tcBorders>
                  <w:vAlign w:val="center"/>
                  <w:hideMark/>
                </w:tcPr>
                <w:p w14:paraId="5036D81C" w14:textId="1B4B5600" w:rsidR="00C74C84" w:rsidRPr="00FB39EA" w:rsidRDefault="00C74C84" w:rsidP="00C74C84">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Pr>
                      <w:rFonts w:cs="Arial"/>
                      <w:b/>
                      <w:bCs/>
                      <w:szCs w:val="20"/>
                      <w:lang w:eastAsia="en-AU"/>
                    </w:rPr>
                    <w:t>41</w:t>
                  </w:r>
                </w:p>
              </w:tc>
              <w:tc>
                <w:tcPr>
                  <w:tcW w:w="767" w:type="dxa"/>
                  <w:tcBorders>
                    <w:top w:val="single" w:sz="4" w:space="0" w:color="auto"/>
                    <w:bottom w:val="single" w:sz="4" w:space="0" w:color="auto"/>
                    <w:right w:val="single" w:sz="4" w:space="0" w:color="auto"/>
                  </w:tcBorders>
                  <w:vAlign w:val="center"/>
                  <w:hideMark/>
                </w:tcPr>
                <w:p w14:paraId="630D93E5" w14:textId="4947FE91" w:rsidR="00C74C84" w:rsidRPr="00FB39EA" w:rsidRDefault="00C74C84" w:rsidP="00C74C84">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Pr>
                      <w:rFonts w:cs="Arial"/>
                      <w:b/>
                      <w:bCs/>
                      <w:szCs w:val="20"/>
                      <w:lang w:eastAsia="en-AU"/>
                    </w:rPr>
                    <w:t>42</w:t>
                  </w:r>
                </w:p>
              </w:tc>
              <w:tc>
                <w:tcPr>
                  <w:tcW w:w="766" w:type="dxa"/>
                  <w:tcBorders>
                    <w:top w:val="single" w:sz="4" w:space="0" w:color="auto"/>
                    <w:bottom w:val="single" w:sz="4" w:space="0" w:color="auto"/>
                    <w:right w:val="single" w:sz="4" w:space="0" w:color="auto"/>
                  </w:tcBorders>
                  <w:vAlign w:val="center"/>
                  <w:hideMark/>
                </w:tcPr>
                <w:p w14:paraId="1AEF9D59" w14:textId="094CFFEC" w:rsidR="00C74C84" w:rsidRPr="00FB39EA" w:rsidRDefault="00C74C84" w:rsidP="00C74C84">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Pr>
                      <w:rFonts w:cs="Arial"/>
                      <w:b/>
                      <w:bCs/>
                      <w:szCs w:val="20"/>
                      <w:lang w:eastAsia="en-AU"/>
                    </w:rPr>
                    <w:t>43</w:t>
                  </w:r>
                </w:p>
              </w:tc>
              <w:tc>
                <w:tcPr>
                  <w:tcW w:w="767" w:type="dxa"/>
                  <w:tcBorders>
                    <w:top w:val="single" w:sz="4" w:space="0" w:color="auto"/>
                    <w:bottom w:val="single" w:sz="4" w:space="0" w:color="auto"/>
                    <w:right w:val="single" w:sz="4" w:space="0" w:color="auto"/>
                  </w:tcBorders>
                  <w:vAlign w:val="center"/>
                  <w:hideMark/>
                </w:tcPr>
                <w:p w14:paraId="75741B0C" w14:textId="2135B742" w:rsidR="00C74C84" w:rsidRPr="00FB39EA" w:rsidRDefault="00C74C84" w:rsidP="00C74C84">
                  <w:pPr>
                    <w:spacing w:after="0"/>
                    <w:jc w:val="right"/>
                    <w:rPr>
                      <w:rFonts w:cs="Arial"/>
                      <w:b/>
                      <w:bCs/>
                      <w:szCs w:val="20"/>
                      <w:lang w:eastAsia="en-AU"/>
                    </w:rPr>
                  </w:pPr>
                  <w:proofErr w:type="spellStart"/>
                  <w:r w:rsidRPr="00FB39EA">
                    <w:rPr>
                      <w:rFonts w:cs="Arial"/>
                      <w:b/>
                      <w:bCs/>
                      <w:szCs w:val="20"/>
                      <w:lang w:eastAsia="en-AU"/>
                    </w:rPr>
                    <w:t>Qtr</w:t>
                  </w:r>
                  <w:proofErr w:type="spellEnd"/>
                  <w:r w:rsidRPr="00FB39EA">
                    <w:rPr>
                      <w:rFonts w:cs="Arial"/>
                      <w:b/>
                      <w:bCs/>
                      <w:szCs w:val="20"/>
                      <w:lang w:eastAsia="en-AU"/>
                    </w:rPr>
                    <w:t xml:space="preserve"> </w:t>
                  </w:r>
                  <w:r>
                    <w:rPr>
                      <w:rFonts w:cs="Arial"/>
                      <w:b/>
                      <w:bCs/>
                      <w:szCs w:val="20"/>
                      <w:lang w:eastAsia="en-AU"/>
                    </w:rPr>
                    <w:t>44</w:t>
                  </w:r>
                </w:p>
              </w:tc>
            </w:tr>
            <w:tr w:rsidR="00AA2451" w:rsidRPr="00550B7B" w14:paraId="1204152E" w14:textId="77777777" w:rsidTr="00B25249">
              <w:trPr>
                <w:trHeight w:val="255"/>
              </w:trPr>
              <w:tc>
                <w:tcPr>
                  <w:tcW w:w="2032" w:type="dxa"/>
                  <w:tcBorders>
                    <w:left w:val="single" w:sz="4" w:space="0" w:color="auto"/>
                    <w:bottom w:val="single" w:sz="4" w:space="0" w:color="auto"/>
                    <w:right w:val="single" w:sz="4" w:space="0" w:color="auto"/>
                  </w:tcBorders>
                  <w:noWrap/>
                  <w:vAlign w:val="bottom"/>
                  <w:hideMark/>
                </w:tcPr>
                <w:p w14:paraId="358CA460" w14:textId="77777777" w:rsidR="00AA2451" w:rsidRPr="00FB39EA" w:rsidRDefault="00AA2451" w:rsidP="00AA2451">
                  <w:pPr>
                    <w:spacing w:after="60"/>
                    <w:rPr>
                      <w:rFonts w:cs="Arial"/>
                      <w:szCs w:val="20"/>
                      <w:lang w:eastAsia="en-AU"/>
                    </w:rPr>
                  </w:pPr>
                  <w:r w:rsidRPr="00FB39EA">
                    <w:rPr>
                      <w:rFonts w:cs="Arial"/>
                      <w:szCs w:val="20"/>
                      <w:lang w:eastAsia="en-AU"/>
                    </w:rPr>
                    <w:t>Aurukun</w:t>
                  </w:r>
                </w:p>
              </w:tc>
              <w:tc>
                <w:tcPr>
                  <w:tcW w:w="766" w:type="dxa"/>
                  <w:tcBorders>
                    <w:bottom w:val="single" w:sz="4" w:space="0" w:color="auto"/>
                    <w:right w:val="single" w:sz="4" w:space="0" w:color="auto"/>
                  </w:tcBorders>
                </w:tcPr>
                <w:p w14:paraId="6F8AC7F2" w14:textId="006B8349" w:rsidR="00AA2451" w:rsidRPr="00AA2451" w:rsidRDefault="00AA2451" w:rsidP="00AA2451">
                  <w:pPr>
                    <w:spacing w:after="60"/>
                    <w:jc w:val="right"/>
                    <w:rPr>
                      <w:rFonts w:cs="Arial"/>
                      <w:szCs w:val="20"/>
                      <w:lang w:eastAsia="en-AU"/>
                    </w:rPr>
                  </w:pPr>
                  <w:r w:rsidRPr="00AA2451">
                    <w:rPr>
                      <w:rFonts w:cs="Arial"/>
                      <w:szCs w:val="20"/>
                    </w:rPr>
                    <w:t>7</w:t>
                  </w:r>
                </w:p>
              </w:tc>
              <w:tc>
                <w:tcPr>
                  <w:tcW w:w="767" w:type="dxa"/>
                  <w:tcBorders>
                    <w:bottom w:val="single" w:sz="4" w:space="0" w:color="auto"/>
                    <w:right w:val="single" w:sz="4" w:space="0" w:color="auto"/>
                  </w:tcBorders>
                </w:tcPr>
                <w:p w14:paraId="3A259449" w14:textId="3798360D" w:rsidR="00AA2451" w:rsidRPr="00AA2451" w:rsidRDefault="00AA2451" w:rsidP="00AA2451">
                  <w:pPr>
                    <w:spacing w:after="60"/>
                    <w:jc w:val="right"/>
                    <w:rPr>
                      <w:rFonts w:cs="Arial"/>
                      <w:szCs w:val="20"/>
                      <w:lang w:eastAsia="en-AU"/>
                    </w:rPr>
                  </w:pPr>
                  <w:r w:rsidRPr="00AA2451">
                    <w:rPr>
                      <w:rFonts w:cs="Arial"/>
                      <w:szCs w:val="20"/>
                    </w:rPr>
                    <w:t>5</w:t>
                  </w:r>
                </w:p>
              </w:tc>
              <w:tc>
                <w:tcPr>
                  <w:tcW w:w="766" w:type="dxa"/>
                  <w:tcBorders>
                    <w:bottom w:val="single" w:sz="4" w:space="0" w:color="auto"/>
                    <w:right w:val="single" w:sz="4" w:space="0" w:color="auto"/>
                  </w:tcBorders>
                </w:tcPr>
                <w:p w14:paraId="4EB69AA5" w14:textId="655E62D8" w:rsidR="00AA2451" w:rsidRPr="00AA2451" w:rsidRDefault="00AA2451" w:rsidP="00AA2451">
                  <w:pPr>
                    <w:spacing w:after="60"/>
                    <w:jc w:val="right"/>
                    <w:rPr>
                      <w:rFonts w:cs="Arial"/>
                      <w:szCs w:val="20"/>
                      <w:lang w:eastAsia="en-AU"/>
                    </w:rPr>
                  </w:pPr>
                  <w:r w:rsidRPr="00AA2451">
                    <w:rPr>
                      <w:rFonts w:cs="Arial"/>
                      <w:szCs w:val="20"/>
                    </w:rPr>
                    <w:t>9</w:t>
                  </w:r>
                </w:p>
              </w:tc>
              <w:tc>
                <w:tcPr>
                  <w:tcW w:w="767" w:type="dxa"/>
                  <w:tcBorders>
                    <w:bottom w:val="single" w:sz="4" w:space="0" w:color="auto"/>
                    <w:right w:val="single" w:sz="4" w:space="0" w:color="auto"/>
                  </w:tcBorders>
                </w:tcPr>
                <w:p w14:paraId="4E579BE2" w14:textId="7102E0C4" w:rsidR="00AA2451" w:rsidRPr="00AA2451" w:rsidRDefault="00AA2451" w:rsidP="00AA2451">
                  <w:pPr>
                    <w:spacing w:after="60"/>
                    <w:jc w:val="right"/>
                    <w:rPr>
                      <w:rFonts w:cs="Arial"/>
                      <w:szCs w:val="20"/>
                      <w:lang w:eastAsia="en-AU"/>
                    </w:rPr>
                  </w:pPr>
                  <w:r w:rsidRPr="00AA2451">
                    <w:rPr>
                      <w:rFonts w:cs="Arial"/>
                      <w:szCs w:val="20"/>
                    </w:rPr>
                    <w:t>6</w:t>
                  </w:r>
                </w:p>
              </w:tc>
            </w:tr>
            <w:tr w:rsidR="00AA2451" w:rsidRPr="00550B7B" w14:paraId="34772321" w14:textId="77777777" w:rsidTr="00B25249">
              <w:trPr>
                <w:trHeight w:val="255"/>
              </w:trPr>
              <w:tc>
                <w:tcPr>
                  <w:tcW w:w="2032" w:type="dxa"/>
                  <w:tcBorders>
                    <w:left w:val="single" w:sz="4" w:space="0" w:color="auto"/>
                    <w:bottom w:val="single" w:sz="4" w:space="0" w:color="auto"/>
                    <w:right w:val="single" w:sz="4" w:space="0" w:color="auto"/>
                  </w:tcBorders>
                  <w:noWrap/>
                  <w:vAlign w:val="bottom"/>
                  <w:hideMark/>
                </w:tcPr>
                <w:p w14:paraId="41AD44A7" w14:textId="77777777" w:rsidR="00AA2451" w:rsidRPr="00FB39EA" w:rsidRDefault="00AA2451" w:rsidP="00AA2451">
                  <w:pPr>
                    <w:spacing w:after="60"/>
                    <w:rPr>
                      <w:rFonts w:cs="Arial"/>
                      <w:szCs w:val="20"/>
                      <w:lang w:eastAsia="en-AU"/>
                    </w:rPr>
                  </w:pPr>
                  <w:r w:rsidRPr="00FB39EA">
                    <w:rPr>
                      <w:rFonts w:cs="Arial"/>
                      <w:szCs w:val="20"/>
                      <w:lang w:eastAsia="en-AU"/>
                    </w:rPr>
                    <w:t>Coen</w:t>
                  </w:r>
                </w:p>
              </w:tc>
              <w:tc>
                <w:tcPr>
                  <w:tcW w:w="766" w:type="dxa"/>
                  <w:tcBorders>
                    <w:bottom w:val="single" w:sz="4" w:space="0" w:color="auto"/>
                    <w:right w:val="single" w:sz="4" w:space="0" w:color="auto"/>
                  </w:tcBorders>
                </w:tcPr>
                <w:p w14:paraId="2F2F8453" w14:textId="1675B96A" w:rsidR="00AA2451" w:rsidRPr="00AA2451" w:rsidRDefault="00AA2451" w:rsidP="00AA2451">
                  <w:pPr>
                    <w:spacing w:after="60"/>
                    <w:jc w:val="right"/>
                    <w:rPr>
                      <w:rFonts w:cs="Arial"/>
                      <w:szCs w:val="20"/>
                      <w:lang w:eastAsia="en-AU"/>
                    </w:rPr>
                  </w:pPr>
                  <w:r w:rsidRPr="00AA2451">
                    <w:rPr>
                      <w:rFonts w:cs="Arial"/>
                      <w:szCs w:val="20"/>
                    </w:rPr>
                    <w:t>2</w:t>
                  </w:r>
                </w:p>
              </w:tc>
              <w:tc>
                <w:tcPr>
                  <w:tcW w:w="767" w:type="dxa"/>
                  <w:tcBorders>
                    <w:bottom w:val="single" w:sz="4" w:space="0" w:color="auto"/>
                    <w:right w:val="single" w:sz="4" w:space="0" w:color="auto"/>
                  </w:tcBorders>
                </w:tcPr>
                <w:p w14:paraId="4CF42CD5" w14:textId="3D56D4E0" w:rsidR="00AA2451" w:rsidRPr="00AA2451" w:rsidRDefault="00AA2451" w:rsidP="00AA2451">
                  <w:pPr>
                    <w:spacing w:after="60"/>
                    <w:jc w:val="right"/>
                    <w:rPr>
                      <w:rFonts w:cs="Arial"/>
                      <w:szCs w:val="20"/>
                      <w:lang w:eastAsia="en-AU"/>
                    </w:rPr>
                  </w:pPr>
                  <w:r w:rsidRPr="00AA2451">
                    <w:rPr>
                      <w:rFonts w:cs="Arial"/>
                      <w:szCs w:val="20"/>
                    </w:rPr>
                    <w:t>0</w:t>
                  </w:r>
                </w:p>
              </w:tc>
              <w:tc>
                <w:tcPr>
                  <w:tcW w:w="766" w:type="dxa"/>
                  <w:tcBorders>
                    <w:bottom w:val="single" w:sz="4" w:space="0" w:color="auto"/>
                    <w:right w:val="single" w:sz="4" w:space="0" w:color="auto"/>
                  </w:tcBorders>
                </w:tcPr>
                <w:p w14:paraId="4E68C88F" w14:textId="47316626" w:rsidR="00AA2451" w:rsidRPr="00AA2451" w:rsidRDefault="00AA2451" w:rsidP="00AA2451">
                  <w:pPr>
                    <w:spacing w:after="60"/>
                    <w:jc w:val="right"/>
                    <w:rPr>
                      <w:rFonts w:cs="Arial"/>
                      <w:szCs w:val="20"/>
                      <w:lang w:eastAsia="en-AU"/>
                    </w:rPr>
                  </w:pPr>
                  <w:r w:rsidRPr="00AA2451">
                    <w:rPr>
                      <w:rFonts w:cs="Arial"/>
                      <w:szCs w:val="20"/>
                    </w:rPr>
                    <w:t>1</w:t>
                  </w:r>
                </w:p>
              </w:tc>
              <w:tc>
                <w:tcPr>
                  <w:tcW w:w="767" w:type="dxa"/>
                  <w:tcBorders>
                    <w:bottom w:val="single" w:sz="4" w:space="0" w:color="auto"/>
                    <w:right w:val="single" w:sz="4" w:space="0" w:color="auto"/>
                  </w:tcBorders>
                </w:tcPr>
                <w:p w14:paraId="24E30658" w14:textId="4D28924D" w:rsidR="00AA2451" w:rsidRPr="00AA2451" w:rsidRDefault="00AA2451" w:rsidP="00AA2451">
                  <w:pPr>
                    <w:spacing w:after="60"/>
                    <w:jc w:val="right"/>
                    <w:rPr>
                      <w:rFonts w:cs="Arial"/>
                      <w:szCs w:val="20"/>
                      <w:lang w:eastAsia="en-AU"/>
                    </w:rPr>
                  </w:pPr>
                  <w:r w:rsidRPr="00AA2451">
                    <w:rPr>
                      <w:rFonts w:cs="Arial"/>
                      <w:szCs w:val="20"/>
                    </w:rPr>
                    <w:t>0</w:t>
                  </w:r>
                </w:p>
              </w:tc>
            </w:tr>
            <w:tr w:rsidR="00AA2451" w:rsidRPr="00550B7B" w14:paraId="68FB80D4" w14:textId="77777777" w:rsidTr="00B25249">
              <w:trPr>
                <w:trHeight w:val="255"/>
              </w:trPr>
              <w:tc>
                <w:tcPr>
                  <w:tcW w:w="2032" w:type="dxa"/>
                  <w:tcBorders>
                    <w:left w:val="single" w:sz="4" w:space="0" w:color="auto"/>
                    <w:bottom w:val="single" w:sz="4" w:space="0" w:color="auto"/>
                    <w:right w:val="single" w:sz="4" w:space="0" w:color="auto"/>
                  </w:tcBorders>
                  <w:noWrap/>
                  <w:vAlign w:val="bottom"/>
                </w:tcPr>
                <w:p w14:paraId="598B7590" w14:textId="77777777" w:rsidR="00AA2451" w:rsidRPr="00FB39EA" w:rsidRDefault="00AA2451" w:rsidP="00AA2451">
                  <w:pPr>
                    <w:spacing w:after="60"/>
                    <w:rPr>
                      <w:rFonts w:cs="Arial"/>
                      <w:szCs w:val="20"/>
                      <w:lang w:eastAsia="en-AU"/>
                    </w:rPr>
                  </w:pPr>
                  <w:r>
                    <w:rPr>
                      <w:rFonts w:cs="Arial"/>
                      <w:szCs w:val="20"/>
                      <w:lang w:eastAsia="en-AU"/>
                    </w:rPr>
                    <w:t>Doomadgee</w:t>
                  </w:r>
                </w:p>
              </w:tc>
              <w:tc>
                <w:tcPr>
                  <w:tcW w:w="766" w:type="dxa"/>
                  <w:tcBorders>
                    <w:bottom w:val="single" w:sz="4" w:space="0" w:color="auto"/>
                    <w:right w:val="single" w:sz="4" w:space="0" w:color="auto"/>
                  </w:tcBorders>
                </w:tcPr>
                <w:p w14:paraId="562A0794" w14:textId="28816D4A" w:rsidR="00AA2451" w:rsidRPr="00AA2451" w:rsidRDefault="00AA2451" w:rsidP="00AA2451">
                  <w:pPr>
                    <w:spacing w:after="60"/>
                    <w:jc w:val="right"/>
                    <w:rPr>
                      <w:rFonts w:cs="Arial"/>
                      <w:szCs w:val="20"/>
                      <w:lang w:eastAsia="en-AU"/>
                    </w:rPr>
                  </w:pPr>
                  <w:r w:rsidRPr="00AA2451">
                    <w:rPr>
                      <w:rFonts w:cs="Arial"/>
                      <w:szCs w:val="20"/>
                    </w:rPr>
                    <w:t>3</w:t>
                  </w:r>
                </w:p>
              </w:tc>
              <w:tc>
                <w:tcPr>
                  <w:tcW w:w="767" w:type="dxa"/>
                  <w:tcBorders>
                    <w:bottom w:val="single" w:sz="4" w:space="0" w:color="auto"/>
                    <w:right w:val="single" w:sz="4" w:space="0" w:color="auto"/>
                  </w:tcBorders>
                </w:tcPr>
                <w:p w14:paraId="257192AE" w14:textId="084A7725" w:rsidR="00AA2451" w:rsidRPr="00AA2451" w:rsidRDefault="00AA2451" w:rsidP="00AA2451">
                  <w:pPr>
                    <w:spacing w:after="60"/>
                    <w:jc w:val="right"/>
                    <w:rPr>
                      <w:rFonts w:cs="Arial"/>
                      <w:szCs w:val="20"/>
                      <w:lang w:eastAsia="en-AU"/>
                    </w:rPr>
                  </w:pPr>
                  <w:r w:rsidRPr="00AA2451">
                    <w:rPr>
                      <w:rFonts w:cs="Arial"/>
                      <w:szCs w:val="20"/>
                    </w:rPr>
                    <w:t>3</w:t>
                  </w:r>
                </w:p>
              </w:tc>
              <w:tc>
                <w:tcPr>
                  <w:tcW w:w="766" w:type="dxa"/>
                  <w:tcBorders>
                    <w:bottom w:val="single" w:sz="4" w:space="0" w:color="auto"/>
                    <w:right w:val="single" w:sz="4" w:space="0" w:color="auto"/>
                  </w:tcBorders>
                </w:tcPr>
                <w:p w14:paraId="1114F5DB" w14:textId="2BC96FF4" w:rsidR="00AA2451" w:rsidRPr="00AA2451" w:rsidRDefault="00AA2451" w:rsidP="00AA2451">
                  <w:pPr>
                    <w:spacing w:after="60"/>
                    <w:jc w:val="right"/>
                    <w:rPr>
                      <w:rFonts w:cs="Arial"/>
                      <w:szCs w:val="20"/>
                      <w:lang w:eastAsia="en-AU"/>
                    </w:rPr>
                  </w:pPr>
                  <w:r w:rsidRPr="00AA2451">
                    <w:rPr>
                      <w:rFonts w:cs="Arial"/>
                      <w:szCs w:val="20"/>
                    </w:rPr>
                    <w:t>2</w:t>
                  </w:r>
                </w:p>
              </w:tc>
              <w:tc>
                <w:tcPr>
                  <w:tcW w:w="767" w:type="dxa"/>
                  <w:tcBorders>
                    <w:bottom w:val="single" w:sz="4" w:space="0" w:color="auto"/>
                    <w:right w:val="single" w:sz="4" w:space="0" w:color="auto"/>
                  </w:tcBorders>
                </w:tcPr>
                <w:p w14:paraId="6C288176" w14:textId="69D8AF3E" w:rsidR="00AA2451" w:rsidRPr="00AA2451" w:rsidRDefault="00AA2451" w:rsidP="00AA2451">
                  <w:pPr>
                    <w:spacing w:after="60"/>
                    <w:jc w:val="right"/>
                    <w:rPr>
                      <w:rFonts w:cs="Arial"/>
                      <w:szCs w:val="20"/>
                      <w:lang w:eastAsia="en-AU"/>
                    </w:rPr>
                  </w:pPr>
                  <w:r w:rsidRPr="00AA2451">
                    <w:rPr>
                      <w:rFonts w:cs="Arial"/>
                      <w:szCs w:val="20"/>
                    </w:rPr>
                    <w:t>3</w:t>
                  </w:r>
                </w:p>
              </w:tc>
            </w:tr>
            <w:tr w:rsidR="00AA2451" w:rsidRPr="00550B7B" w14:paraId="15CA01BF" w14:textId="77777777" w:rsidTr="00B25249">
              <w:trPr>
                <w:trHeight w:val="255"/>
              </w:trPr>
              <w:tc>
                <w:tcPr>
                  <w:tcW w:w="2032" w:type="dxa"/>
                  <w:tcBorders>
                    <w:left w:val="single" w:sz="4" w:space="0" w:color="auto"/>
                    <w:bottom w:val="single" w:sz="4" w:space="0" w:color="auto"/>
                    <w:right w:val="single" w:sz="4" w:space="0" w:color="auto"/>
                  </w:tcBorders>
                  <w:noWrap/>
                  <w:vAlign w:val="bottom"/>
                  <w:hideMark/>
                </w:tcPr>
                <w:p w14:paraId="138A33B0" w14:textId="77777777" w:rsidR="00AA2451" w:rsidRPr="00FB39EA" w:rsidRDefault="00AA2451" w:rsidP="00AA2451">
                  <w:pPr>
                    <w:spacing w:after="60"/>
                    <w:rPr>
                      <w:rFonts w:cs="Arial"/>
                      <w:szCs w:val="20"/>
                      <w:lang w:eastAsia="en-AU"/>
                    </w:rPr>
                  </w:pPr>
                  <w:r w:rsidRPr="00FB39EA">
                    <w:rPr>
                      <w:rFonts w:cs="Arial"/>
                      <w:szCs w:val="20"/>
                      <w:lang w:eastAsia="en-AU"/>
                    </w:rPr>
                    <w:t>Hope Vale</w:t>
                  </w:r>
                </w:p>
              </w:tc>
              <w:tc>
                <w:tcPr>
                  <w:tcW w:w="766" w:type="dxa"/>
                  <w:tcBorders>
                    <w:bottom w:val="single" w:sz="4" w:space="0" w:color="auto"/>
                    <w:right w:val="single" w:sz="4" w:space="0" w:color="auto"/>
                  </w:tcBorders>
                </w:tcPr>
                <w:p w14:paraId="37EDA547" w14:textId="38C7C1EE" w:rsidR="00AA2451" w:rsidRPr="00AA2451" w:rsidRDefault="00AA2451" w:rsidP="00AA2451">
                  <w:pPr>
                    <w:spacing w:after="60"/>
                    <w:jc w:val="right"/>
                    <w:rPr>
                      <w:rFonts w:cs="Arial"/>
                      <w:szCs w:val="20"/>
                      <w:lang w:eastAsia="en-AU"/>
                    </w:rPr>
                  </w:pPr>
                  <w:r w:rsidRPr="00AA2451">
                    <w:rPr>
                      <w:rFonts w:cs="Arial"/>
                      <w:szCs w:val="20"/>
                    </w:rPr>
                    <w:t>1</w:t>
                  </w:r>
                </w:p>
              </w:tc>
              <w:tc>
                <w:tcPr>
                  <w:tcW w:w="767" w:type="dxa"/>
                  <w:tcBorders>
                    <w:bottom w:val="single" w:sz="4" w:space="0" w:color="auto"/>
                    <w:right w:val="single" w:sz="4" w:space="0" w:color="auto"/>
                  </w:tcBorders>
                </w:tcPr>
                <w:p w14:paraId="32EA736E" w14:textId="62678A38" w:rsidR="00AA2451" w:rsidRPr="00AA2451" w:rsidRDefault="00AA2451" w:rsidP="00AA2451">
                  <w:pPr>
                    <w:spacing w:after="60"/>
                    <w:jc w:val="right"/>
                    <w:rPr>
                      <w:rFonts w:cs="Arial"/>
                      <w:szCs w:val="20"/>
                      <w:lang w:eastAsia="en-AU"/>
                    </w:rPr>
                  </w:pPr>
                  <w:r w:rsidRPr="00AA2451">
                    <w:rPr>
                      <w:rFonts w:cs="Arial"/>
                      <w:szCs w:val="20"/>
                    </w:rPr>
                    <w:t>3</w:t>
                  </w:r>
                </w:p>
              </w:tc>
              <w:tc>
                <w:tcPr>
                  <w:tcW w:w="766" w:type="dxa"/>
                  <w:tcBorders>
                    <w:bottom w:val="single" w:sz="4" w:space="0" w:color="auto"/>
                    <w:right w:val="single" w:sz="4" w:space="0" w:color="auto"/>
                  </w:tcBorders>
                </w:tcPr>
                <w:p w14:paraId="675B063F" w14:textId="392E807A" w:rsidR="00AA2451" w:rsidRPr="00AA2451" w:rsidRDefault="00AA2451" w:rsidP="00AA2451">
                  <w:pPr>
                    <w:spacing w:after="60"/>
                    <w:jc w:val="right"/>
                    <w:rPr>
                      <w:rFonts w:cs="Arial"/>
                      <w:szCs w:val="20"/>
                      <w:lang w:eastAsia="en-AU"/>
                    </w:rPr>
                  </w:pPr>
                  <w:r w:rsidRPr="00AA2451">
                    <w:rPr>
                      <w:rFonts w:cs="Arial"/>
                      <w:szCs w:val="20"/>
                    </w:rPr>
                    <w:t>1</w:t>
                  </w:r>
                </w:p>
              </w:tc>
              <w:tc>
                <w:tcPr>
                  <w:tcW w:w="767" w:type="dxa"/>
                  <w:tcBorders>
                    <w:bottom w:val="single" w:sz="4" w:space="0" w:color="auto"/>
                    <w:right w:val="single" w:sz="4" w:space="0" w:color="auto"/>
                  </w:tcBorders>
                </w:tcPr>
                <w:p w14:paraId="2A0B7D13" w14:textId="4803A502" w:rsidR="00AA2451" w:rsidRPr="00AA2451" w:rsidRDefault="00AA2451" w:rsidP="00AA2451">
                  <w:pPr>
                    <w:spacing w:after="60"/>
                    <w:jc w:val="right"/>
                    <w:rPr>
                      <w:rFonts w:cs="Arial"/>
                      <w:szCs w:val="20"/>
                      <w:lang w:eastAsia="en-AU"/>
                    </w:rPr>
                  </w:pPr>
                  <w:r w:rsidRPr="00AA2451">
                    <w:rPr>
                      <w:rFonts w:cs="Arial"/>
                      <w:szCs w:val="20"/>
                    </w:rPr>
                    <w:t>3</w:t>
                  </w:r>
                </w:p>
              </w:tc>
            </w:tr>
            <w:tr w:rsidR="00AA2451" w:rsidRPr="00550B7B" w14:paraId="3E238482" w14:textId="77777777" w:rsidTr="00B25249">
              <w:trPr>
                <w:trHeight w:val="255"/>
              </w:trPr>
              <w:tc>
                <w:tcPr>
                  <w:tcW w:w="2032" w:type="dxa"/>
                  <w:tcBorders>
                    <w:left w:val="single" w:sz="4" w:space="0" w:color="auto"/>
                    <w:bottom w:val="single" w:sz="4" w:space="0" w:color="auto"/>
                    <w:right w:val="single" w:sz="4" w:space="0" w:color="auto"/>
                  </w:tcBorders>
                  <w:noWrap/>
                  <w:vAlign w:val="bottom"/>
                  <w:hideMark/>
                </w:tcPr>
                <w:p w14:paraId="01B1A693" w14:textId="77777777" w:rsidR="00AA2451" w:rsidRPr="00FB39EA" w:rsidRDefault="00AA2451" w:rsidP="00AA2451">
                  <w:pPr>
                    <w:spacing w:after="60"/>
                    <w:rPr>
                      <w:rFonts w:cs="Arial"/>
                      <w:szCs w:val="20"/>
                      <w:lang w:eastAsia="en-AU"/>
                    </w:rPr>
                  </w:pPr>
                  <w:r w:rsidRPr="00FB39EA">
                    <w:rPr>
                      <w:rFonts w:cs="Arial"/>
                      <w:szCs w:val="20"/>
                      <w:lang w:eastAsia="en-AU"/>
                    </w:rPr>
                    <w:t>Mossman Gorge</w:t>
                  </w:r>
                </w:p>
              </w:tc>
              <w:tc>
                <w:tcPr>
                  <w:tcW w:w="766" w:type="dxa"/>
                  <w:tcBorders>
                    <w:bottom w:val="single" w:sz="4" w:space="0" w:color="auto"/>
                    <w:right w:val="single" w:sz="4" w:space="0" w:color="auto"/>
                  </w:tcBorders>
                </w:tcPr>
                <w:p w14:paraId="175012FF" w14:textId="4EDE0BA7" w:rsidR="00AA2451" w:rsidRPr="00AA2451" w:rsidRDefault="00AA2451" w:rsidP="00AA2451">
                  <w:pPr>
                    <w:spacing w:after="60"/>
                    <w:jc w:val="right"/>
                    <w:rPr>
                      <w:rFonts w:cs="Arial"/>
                      <w:szCs w:val="20"/>
                      <w:lang w:eastAsia="en-AU"/>
                    </w:rPr>
                  </w:pPr>
                  <w:r w:rsidRPr="00AA2451">
                    <w:rPr>
                      <w:rFonts w:cs="Arial"/>
                      <w:szCs w:val="20"/>
                    </w:rPr>
                    <w:t>3</w:t>
                  </w:r>
                </w:p>
              </w:tc>
              <w:tc>
                <w:tcPr>
                  <w:tcW w:w="767" w:type="dxa"/>
                  <w:tcBorders>
                    <w:bottom w:val="single" w:sz="4" w:space="0" w:color="auto"/>
                    <w:right w:val="single" w:sz="4" w:space="0" w:color="auto"/>
                  </w:tcBorders>
                </w:tcPr>
                <w:p w14:paraId="75F57FF3" w14:textId="3771DBE9" w:rsidR="00AA2451" w:rsidRPr="00AA2451" w:rsidRDefault="00AA2451" w:rsidP="00AA2451">
                  <w:pPr>
                    <w:spacing w:after="60"/>
                    <w:jc w:val="right"/>
                    <w:rPr>
                      <w:rFonts w:cs="Arial"/>
                      <w:szCs w:val="20"/>
                      <w:lang w:eastAsia="en-AU"/>
                    </w:rPr>
                  </w:pPr>
                  <w:r w:rsidRPr="00AA2451">
                    <w:rPr>
                      <w:rFonts w:cs="Arial"/>
                      <w:szCs w:val="20"/>
                    </w:rPr>
                    <w:t>2</w:t>
                  </w:r>
                </w:p>
              </w:tc>
              <w:tc>
                <w:tcPr>
                  <w:tcW w:w="766" w:type="dxa"/>
                  <w:tcBorders>
                    <w:bottom w:val="single" w:sz="4" w:space="0" w:color="auto"/>
                    <w:right w:val="single" w:sz="4" w:space="0" w:color="auto"/>
                  </w:tcBorders>
                </w:tcPr>
                <w:p w14:paraId="663A90C6" w14:textId="260E561C" w:rsidR="00AA2451" w:rsidRPr="00AA2451" w:rsidRDefault="00AA2451" w:rsidP="00AA2451">
                  <w:pPr>
                    <w:spacing w:after="60"/>
                    <w:jc w:val="right"/>
                    <w:rPr>
                      <w:rFonts w:cs="Arial"/>
                      <w:szCs w:val="20"/>
                      <w:lang w:eastAsia="en-AU"/>
                    </w:rPr>
                  </w:pPr>
                  <w:r w:rsidRPr="00AA2451">
                    <w:rPr>
                      <w:rFonts w:cs="Arial"/>
                      <w:szCs w:val="20"/>
                    </w:rPr>
                    <w:t>1</w:t>
                  </w:r>
                </w:p>
              </w:tc>
              <w:tc>
                <w:tcPr>
                  <w:tcW w:w="767" w:type="dxa"/>
                  <w:tcBorders>
                    <w:bottom w:val="single" w:sz="4" w:space="0" w:color="auto"/>
                    <w:right w:val="single" w:sz="4" w:space="0" w:color="auto"/>
                  </w:tcBorders>
                </w:tcPr>
                <w:p w14:paraId="6FD0F3BD" w14:textId="0F0A2932" w:rsidR="00AA2451" w:rsidRPr="00AA2451" w:rsidRDefault="00AA2451" w:rsidP="00AA2451">
                  <w:pPr>
                    <w:spacing w:after="60"/>
                    <w:jc w:val="right"/>
                    <w:rPr>
                      <w:rFonts w:cs="Arial"/>
                      <w:szCs w:val="20"/>
                      <w:lang w:eastAsia="en-AU"/>
                    </w:rPr>
                  </w:pPr>
                  <w:r w:rsidRPr="00AA2451">
                    <w:rPr>
                      <w:rFonts w:cs="Arial"/>
                      <w:szCs w:val="20"/>
                    </w:rPr>
                    <w:t>1</w:t>
                  </w:r>
                </w:p>
              </w:tc>
            </w:tr>
            <w:tr w:rsidR="00AA2451" w:rsidRPr="00550B7B" w14:paraId="476CD907" w14:textId="77777777" w:rsidTr="00B25249">
              <w:trPr>
                <w:trHeight w:val="255"/>
              </w:trPr>
              <w:tc>
                <w:tcPr>
                  <w:tcW w:w="2032" w:type="dxa"/>
                  <w:tcBorders>
                    <w:left w:val="single" w:sz="4" w:space="0" w:color="auto"/>
                    <w:bottom w:val="single" w:sz="4" w:space="0" w:color="auto"/>
                    <w:right w:val="single" w:sz="4" w:space="0" w:color="auto"/>
                  </w:tcBorders>
                  <w:noWrap/>
                  <w:vAlign w:val="bottom"/>
                  <w:hideMark/>
                </w:tcPr>
                <w:p w14:paraId="739F49F6" w14:textId="77777777" w:rsidR="00AA2451" w:rsidRPr="00FB39EA" w:rsidRDefault="00AA2451" w:rsidP="00AA2451">
                  <w:pPr>
                    <w:spacing w:after="60"/>
                    <w:rPr>
                      <w:rFonts w:cs="Arial"/>
                      <w:b/>
                      <w:bCs/>
                      <w:szCs w:val="20"/>
                      <w:lang w:eastAsia="en-AU"/>
                    </w:rPr>
                  </w:pPr>
                  <w:r w:rsidRPr="00FB39EA">
                    <w:rPr>
                      <w:rFonts w:cs="Arial"/>
                      <w:b/>
                      <w:bCs/>
                      <w:szCs w:val="20"/>
                      <w:lang w:eastAsia="en-AU"/>
                    </w:rPr>
                    <w:t>TOTAL</w:t>
                  </w:r>
                </w:p>
              </w:tc>
              <w:tc>
                <w:tcPr>
                  <w:tcW w:w="766" w:type="dxa"/>
                  <w:tcBorders>
                    <w:bottom w:val="single" w:sz="4" w:space="0" w:color="auto"/>
                    <w:right w:val="single" w:sz="4" w:space="0" w:color="auto"/>
                  </w:tcBorders>
                  <w:noWrap/>
                </w:tcPr>
                <w:p w14:paraId="40E5614C" w14:textId="13DB1F69" w:rsidR="00AA2451" w:rsidRPr="00AA2451" w:rsidRDefault="00AA2451" w:rsidP="00AA2451">
                  <w:pPr>
                    <w:spacing w:after="60"/>
                    <w:jc w:val="right"/>
                    <w:rPr>
                      <w:rFonts w:cs="Arial"/>
                      <w:b/>
                      <w:bCs/>
                      <w:szCs w:val="20"/>
                      <w:lang w:eastAsia="en-AU"/>
                    </w:rPr>
                  </w:pPr>
                  <w:r w:rsidRPr="00AA2451">
                    <w:rPr>
                      <w:rFonts w:cs="Arial"/>
                      <w:b/>
                      <w:bCs/>
                      <w:szCs w:val="20"/>
                    </w:rPr>
                    <w:t>16</w:t>
                  </w:r>
                </w:p>
              </w:tc>
              <w:tc>
                <w:tcPr>
                  <w:tcW w:w="767" w:type="dxa"/>
                  <w:tcBorders>
                    <w:bottom w:val="single" w:sz="4" w:space="0" w:color="auto"/>
                    <w:right w:val="single" w:sz="4" w:space="0" w:color="auto"/>
                  </w:tcBorders>
                  <w:noWrap/>
                </w:tcPr>
                <w:p w14:paraId="3AD26F0F" w14:textId="5850B41E" w:rsidR="00AA2451" w:rsidRPr="00AA2451" w:rsidRDefault="00AA2451" w:rsidP="00AA2451">
                  <w:pPr>
                    <w:spacing w:after="60"/>
                    <w:jc w:val="right"/>
                    <w:rPr>
                      <w:rFonts w:cs="Arial"/>
                      <w:b/>
                      <w:bCs/>
                      <w:szCs w:val="20"/>
                      <w:lang w:eastAsia="en-AU"/>
                    </w:rPr>
                  </w:pPr>
                  <w:r w:rsidRPr="00AA2451">
                    <w:rPr>
                      <w:rFonts w:cs="Arial"/>
                      <w:b/>
                      <w:bCs/>
                      <w:szCs w:val="20"/>
                    </w:rPr>
                    <w:t>13</w:t>
                  </w:r>
                </w:p>
              </w:tc>
              <w:tc>
                <w:tcPr>
                  <w:tcW w:w="766" w:type="dxa"/>
                  <w:tcBorders>
                    <w:bottom w:val="single" w:sz="4" w:space="0" w:color="auto"/>
                    <w:right w:val="single" w:sz="4" w:space="0" w:color="auto"/>
                  </w:tcBorders>
                  <w:noWrap/>
                </w:tcPr>
                <w:p w14:paraId="35FB731C" w14:textId="2B1ACCD9" w:rsidR="00AA2451" w:rsidRPr="00AA2451" w:rsidRDefault="00AA2451" w:rsidP="00AA2451">
                  <w:pPr>
                    <w:spacing w:after="60"/>
                    <w:jc w:val="right"/>
                    <w:rPr>
                      <w:rFonts w:cs="Arial"/>
                      <w:b/>
                      <w:bCs/>
                      <w:szCs w:val="20"/>
                      <w:lang w:eastAsia="en-AU"/>
                    </w:rPr>
                  </w:pPr>
                  <w:r w:rsidRPr="00AA2451">
                    <w:rPr>
                      <w:rFonts w:cs="Arial"/>
                      <w:b/>
                      <w:bCs/>
                      <w:szCs w:val="20"/>
                    </w:rPr>
                    <w:t>14</w:t>
                  </w:r>
                </w:p>
              </w:tc>
              <w:tc>
                <w:tcPr>
                  <w:tcW w:w="767" w:type="dxa"/>
                  <w:tcBorders>
                    <w:bottom w:val="single" w:sz="4" w:space="0" w:color="auto"/>
                    <w:right w:val="single" w:sz="4" w:space="0" w:color="auto"/>
                  </w:tcBorders>
                  <w:noWrap/>
                </w:tcPr>
                <w:p w14:paraId="0A7BB8CA" w14:textId="3E317487" w:rsidR="00AA2451" w:rsidRPr="00AA2451" w:rsidRDefault="00AA2451" w:rsidP="00AA2451">
                  <w:pPr>
                    <w:spacing w:after="60"/>
                    <w:jc w:val="right"/>
                    <w:rPr>
                      <w:rFonts w:cs="Arial"/>
                      <w:b/>
                      <w:bCs/>
                      <w:szCs w:val="20"/>
                      <w:lang w:eastAsia="en-AU"/>
                    </w:rPr>
                  </w:pPr>
                  <w:r w:rsidRPr="00AA2451">
                    <w:rPr>
                      <w:rFonts w:cs="Arial"/>
                      <w:b/>
                      <w:bCs/>
                      <w:szCs w:val="20"/>
                    </w:rPr>
                    <w:t>13</w:t>
                  </w:r>
                </w:p>
              </w:tc>
            </w:tr>
          </w:tbl>
          <w:p w14:paraId="6F5B1349" w14:textId="38498F82" w:rsidR="00B14E5E" w:rsidRPr="00EE4DF4" w:rsidRDefault="00B14E5E" w:rsidP="00A90858">
            <w:pPr>
              <w:widowControl w:val="0"/>
              <w:autoSpaceDE w:val="0"/>
              <w:autoSpaceDN w:val="0"/>
              <w:adjustRightInd w:val="0"/>
              <w:spacing w:line="263" w:lineRule="atLeast"/>
              <w:ind w:left="720" w:hanging="720"/>
              <w:rPr>
                <w:rFonts w:ascii="Helvetica" w:hAnsi="Helvetica" w:cs="Helvetica"/>
                <w:b/>
                <w:bCs/>
                <w:sz w:val="17"/>
                <w:szCs w:val="17"/>
                <w:lang w:val="en-US"/>
              </w:rPr>
            </w:pPr>
          </w:p>
        </w:tc>
      </w:tr>
    </w:tbl>
    <w:p w14:paraId="57D013B7" w14:textId="77777777" w:rsidR="00B14E5E" w:rsidRPr="008E7494" w:rsidRDefault="00B14E5E" w:rsidP="00B14E5E"/>
    <w:p w14:paraId="64913FD3" w14:textId="77777777" w:rsidR="008B26F5" w:rsidRDefault="008B26F5" w:rsidP="003E09C0">
      <w:pPr>
        <w:rPr>
          <w:rFonts w:cs="Arial"/>
          <w:szCs w:val="20"/>
          <w:lang w:val="en-US" w:eastAsia="en-AU"/>
        </w:rPr>
        <w:sectPr w:rsidR="008B26F5" w:rsidSect="00474457">
          <w:footnotePr>
            <w:numRestart w:val="eachSect"/>
          </w:footnotePr>
          <w:pgSz w:w="11906" w:h="16838"/>
          <w:pgMar w:top="2948" w:right="567" w:bottom="567" w:left="567" w:header="0" w:footer="567" w:gutter="0"/>
          <w:cols w:space="708"/>
          <w:docGrid w:linePitch="360"/>
        </w:sectPr>
      </w:pPr>
    </w:p>
    <w:tbl>
      <w:tblPr>
        <w:tblpPr w:leftFromText="180" w:rightFromText="180" w:vertAnchor="text" w:horzAnchor="margin" w:tblpY="-128"/>
        <w:tblW w:w="11079" w:type="dxa"/>
        <w:tblLayout w:type="fixed"/>
        <w:tblLook w:val="01E0" w:firstRow="1" w:lastRow="1" w:firstColumn="1" w:lastColumn="1" w:noHBand="0" w:noVBand="0"/>
      </w:tblPr>
      <w:tblGrid>
        <w:gridCol w:w="5540"/>
        <w:gridCol w:w="5539"/>
      </w:tblGrid>
      <w:tr w:rsidR="00E0767F" w:rsidRPr="008E7494" w14:paraId="73AF226B" w14:textId="77777777" w:rsidTr="00703AF9">
        <w:tc>
          <w:tcPr>
            <w:tcW w:w="5540" w:type="dxa"/>
          </w:tcPr>
          <w:p w14:paraId="0547CAFE" w14:textId="77777777" w:rsidR="00E0767F" w:rsidRPr="009B3406" w:rsidRDefault="00E0767F" w:rsidP="009B3406">
            <w:pPr>
              <w:pStyle w:val="Heading2"/>
            </w:pPr>
            <w:r w:rsidRPr="0003150E">
              <w:lastRenderedPageBreak/>
              <w:br w:type="page"/>
            </w:r>
            <w:r w:rsidRPr="009B3406">
              <w:t>Financial summary</w:t>
            </w:r>
          </w:p>
          <w:p w14:paraId="2E43370F" w14:textId="77777777" w:rsidR="00E0767F" w:rsidRPr="0003150E" w:rsidRDefault="00E0767F" w:rsidP="00703AF9">
            <w:r w:rsidRPr="0003150E">
              <w:t>This financial overview is a summary of the financial performance and position of the Commission.</w:t>
            </w:r>
          </w:p>
          <w:p w14:paraId="63A40A8C" w14:textId="77777777" w:rsidR="00E0767F" w:rsidRPr="0003150E" w:rsidRDefault="00E0767F" w:rsidP="009B3406">
            <w:pPr>
              <w:pStyle w:val="Heading3"/>
            </w:pPr>
            <w:r w:rsidRPr="0003150E">
              <w:t>The Commission’s financial reporting framework</w:t>
            </w:r>
          </w:p>
          <w:p w14:paraId="27357D5E" w14:textId="2C60E184" w:rsidR="00E0767F" w:rsidRPr="0003150E" w:rsidRDefault="00E0767F" w:rsidP="00703AF9">
            <w:r w:rsidRPr="0003150E">
              <w:t xml:space="preserve">A comprehensive set of 2018-19 financial statements covering all aspects of the Commission’s activities commences on </w:t>
            </w:r>
            <w:r w:rsidRPr="00735500">
              <w:t xml:space="preserve">page </w:t>
            </w:r>
            <w:r w:rsidR="00E31489" w:rsidRPr="00735500">
              <w:t>82</w:t>
            </w:r>
            <w:r w:rsidRPr="00735500">
              <w:t>. These</w:t>
            </w:r>
            <w:r w:rsidRPr="0003150E">
              <w:t xml:space="preserve"> statements include explanatory notes and comparative figures for 2017-18.</w:t>
            </w:r>
          </w:p>
          <w:p w14:paraId="4A175730" w14:textId="77777777" w:rsidR="00E0767F" w:rsidRPr="0003150E" w:rsidRDefault="00E0767F" w:rsidP="00703AF9">
            <w:r w:rsidRPr="0003150E">
              <w:t>Internal audits are performed by the Executive Officer (Finance) to ensure efficiency and economy of systems and to identify financial, operational and business continuity risks. Audit results are duly reported to the Commissioner and Registrar to determine whether any remedial actions are required and to establish compliance with statutory requirements and best practice.</w:t>
            </w:r>
          </w:p>
          <w:p w14:paraId="7C78B6AF" w14:textId="77777777" w:rsidR="00E0767F" w:rsidRPr="0003150E" w:rsidRDefault="00E0767F" w:rsidP="009B3406">
            <w:pPr>
              <w:pStyle w:val="Heading3"/>
            </w:pPr>
            <w:r w:rsidRPr="0003150E">
              <w:t>Operating result</w:t>
            </w:r>
          </w:p>
          <w:p w14:paraId="3E054725" w14:textId="2448636C" w:rsidR="00E0767F" w:rsidRPr="0003150E" w:rsidRDefault="00E0767F" w:rsidP="00703AF9">
            <w:r w:rsidRPr="0003150E">
              <w:t>The operating result for 2018-19 was a deficit of $183,015.</w:t>
            </w:r>
            <w:r w:rsidR="00E6130D">
              <w:t xml:space="preserve"> As at 30 June a Memorandum of Understanding between the Queensland and Australian Governments </w:t>
            </w:r>
            <w:r w:rsidR="00080033">
              <w:t>i</w:t>
            </w:r>
            <w:r w:rsidR="00E6130D">
              <w:t xml:space="preserve">s still under negotiation in regard to Australian Government funding offered for a </w:t>
            </w:r>
            <w:proofErr w:type="gramStart"/>
            <w:r w:rsidR="00E6130D">
              <w:t>three year</w:t>
            </w:r>
            <w:proofErr w:type="gramEnd"/>
            <w:r w:rsidR="00E6130D">
              <w:t xml:space="preserve"> term from January 2019.</w:t>
            </w:r>
          </w:p>
          <w:p w14:paraId="6B871BBF" w14:textId="77777777" w:rsidR="00E0767F" w:rsidRPr="009B3406" w:rsidRDefault="00E0767F" w:rsidP="009B3406">
            <w:pPr>
              <w:pStyle w:val="Heading3"/>
            </w:pPr>
            <w:r w:rsidRPr="009B3406">
              <w:t>Summarised statement of comprehensive income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34"/>
              <w:gridCol w:w="930"/>
              <w:gridCol w:w="993"/>
            </w:tblGrid>
            <w:tr w:rsidR="00E0767F" w:rsidRPr="0003150E" w14:paraId="22F92E87" w14:textId="77777777" w:rsidTr="00703AF9">
              <w:trPr>
                <w:trHeight w:val="440"/>
              </w:trPr>
              <w:tc>
                <w:tcPr>
                  <w:tcW w:w="3034"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9406F44" w14:textId="77777777" w:rsidR="00E0767F" w:rsidRPr="0003150E" w:rsidRDefault="00E0767F" w:rsidP="00355550">
                  <w:pPr>
                    <w:framePr w:hSpace="180" w:wrap="around" w:vAnchor="text" w:hAnchor="margin" w:y="-128"/>
                    <w:spacing w:after="0"/>
                    <w:rPr>
                      <w:b/>
                    </w:rPr>
                  </w:pPr>
                  <w:r w:rsidRPr="0003150E">
                    <w:rPr>
                      <w:b/>
                    </w:rPr>
                    <w:t>Summary statement</w:t>
                  </w:r>
                </w:p>
              </w:tc>
              <w:tc>
                <w:tcPr>
                  <w:tcW w:w="930" w:type="dxa"/>
                  <w:tcBorders>
                    <w:top w:val="single" w:sz="4" w:space="0" w:color="auto"/>
                    <w:left w:val="single" w:sz="4" w:space="0" w:color="auto"/>
                    <w:right w:val="single" w:sz="4" w:space="0" w:color="auto"/>
                  </w:tcBorders>
                  <w:tcMar>
                    <w:top w:w="80" w:type="dxa"/>
                    <w:left w:w="80" w:type="dxa"/>
                    <w:bottom w:w="80" w:type="dxa"/>
                    <w:right w:w="80" w:type="dxa"/>
                  </w:tcMar>
                </w:tcPr>
                <w:p w14:paraId="77F9475C" w14:textId="77777777" w:rsidR="00E0767F" w:rsidRPr="0003150E" w:rsidRDefault="00E0767F" w:rsidP="00355550">
                  <w:pPr>
                    <w:framePr w:hSpace="180" w:wrap="around" w:vAnchor="text" w:hAnchor="margin" w:y="-128"/>
                    <w:spacing w:after="0" w:line="240" w:lineRule="auto"/>
                    <w:jc w:val="right"/>
                    <w:rPr>
                      <w:b/>
                    </w:rPr>
                  </w:pPr>
                  <w:r w:rsidRPr="0003150E">
                    <w:rPr>
                      <w:b/>
                    </w:rPr>
                    <w:t>30 Jun 2019</w:t>
                  </w:r>
                </w:p>
              </w:tc>
              <w:tc>
                <w:tcPr>
                  <w:tcW w:w="993" w:type="dxa"/>
                  <w:tcBorders>
                    <w:top w:val="single" w:sz="4" w:space="0" w:color="auto"/>
                    <w:left w:val="single" w:sz="4" w:space="0" w:color="auto"/>
                    <w:right w:val="single" w:sz="4" w:space="0" w:color="auto"/>
                  </w:tcBorders>
                  <w:tcMar>
                    <w:top w:w="80" w:type="dxa"/>
                    <w:left w:w="80" w:type="dxa"/>
                    <w:bottom w:w="80" w:type="dxa"/>
                    <w:right w:w="80" w:type="dxa"/>
                  </w:tcMar>
                </w:tcPr>
                <w:p w14:paraId="31339573" w14:textId="77777777" w:rsidR="00E0767F" w:rsidRPr="0003150E" w:rsidRDefault="00E0767F" w:rsidP="00355550">
                  <w:pPr>
                    <w:framePr w:hSpace="180" w:wrap="around" w:vAnchor="text" w:hAnchor="margin" w:y="-128"/>
                    <w:spacing w:after="0" w:line="240" w:lineRule="auto"/>
                    <w:jc w:val="right"/>
                    <w:rPr>
                      <w:b/>
                    </w:rPr>
                  </w:pPr>
                  <w:r w:rsidRPr="0003150E">
                    <w:rPr>
                      <w:b/>
                    </w:rPr>
                    <w:t>30 Jun 2018</w:t>
                  </w:r>
                </w:p>
              </w:tc>
            </w:tr>
            <w:tr w:rsidR="00E0767F" w:rsidRPr="0003150E" w14:paraId="19A89BD7" w14:textId="77777777" w:rsidTr="00703AF9">
              <w:trPr>
                <w:trHeight w:val="20"/>
              </w:trPr>
              <w:tc>
                <w:tcPr>
                  <w:tcW w:w="3034"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C7AAB09" w14:textId="77777777" w:rsidR="00E0767F" w:rsidRPr="0003150E" w:rsidRDefault="00E0767F" w:rsidP="00355550">
                  <w:pPr>
                    <w:framePr w:hSpace="180" w:wrap="around" w:vAnchor="text" w:hAnchor="margin" w:y="-128"/>
                    <w:spacing w:after="0"/>
                    <w:rPr>
                      <w:b/>
                    </w:rPr>
                  </w:pPr>
                </w:p>
              </w:tc>
              <w:tc>
                <w:tcPr>
                  <w:tcW w:w="930" w:type="dxa"/>
                  <w:tcBorders>
                    <w:left w:val="single" w:sz="4" w:space="0" w:color="auto"/>
                    <w:bottom w:val="single" w:sz="4" w:space="0" w:color="auto"/>
                    <w:right w:val="single" w:sz="4" w:space="0" w:color="auto"/>
                  </w:tcBorders>
                  <w:tcMar>
                    <w:top w:w="80" w:type="dxa"/>
                    <w:left w:w="80" w:type="dxa"/>
                    <w:bottom w:w="80" w:type="dxa"/>
                    <w:right w:w="80" w:type="dxa"/>
                  </w:tcMar>
                </w:tcPr>
                <w:p w14:paraId="190068BD" w14:textId="77777777" w:rsidR="00E0767F" w:rsidRPr="0003150E" w:rsidRDefault="00E0767F" w:rsidP="00355550">
                  <w:pPr>
                    <w:framePr w:hSpace="180" w:wrap="around" w:vAnchor="text" w:hAnchor="margin" w:y="-128"/>
                    <w:spacing w:after="0" w:line="240" w:lineRule="auto"/>
                    <w:jc w:val="right"/>
                    <w:rPr>
                      <w:b/>
                    </w:rPr>
                  </w:pPr>
                  <w:r w:rsidRPr="0003150E">
                    <w:rPr>
                      <w:b/>
                    </w:rPr>
                    <w:t>$000</w:t>
                  </w:r>
                </w:p>
              </w:tc>
              <w:tc>
                <w:tcPr>
                  <w:tcW w:w="993" w:type="dxa"/>
                  <w:tcBorders>
                    <w:left w:val="single" w:sz="4" w:space="0" w:color="auto"/>
                    <w:bottom w:val="single" w:sz="4" w:space="0" w:color="auto"/>
                    <w:right w:val="single" w:sz="4" w:space="0" w:color="auto"/>
                  </w:tcBorders>
                  <w:tcMar>
                    <w:top w:w="80" w:type="dxa"/>
                    <w:left w:w="80" w:type="dxa"/>
                    <w:bottom w:w="80" w:type="dxa"/>
                    <w:right w:w="80" w:type="dxa"/>
                  </w:tcMar>
                </w:tcPr>
                <w:p w14:paraId="3FBEE6CA" w14:textId="77777777" w:rsidR="00E0767F" w:rsidRPr="0003150E" w:rsidRDefault="00E0767F" w:rsidP="00355550">
                  <w:pPr>
                    <w:framePr w:hSpace="180" w:wrap="around" w:vAnchor="text" w:hAnchor="margin" w:y="-128"/>
                    <w:spacing w:after="0" w:line="240" w:lineRule="auto"/>
                    <w:jc w:val="right"/>
                    <w:rPr>
                      <w:b/>
                    </w:rPr>
                  </w:pPr>
                  <w:r w:rsidRPr="0003150E">
                    <w:rPr>
                      <w:b/>
                    </w:rPr>
                    <w:t>$000</w:t>
                  </w:r>
                </w:p>
              </w:tc>
            </w:tr>
            <w:tr w:rsidR="00E0767F" w:rsidRPr="0003150E" w14:paraId="0A9B5B93" w14:textId="77777777" w:rsidTr="00703AF9">
              <w:trPr>
                <w:trHeight w:val="284"/>
              </w:trPr>
              <w:tc>
                <w:tcPr>
                  <w:tcW w:w="30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46F5361" w14:textId="77777777" w:rsidR="00E0767F" w:rsidRPr="0003150E" w:rsidRDefault="00E0767F" w:rsidP="00355550">
                  <w:pPr>
                    <w:framePr w:hSpace="180" w:wrap="around" w:vAnchor="text" w:hAnchor="margin" w:y="-128"/>
                    <w:spacing w:after="0"/>
                  </w:pPr>
                  <w:r w:rsidRPr="0003150E">
                    <w:t>Income</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DDEACFE" w14:textId="77777777" w:rsidR="00E0767F" w:rsidRPr="0003150E" w:rsidRDefault="00E0767F" w:rsidP="00355550">
                  <w:pPr>
                    <w:framePr w:hSpace="180" w:wrap="around" w:vAnchor="text" w:hAnchor="margin" w:y="-128"/>
                    <w:spacing w:after="0"/>
                    <w:jc w:val="right"/>
                  </w:pPr>
                  <w:r w:rsidRPr="0003150E">
                    <w:t>3,334</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29F76C0" w14:textId="77777777" w:rsidR="00E0767F" w:rsidRPr="0003150E" w:rsidRDefault="00E0767F" w:rsidP="00355550">
                  <w:pPr>
                    <w:framePr w:hSpace="180" w:wrap="around" w:vAnchor="text" w:hAnchor="margin" w:y="-128"/>
                    <w:spacing w:after="0"/>
                    <w:jc w:val="right"/>
                  </w:pPr>
                  <w:r w:rsidRPr="0003150E">
                    <w:t>3,991</w:t>
                  </w:r>
                </w:p>
              </w:tc>
            </w:tr>
            <w:tr w:rsidR="00E0767F" w:rsidRPr="0003150E" w14:paraId="3DEFA674" w14:textId="77777777" w:rsidTr="00703AF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514D63F" w14:textId="77777777" w:rsidR="00E0767F" w:rsidRPr="0003150E" w:rsidRDefault="00E0767F" w:rsidP="00355550">
                  <w:pPr>
                    <w:framePr w:hSpace="180" w:wrap="around" w:vAnchor="text" w:hAnchor="margin" w:y="-128"/>
                    <w:spacing w:after="0"/>
                  </w:pPr>
                  <w:r w:rsidRPr="0003150E">
                    <w:t>Less: expenses</w:t>
                  </w:r>
                </w:p>
              </w:tc>
              <w:tc>
                <w:tcPr>
                  <w:tcW w:w="9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B6BD913" w14:textId="77777777" w:rsidR="00E0767F" w:rsidRPr="0003150E" w:rsidRDefault="00E0767F" w:rsidP="00355550">
                  <w:pPr>
                    <w:framePr w:hSpace="180" w:wrap="around" w:vAnchor="text" w:hAnchor="margin" w:y="-128"/>
                    <w:spacing w:after="0"/>
                    <w:jc w:val="right"/>
                  </w:pPr>
                  <w:r w:rsidRPr="0003150E">
                    <w:t>3,517</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3736B7E" w14:textId="77777777" w:rsidR="00E0767F" w:rsidRPr="0003150E" w:rsidRDefault="00E0767F" w:rsidP="00355550">
                  <w:pPr>
                    <w:framePr w:hSpace="180" w:wrap="around" w:vAnchor="text" w:hAnchor="margin" w:y="-128"/>
                    <w:spacing w:after="0"/>
                    <w:jc w:val="right"/>
                  </w:pPr>
                  <w:r w:rsidRPr="0003150E">
                    <w:t>3,811</w:t>
                  </w:r>
                </w:p>
              </w:tc>
            </w:tr>
            <w:tr w:rsidR="00E0767F" w:rsidRPr="0003150E" w14:paraId="098BA02E" w14:textId="77777777" w:rsidTr="00703AF9">
              <w:trPr>
                <w:trHeight w:val="60"/>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DD17646" w14:textId="77777777" w:rsidR="00E0767F" w:rsidRPr="0003150E" w:rsidRDefault="00E0767F" w:rsidP="00355550">
                  <w:pPr>
                    <w:framePr w:hSpace="180" w:wrap="around" w:vAnchor="text" w:hAnchor="margin" w:y="-128"/>
                    <w:spacing w:after="0"/>
                  </w:pPr>
                  <w:r w:rsidRPr="0003150E">
                    <w:t>Operating result for financial year – (deficit)/surplus</w:t>
                  </w:r>
                </w:p>
              </w:tc>
              <w:tc>
                <w:tcPr>
                  <w:tcW w:w="9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7B335DE" w14:textId="77777777" w:rsidR="00E0767F" w:rsidRPr="0003150E" w:rsidRDefault="00E0767F" w:rsidP="00355550">
                  <w:pPr>
                    <w:framePr w:hSpace="180" w:wrap="around" w:vAnchor="text" w:hAnchor="margin" w:y="-128"/>
                    <w:spacing w:after="0"/>
                    <w:jc w:val="right"/>
                  </w:pPr>
                  <w:r w:rsidRPr="0003150E">
                    <w:t>(183)</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12668B5" w14:textId="77777777" w:rsidR="00E0767F" w:rsidRPr="0003150E" w:rsidRDefault="00E0767F" w:rsidP="00355550">
                  <w:pPr>
                    <w:framePr w:hSpace="180" w:wrap="around" w:vAnchor="text" w:hAnchor="margin" w:y="-128"/>
                    <w:spacing w:after="0"/>
                    <w:jc w:val="right"/>
                  </w:pPr>
                  <w:r w:rsidRPr="0003150E">
                    <w:t>180</w:t>
                  </w:r>
                </w:p>
              </w:tc>
            </w:tr>
          </w:tbl>
          <w:p w14:paraId="0AF1D015" w14:textId="63A495D8" w:rsidR="0006609B" w:rsidRDefault="0006609B" w:rsidP="009B3406">
            <w:pPr>
              <w:pStyle w:val="Heading3"/>
              <w:spacing w:before="120"/>
            </w:pPr>
            <w:r w:rsidRPr="0003150E">
              <w:t>Income</w:t>
            </w:r>
          </w:p>
          <w:p w14:paraId="2F4369B9" w14:textId="77777777" w:rsidR="00E27572" w:rsidRPr="0003150E" w:rsidRDefault="00E27572" w:rsidP="00E27572">
            <w:pPr>
              <w:spacing w:before="120"/>
            </w:pPr>
            <w:r w:rsidRPr="0003150E">
              <w:t xml:space="preserve">The increase in State Government funding is due to the return of surplus funds of $165,000 in 2017-18 together with a </w:t>
            </w:r>
            <w:r>
              <w:t>Consumer Price Index</w:t>
            </w:r>
            <w:r w:rsidRPr="0003150E">
              <w:t xml:space="preserve"> increase in 2018-19. The Australian Government provided funding only for the period July 2018 to December 2018 therefore a reduction on the prior year. The increase in other revenue is primarily due to the recoupment by the Commission of prior year expenditure of $15,000 and an increase in interest received.</w:t>
            </w:r>
          </w:p>
          <w:p w14:paraId="4C3849FB" w14:textId="77777777" w:rsidR="00E0767F" w:rsidRPr="0003150E" w:rsidRDefault="00E0767F" w:rsidP="00703AF9"/>
        </w:tc>
        <w:tc>
          <w:tcPr>
            <w:tcW w:w="5539"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34"/>
              <w:gridCol w:w="964"/>
              <w:gridCol w:w="992"/>
            </w:tblGrid>
            <w:tr w:rsidR="00A064D1" w:rsidRPr="0003150E" w14:paraId="48D6C85F" w14:textId="77777777" w:rsidTr="003A0009">
              <w:trPr>
                <w:trHeight w:val="227"/>
              </w:trPr>
              <w:tc>
                <w:tcPr>
                  <w:tcW w:w="3034"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C29439B" w14:textId="77777777" w:rsidR="00A064D1" w:rsidRPr="0003150E" w:rsidRDefault="00A064D1" w:rsidP="00355550">
                  <w:pPr>
                    <w:framePr w:hSpace="180" w:wrap="around" w:vAnchor="text" w:hAnchor="margin" w:y="-128"/>
                    <w:spacing w:after="0"/>
                    <w:rPr>
                      <w:b/>
                    </w:rPr>
                  </w:pPr>
                  <w:r w:rsidRPr="0003150E">
                    <w:rPr>
                      <w:b/>
                    </w:rPr>
                    <w:t>Income by type</w:t>
                  </w:r>
                </w:p>
              </w:tc>
              <w:tc>
                <w:tcPr>
                  <w:tcW w:w="964" w:type="dxa"/>
                  <w:tcBorders>
                    <w:top w:val="single" w:sz="4" w:space="0" w:color="auto"/>
                    <w:left w:val="single" w:sz="4" w:space="0" w:color="auto"/>
                    <w:right w:val="single" w:sz="4" w:space="0" w:color="auto"/>
                  </w:tcBorders>
                  <w:tcMar>
                    <w:top w:w="80" w:type="dxa"/>
                    <w:left w:w="80" w:type="dxa"/>
                    <w:bottom w:w="80" w:type="dxa"/>
                    <w:right w:w="80" w:type="dxa"/>
                  </w:tcMar>
                </w:tcPr>
                <w:p w14:paraId="06139530" w14:textId="77777777" w:rsidR="00A064D1" w:rsidRPr="0003150E" w:rsidRDefault="00A064D1" w:rsidP="00355550">
                  <w:pPr>
                    <w:framePr w:hSpace="180" w:wrap="around" w:vAnchor="text" w:hAnchor="margin" w:y="-128"/>
                    <w:spacing w:after="0" w:line="240" w:lineRule="auto"/>
                    <w:jc w:val="right"/>
                    <w:rPr>
                      <w:b/>
                    </w:rPr>
                  </w:pPr>
                  <w:r w:rsidRPr="0003150E">
                    <w:rPr>
                      <w:b/>
                    </w:rPr>
                    <w:t>30 Jun 2019</w:t>
                  </w:r>
                </w:p>
              </w:tc>
              <w:tc>
                <w:tcPr>
                  <w:tcW w:w="992" w:type="dxa"/>
                  <w:tcBorders>
                    <w:top w:val="single" w:sz="4" w:space="0" w:color="auto"/>
                    <w:left w:val="single" w:sz="4" w:space="0" w:color="auto"/>
                    <w:right w:val="single" w:sz="4" w:space="0" w:color="auto"/>
                  </w:tcBorders>
                  <w:tcMar>
                    <w:top w:w="80" w:type="dxa"/>
                    <w:left w:w="80" w:type="dxa"/>
                    <w:bottom w:w="80" w:type="dxa"/>
                    <w:right w:w="80" w:type="dxa"/>
                  </w:tcMar>
                </w:tcPr>
                <w:p w14:paraId="384EF9ED" w14:textId="77777777" w:rsidR="00A064D1" w:rsidRPr="0003150E" w:rsidRDefault="00A064D1" w:rsidP="00355550">
                  <w:pPr>
                    <w:framePr w:hSpace="180" w:wrap="around" w:vAnchor="text" w:hAnchor="margin" w:y="-128"/>
                    <w:spacing w:after="0" w:line="240" w:lineRule="auto"/>
                    <w:jc w:val="right"/>
                    <w:rPr>
                      <w:b/>
                    </w:rPr>
                  </w:pPr>
                  <w:r w:rsidRPr="0003150E">
                    <w:rPr>
                      <w:b/>
                    </w:rPr>
                    <w:t xml:space="preserve">30 Jun 2018 </w:t>
                  </w:r>
                </w:p>
              </w:tc>
            </w:tr>
            <w:tr w:rsidR="00A064D1" w:rsidRPr="0003150E" w14:paraId="35FE75AF" w14:textId="77777777" w:rsidTr="003A0009">
              <w:trPr>
                <w:trHeight w:val="227"/>
              </w:trPr>
              <w:tc>
                <w:tcPr>
                  <w:tcW w:w="3034"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2D1C517" w14:textId="77777777" w:rsidR="00A064D1" w:rsidRPr="0003150E" w:rsidRDefault="00A064D1" w:rsidP="00355550">
                  <w:pPr>
                    <w:framePr w:hSpace="180" w:wrap="around" w:vAnchor="text" w:hAnchor="margin" w:y="-128"/>
                    <w:spacing w:after="0"/>
                    <w:rPr>
                      <w:b/>
                    </w:rPr>
                  </w:pPr>
                </w:p>
              </w:tc>
              <w:tc>
                <w:tcPr>
                  <w:tcW w:w="964" w:type="dxa"/>
                  <w:tcBorders>
                    <w:left w:val="single" w:sz="4" w:space="0" w:color="auto"/>
                    <w:bottom w:val="single" w:sz="4" w:space="0" w:color="auto"/>
                    <w:right w:val="single" w:sz="4" w:space="0" w:color="auto"/>
                  </w:tcBorders>
                  <w:tcMar>
                    <w:top w:w="80" w:type="dxa"/>
                    <w:left w:w="80" w:type="dxa"/>
                    <w:bottom w:w="80" w:type="dxa"/>
                    <w:right w:w="80" w:type="dxa"/>
                  </w:tcMar>
                </w:tcPr>
                <w:p w14:paraId="748308BA" w14:textId="77777777" w:rsidR="00A064D1" w:rsidRPr="0003150E" w:rsidRDefault="00A064D1" w:rsidP="00355550">
                  <w:pPr>
                    <w:framePr w:hSpace="180" w:wrap="around" w:vAnchor="text" w:hAnchor="margin" w:y="-128"/>
                    <w:spacing w:after="0" w:line="240" w:lineRule="auto"/>
                    <w:jc w:val="right"/>
                    <w:rPr>
                      <w:b/>
                    </w:rPr>
                  </w:pPr>
                  <w:r w:rsidRPr="0003150E">
                    <w:rPr>
                      <w:b/>
                    </w:rPr>
                    <w:t>$000</w:t>
                  </w:r>
                </w:p>
              </w:tc>
              <w:tc>
                <w:tcPr>
                  <w:tcW w:w="992" w:type="dxa"/>
                  <w:tcBorders>
                    <w:left w:val="single" w:sz="4" w:space="0" w:color="auto"/>
                    <w:bottom w:val="single" w:sz="4" w:space="0" w:color="auto"/>
                    <w:right w:val="single" w:sz="4" w:space="0" w:color="auto"/>
                  </w:tcBorders>
                  <w:tcMar>
                    <w:top w:w="80" w:type="dxa"/>
                    <w:left w:w="80" w:type="dxa"/>
                    <w:bottom w:w="80" w:type="dxa"/>
                    <w:right w:w="80" w:type="dxa"/>
                  </w:tcMar>
                </w:tcPr>
                <w:p w14:paraId="61F2ADB2" w14:textId="77777777" w:rsidR="00A064D1" w:rsidRPr="0003150E" w:rsidRDefault="00A064D1" w:rsidP="00355550">
                  <w:pPr>
                    <w:framePr w:hSpace="180" w:wrap="around" w:vAnchor="text" w:hAnchor="margin" w:y="-128"/>
                    <w:spacing w:after="0" w:line="240" w:lineRule="auto"/>
                    <w:jc w:val="right"/>
                    <w:rPr>
                      <w:b/>
                    </w:rPr>
                  </w:pPr>
                  <w:r w:rsidRPr="0003150E">
                    <w:rPr>
                      <w:b/>
                    </w:rPr>
                    <w:t>$000</w:t>
                  </w:r>
                </w:p>
              </w:tc>
            </w:tr>
            <w:tr w:rsidR="00A064D1" w:rsidRPr="0003150E" w14:paraId="0009131D" w14:textId="77777777" w:rsidTr="003A000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DF58340" w14:textId="77777777" w:rsidR="00A064D1" w:rsidRPr="0003150E" w:rsidRDefault="00A064D1" w:rsidP="00355550">
                  <w:pPr>
                    <w:framePr w:hSpace="180" w:wrap="around" w:vAnchor="text" w:hAnchor="margin" w:y="-128"/>
                    <w:spacing w:after="0"/>
                  </w:pPr>
                  <w:r w:rsidRPr="0003150E">
                    <w:t>State Government funding</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EB935CB" w14:textId="77777777" w:rsidR="00A064D1" w:rsidRPr="0003150E" w:rsidRDefault="00A064D1" w:rsidP="00355550">
                  <w:pPr>
                    <w:framePr w:hSpace="180" w:wrap="around" w:vAnchor="text" w:hAnchor="margin" w:y="-128"/>
                    <w:spacing w:after="0"/>
                    <w:jc w:val="right"/>
                  </w:pPr>
                  <w:r w:rsidRPr="0003150E">
                    <w:t>1,744</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2519D37" w14:textId="77777777" w:rsidR="00A064D1" w:rsidRPr="0003150E" w:rsidRDefault="00A064D1" w:rsidP="00355550">
                  <w:pPr>
                    <w:framePr w:hSpace="180" w:wrap="around" w:vAnchor="text" w:hAnchor="margin" w:y="-128"/>
                    <w:spacing w:after="0"/>
                    <w:jc w:val="right"/>
                  </w:pPr>
                  <w:r w:rsidRPr="0003150E">
                    <w:t>1,522</w:t>
                  </w:r>
                </w:p>
              </w:tc>
            </w:tr>
            <w:tr w:rsidR="00A064D1" w:rsidRPr="0003150E" w14:paraId="4C538BD2" w14:textId="77777777" w:rsidTr="003A000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72EE1A0" w14:textId="77777777" w:rsidR="00A064D1" w:rsidRPr="0003150E" w:rsidRDefault="00A064D1" w:rsidP="00355550">
                  <w:pPr>
                    <w:framePr w:hSpace="180" w:wrap="around" w:vAnchor="text" w:hAnchor="margin" w:y="-128"/>
                    <w:spacing w:after="0"/>
                  </w:pPr>
                  <w:r w:rsidRPr="0003150E">
                    <w:t>Australian Government funding</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C92A9C4" w14:textId="77777777" w:rsidR="00A064D1" w:rsidRPr="0003150E" w:rsidRDefault="00A064D1" w:rsidP="00355550">
                  <w:pPr>
                    <w:framePr w:hSpace="180" w:wrap="around" w:vAnchor="text" w:hAnchor="margin" w:y="-128"/>
                    <w:spacing w:after="0"/>
                    <w:jc w:val="right"/>
                  </w:pPr>
                  <w:r w:rsidRPr="0003150E">
                    <w:t>900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187A863" w14:textId="77777777" w:rsidR="00A064D1" w:rsidRPr="0003150E" w:rsidRDefault="00A064D1" w:rsidP="00355550">
                  <w:pPr>
                    <w:framePr w:hSpace="180" w:wrap="around" w:vAnchor="text" w:hAnchor="margin" w:y="-128"/>
                    <w:spacing w:after="0"/>
                    <w:jc w:val="right"/>
                  </w:pPr>
                  <w:r w:rsidRPr="0003150E">
                    <w:t>1,800</w:t>
                  </w:r>
                </w:p>
              </w:tc>
            </w:tr>
            <w:tr w:rsidR="00A064D1" w:rsidRPr="0003150E" w14:paraId="05A8B38D" w14:textId="77777777" w:rsidTr="003A000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C27D76C" w14:textId="77777777" w:rsidR="00A064D1" w:rsidRPr="0003150E" w:rsidRDefault="00A064D1" w:rsidP="00355550">
                  <w:pPr>
                    <w:framePr w:hSpace="180" w:wrap="around" w:vAnchor="text" w:hAnchor="margin" w:y="-128"/>
                    <w:spacing w:after="0"/>
                  </w:pPr>
                  <w:r w:rsidRPr="0003150E">
                    <w:t>Doomadgee funding - (QLD State)</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F803142" w14:textId="77777777" w:rsidR="00A064D1" w:rsidRPr="0003150E" w:rsidRDefault="00A064D1" w:rsidP="00355550">
                  <w:pPr>
                    <w:framePr w:hSpace="180" w:wrap="around" w:vAnchor="text" w:hAnchor="margin" w:y="-128"/>
                    <w:spacing w:after="0"/>
                    <w:jc w:val="right"/>
                  </w:pPr>
                  <w:r w:rsidRPr="0003150E">
                    <w:t>626</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3EEA7D0" w14:textId="77777777" w:rsidR="00A064D1" w:rsidRPr="0003150E" w:rsidRDefault="00A064D1" w:rsidP="00355550">
                  <w:pPr>
                    <w:framePr w:hSpace="180" w:wrap="around" w:vAnchor="text" w:hAnchor="margin" w:y="-128"/>
                    <w:spacing w:after="0"/>
                    <w:jc w:val="right"/>
                  </w:pPr>
                  <w:r w:rsidRPr="0003150E">
                    <w:t>626</w:t>
                  </w:r>
                </w:p>
              </w:tc>
            </w:tr>
            <w:tr w:rsidR="00A064D1" w:rsidRPr="0003150E" w14:paraId="1CC9194A" w14:textId="77777777" w:rsidTr="003A000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3FCEBA9" w14:textId="77777777" w:rsidR="00A064D1" w:rsidRPr="0003150E" w:rsidRDefault="00A064D1" w:rsidP="00355550">
                  <w:pPr>
                    <w:framePr w:hSpace="180" w:wrap="around" w:vAnchor="text" w:hAnchor="margin" w:y="-128"/>
                    <w:spacing w:after="0"/>
                  </w:pPr>
                  <w:r w:rsidRPr="0003150E">
                    <w:t xml:space="preserve">Other revenue </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8E97828" w14:textId="77777777" w:rsidR="00A064D1" w:rsidRPr="0003150E" w:rsidRDefault="00A064D1" w:rsidP="00355550">
                  <w:pPr>
                    <w:framePr w:hSpace="180" w:wrap="around" w:vAnchor="text" w:hAnchor="margin" w:y="-128"/>
                    <w:spacing w:after="0"/>
                    <w:jc w:val="right"/>
                  </w:pPr>
                  <w:r w:rsidRPr="0003150E">
                    <w:t>64</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FB34E20" w14:textId="77777777" w:rsidR="00A064D1" w:rsidRPr="0003150E" w:rsidRDefault="00A064D1" w:rsidP="00355550">
                  <w:pPr>
                    <w:framePr w:hSpace="180" w:wrap="around" w:vAnchor="text" w:hAnchor="margin" w:y="-128"/>
                    <w:spacing w:after="0"/>
                    <w:jc w:val="right"/>
                  </w:pPr>
                  <w:r w:rsidRPr="0003150E">
                    <w:t>43</w:t>
                  </w:r>
                </w:p>
              </w:tc>
            </w:tr>
            <w:tr w:rsidR="00A064D1" w:rsidRPr="0003150E" w14:paraId="2151A0EA" w14:textId="77777777" w:rsidTr="003A000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9DBE281" w14:textId="77777777" w:rsidR="00A064D1" w:rsidRPr="0003150E" w:rsidRDefault="00A064D1" w:rsidP="00355550">
                  <w:pPr>
                    <w:framePr w:hSpace="180" w:wrap="around" w:vAnchor="text" w:hAnchor="margin" w:y="-128"/>
                    <w:spacing w:after="0"/>
                    <w:rPr>
                      <w:b/>
                    </w:rPr>
                  </w:pPr>
                  <w:r w:rsidRPr="0003150E">
                    <w:rPr>
                      <w:b/>
                    </w:rPr>
                    <w:t>Total</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38D58AA" w14:textId="77777777" w:rsidR="00A064D1" w:rsidRPr="0003150E" w:rsidRDefault="00A064D1" w:rsidP="00355550">
                  <w:pPr>
                    <w:framePr w:hSpace="180" w:wrap="around" w:vAnchor="text" w:hAnchor="margin" w:y="-128"/>
                    <w:spacing w:after="0"/>
                    <w:jc w:val="right"/>
                    <w:rPr>
                      <w:b/>
                    </w:rPr>
                  </w:pPr>
                  <w:r w:rsidRPr="0003150E">
                    <w:rPr>
                      <w:b/>
                    </w:rPr>
                    <w:t>3,334</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08F3784" w14:textId="77777777" w:rsidR="00A064D1" w:rsidRPr="0003150E" w:rsidRDefault="00A064D1" w:rsidP="00355550">
                  <w:pPr>
                    <w:framePr w:hSpace="180" w:wrap="around" w:vAnchor="text" w:hAnchor="margin" w:y="-128"/>
                    <w:spacing w:after="0"/>
                    <w:jc w:val="right"/>
                    <w:rPr>
                      <w:b/>
                    </w:rPr>
                  </w:pPr>
                  <w:r w:rsidRPr="0003150E">
                    <w:rPr>
                      <w:b/>
                    </w:rPr>
                    <w:t>3,991</w:t>
                  </w:r>
                </w:p>
              </w:tc>
            </w:tr>
          </w:tbl>
          <w:p w14:paraId="201919AF" w14:textId="77777777" w:rsidR="00E0767F" w:rsidRPr="0003150E" w:rsidRDefault="00E0767F" w:rsidP="009B3406">
            <w:pPr>
              <w:pStyle w:val="Heading3"/>
              <w:spacing w:before="120"/>
            </w:pPr>
            <w:r w:rsidRPr="0003150E">
              <w:t>Expenses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34"/>
              <w:gridCol w:w="964"/>
              <w:gridCol w:w="992"/>
            </w:tblGrid>
            <w:tr w:rsidR="00E0767F" w:rsidRPr="0003150E" w14:paraId="53608FE1" w14:textId="77777777" w:rsidTr="00703AF9">
              <w:trPr>
                <w:trHeight w:val="227"/>
              </w:trPr>
              <w:tc>
                <w:tcPr>
                  <w:tcW w:w="3034"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DFB02CC" w14:textId="77777777" w:rsidR="00E0767F" w:rsidRPr="0003150E" w:rsidRDefault="00E0767F" w:rsidP="00355550">
                  <w:pPr>
                    <w:framePr w:hSpace="180" w:wrap="around" w:vAnchor="text" w:hAnchor="margin" w:y="-128"/>
                    <w:spacing w:after="0"/>
                    <w:rPr>
                      <w:b/>
                    </w:rPr>
                  </w:pPr>
                  <w:r w:rsidRPr="0003150E">
                    <w:rPr>
                      <w:b/>
                    </w:rPr>
                    <w:t>Expenses by type</w:t>
                  </w:r>
                </w:p>
              </w:tc>
              <w:tc>
                <w:tcPr>
                  <w:tcW w:w="964" w:type="dxa"/>
                  <w:tcBorders>
                    <w:top w:val="single" w:sz="4" w:space="0" w:color="auto"/>
                    <w:left w:val="single" w:sz="4" w:space="0" w:color="auto"/>
                    <w:right w:val="single" w:sz="4" w:space="0" w:color="auto"/>
                  </w:tcBorders>
                  <w:tcMar>
                    <w:top w:w="80" w:type="dxa"/>
                    <w:left w:w="80" w:type="dxa"/>
                    <w:bottom w:w="80" w:type="dxa"/>
                    <w:right w:w="80" w:type="dxa"/>
                  </w:tcMar>
                </w:tcPr>
                <w:p w14:paraId="21A73D1A" w14:textId="77777777" w:rsidR="00E0767F" w:rsidRPr="0003150E" w:rsidRDefault="00E0767F" w:rsidP="00355550">
                  <w:pPr>
                    <w:framePr w:hSpace="180" w:wrap="around" w:vAnchor="text" w:hAnchor="margin" w:y="-128"/>
                    <w:spacing w:after="0" w:line="240" w:lineRule="auto"/>
                    <w:jc w:val="right"/>
                    <w:rPr>
                      <w:b/>
                    </w:rPr>
                  </w:pPr>
                  <w:r w:rsidRPr="0003150E">
                    <w:rPr>
                      <w:b/>
                    </w:rPr>
                    <w:t>30 Jun 2019</w:t>
                  </w:r>
                </w:p>
              </w:tc>
              <w:tc>
                <w:tcPr>
                  <w:tcW w:w="992" w:type="dxa"/>
                  <w:tcBorders>
                    <w:top w:val="single" w:sz="4" w:space="0" w:color="auto"/>
                    <w:left w:val="single" w:sz="4" w:space="0" w:color="auto"/>
                    <w:right w:val="single" w:sz="4" w:space="0" w:color="auto"/>
                  </w:tcBorders>
                  <w:tcMar>
                    <w:top w:w="80" w:type="dxa"/>
                    <w:left w:w="80" w:type="dxa"/>
                    <w:bottom w:w="80" w:type="dxa"/>
                    <w:right w:w="80" w:type="dxa"/>
                  </w:tcMar>
                </w:tcPr>
                <w:p w14:paraId="27DFE4FD" w14:textId="77777777" w:rsidR="00E0767F" w:rsidRPr="0003150E" w:rsidRDefault="00E0767F" w:rsidP="00355550">
                  <w:pPr>
                    <w:framePr w:hSpace="180" w:wrap="around" w:vAnchor="text" w:hAnchor="margin" w:y="-128"/>
                    <w:spacing w:after="0" w:line="240" w:lineRule="auto"/>
                    <w:jc w:val="right"/>
                    <w:rPr>
                      <w:b/>
                    </w:rPr>
                  </w:pPr>
                  <w:r w:rsidRPr="0003150E">
                    <w:rPr>
                      <w:b/>
                    </w:rPr>
                    <w:t xml:space="preserve">30 Jun 2018 </w:t>
                  </w:r>
                </w:p>
              </w:tc>
            </w:tr>
            <w:tr w:rsidR="00E0767F" w:rsidRPr="0003150E" w14:paraId="2F461CB4" w14:textId="77777777" w:rsidTr="00703AF9">
              <w:trPr>
                <w:trHeight w:val="227"/>
              </w:trPr>
              <w:tc>
                <w:tcPr>
                  <w:tcW w:w="3034"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A7CA000" w14:textId="77777777" w:rsidR="00E0767F" w:rsidRPr="0003150E" w:rsidRDefault="00E0767F" w:rsidP="00355550">
                  <w:pPr>
                    <w:framePr w:hSpace="180" w:wrap="around" w:vAnchor="text" w:hAnchor="margin" w:y="-128"/>
                    <w:spacing w:after="0"/>
                    <w:rPr>
                      <w:b/>
                    </w:rPr>
                  </w:pPr>
                </w:p>
              </w:tc>
              <w:tc>
                <w:tcPr>
                  <w:tcW w:w="964" w:type="dxa"/>
                  <w:tcBorders>
                    <w:left w:val="single" w:sz="4" w:space="0" w:color="auto"/>
                    <w:bottom w:val="single" w:sz="4" w:space="0" w:color="auto"/>
                    <w:right w:val="single" w:sz="4" w:space="0" w:color="auto"/>
                  </w:tcBorders>
                  <w:tcMar>
                    <w:top w:w="80" w:type="dxa"/>
                    <w:left w:w="80" w:type="dxa"/>
                    <w:bottom w:w="80" w:type="dxa"/>
                    <w:right w:w="80" w:type="dxa"/>
                  </w:tcMar>
                </w:tcPr>
                <w:p w14:paraId="5A13041A" w14:textId="77777777" w:rsidR="00E0767F" w:rsidRPr="0003150E" w:rsidRDefault="00E0767F" w:rsidP="00355550">
                  <w:pPr>
                    <w:framePr w:hSpace="180" w:wrap="around" w:vAnchor="text" w:hAnchor="margin" w:y="-128"/>
                    <w:spacing w:after="0" w:line="240" w:lineRule="auto"/>
                    <w:jc w:val="right"/>
                    <w:rPr>
                      <w:b/>
                    </w:rPr>
                  </w:pPr>
                  <w:r w:rsidRPr="0003150E">
                    <w:rPr>
                      <w:b/>
                    </w:rPr>
                    <w:t>$000</w:t>
                  </w:r>
                </w:p>
              </w:tc>
              <w:tc>
                <w:tcPr>
                  <w:tcW w:w="992" w:type="dxa"/>
                  <w:tcBorders>
                    <w:left w:val="single" w:sz="4" w:space="0" w:color="auto"/>
                    <w:bottom w:val="single" w:sz="4" w:space="0" w:color="auto"/>
                    <w:right w:val="single" w:sz="4" w:space="0" w:color="auto"/>
                  </w:tcBorders>
                  <w:tcMar>
                    <w:top w:w="80" w:type="dxa"/>
                    <w:left w:w="80" w:type="dxa"/>
                    <w:bottom w:w="80" w:type="dxa"/>
                    <w:right w:w="80" w:type="dxa"/>
                  </w:tcMar>
                </w:tcPr>
                <w:p w14:paraId="26914D10" w14:textId="77777777" w:rsidR="00E0767F" w:rsidRPr="0003150E" w:rsidRDefault="00E0767F" w:rsidP="00355550">
                  <w:pPr>
                    <w:framePr w:hSpace="180" w:wrap="around" w:vAnchor="text" w:hAnchor="margin" w:y="-128"/>
                    <w:spacing w:after="0" w:line="240" w:lineRule="auto"/>
                    <w:jc w:val="right"/>
                    <w:rPr>
                      <w:b/>
                    </w:rPr>
                  </w:pPr>
                  <w:r w:rsidRPr="0003150E">
                    <w:rPr>
                      <w:b/>
                    </w:rPr>
                    <w:t>$000</w:t>
                  </w:r>
                </w:p>
              </w:tc>
            </w:tr>
            <w:tr w:rsidR="00E0767F" w:rsidRPr="0003150E" w14:paraId="6179F367" w14:textId="77777777" w:rsidTr="00703AF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FC80094" w14:textId="77777777" w:rsidR="00E0767F" w:rsidRPr="0003150E" w:rsidRDefault="00E0767F" w:rsidP="00355550">
                  <w:pPr>
                    <w:framePr w:hSpace="180" w:wrap="around" w:vAnchor="text" w:hAnchor="margin" w:y="-128"/>
                    <w:spacing w:after="0"/>
                  </w:pPr>
                  <w:r w:rsidRPr="0003150E">
                    <w:t>Employee expenses</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6CB09C8" w14:textId="77777777" w:rsidR="00E0767F" w:rsidRPr="0003150E" w:rsidRDefault="00E0767F" w:rsidP="00355550">
                  <w:pPr>
                    <w:framePr w:hSpace="180" w:wrap="around" w:vAnchor="text" w:hAnchor="margin" w:y="-128"/>
                    <w:spacing w:after="0"/>
                    <w:jc w:val="right"/>
                  </w:pPr>
                  <w:r w:rsidRPr="0003150E">
                    <w:t>2,586</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642F33B" w14:textId="77777777" w:rsidR="00E0767F" w:rsidRPr="0003150E" w:rsidRDefault="00E0767F" w:rsidP="00355550">
                  <w:pPr>
                    <w:framePr w:hSpace="180" w:wrap="around" w:vAnchor="text" w:hAnchor="margin" w:y="-128"/>
                    <w:spacing w:after="0"/>
                    <w:jc w:val="right"/>
                  </w:pPr>
                  <w:r w:rsidRPr="0003150E">
                    <w:t>2,716</w:t>
                  </w:r>
                </w:p>
              </w:tc>
            </w:tr>
            <w:tr w:rsidR="00E0767F" w:rsidRPr="0003150E" w14:paraId="54B57ADC" w14:textId="77777777" w:rsidTr="00703AF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E7B8F83" w14:textId="77777777" w:rsidR="00E0767F" w:rsidRPr="0003150E" w:rsidRDefault="00E0767F" w:rsidP="00355550">
                  <w:pPr>
                    <w:framePr w:hSpace="180" w:wrap="around" w:vAnchor="text" w:hAnchor="margin" w:y="-128"/>
                    <w:spacing w:after="0"/>
                  </w:pPr>
                  <w:r w:rsidRPr="0003150E">
                    <w:t>Supplies and services</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53D46F2" w14:textId="77777777" w:rsidR="00E0767F" w:rsidRPr="0003150E" w:rsidRDefault="00E0767F" w:rsidP="00355550">
                  <w:pPr>
                    <w:framePr w:hSpace="180" w:wrap="around" w:vAnchor="text" w:hAnchor="margin" w:y="-128"/>
                    <w:spacing w:after="0"/>
                    <w:jc w:val="right"/>
                  </w:pPr>
                  <w:r w:rsidRPr="0003150E">
                    <w:t>877</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AD767CA" w14:textId="77777777" w:rsidR="00E0767F" w:rsidRPr="0003150E" w:rsidRDefault="00E0767F" w:rsidP="00355550">
                  <w:pPr>
                    <w:framePr w:hSpace="180" w:wrap="around" w:vAnchor="text" w:hAnchor="margin" w:y="-128"/>
                    <w:spacing w:after="0"/>
                    <w:jc w:val="right"/>
                  </w:pPr>
                  <w:r w:rsidRPr="0003150E">
                    <w:t>959</w:t>
                  </w:r>
                </w:p>
              </w:tc>
            </w:tr>
            <w:tr w:rsidR="00E0767F" w:rsidRPr="0003150E" w14:paraId="3FFA9F97" w14:textId="77777777" w:rsidTr="00703AF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13738E4" w14:textId="77777777" w:rsidR="00E0767F" w:rsidRPr="0003150E" w:rsidRDefault="00E0767F" w:rsidP="00355550">
                  <w:pPr>
                    <w:framePr w:hSpace="180" w:wrap="around" w:vAnchor="text" w:hAnchor="margin" w:y="-128"/>
                    <w:spacing w:after="0"/>
                  </w:pPr>
                  <w:r w:rsidRPr="0003150E">
                    <w:t>Depreciation and amortisation</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E8E5D0B" w14:textId="77777777" w:rsidR="00E0767F" w:rsidRPr="0003150E" w:rsidRDefault="00E0767F" w:rsidP="00355550">
                  <w:pPr>
                    <w:framePr w:hSpace="180" w:wrap="around" w:vAnchor="text" w:hAnchor="margin" w:y="-128"/>
                    <w:spacing w:after="0"/>
                    <w:jc w:val="right"/>
                  </w:pPr>
                  <w:r w:rsidRPr="0003150E">
                    <w:t>14</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6943D25" w14:textId="77777777" w:rsidR="00E0767F" w:rsidRPr="0003150E" w:rsidRDefault="00E0767F" w:rsidP="00355550">
                  <w:pPr>
                    <w:framePr w:hSpace="180" w:wrap="around" w:vAnchor="text" w:hAnchor="margin" w:y="-128"/>
                    <w:spacing w:after="0"/>
                    <w:jc w:val="right"/>
                  </w:pPr>
                  <w:r w:rsidRPr="0003150E">
                    <w:t>96</w:t>
                  </w:r>
                </w:p>
              </w:tc>
            </w:tr>
            <w:tr w:rsidR="00E0767F" w:rsidRPr="0003150E" w14:paraId="5343C5B7" w14:textId="77777777" w:rsidTr="00703AF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CC933F5" w14:textId="77777777" w:rsidR="00E0767F" w:rsidRPr="0003150E" w:rsidRDefault="00E0767F" w:rsidP="00355550">
                  <w:pPr>
                    <w:framePr w:hSpace="180" w:wrap="around" w:vAnchor="text" w:hAnchor="margin" w:y="-128"/>
                    <w:spacing w:after="0"/>
                  </w:pPr>
                  <w:r w:rsidRPr="0003150E">
                    <w:t>Other expenses</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DDAF827" w14:textId="77777777" w:rsidR="00E0767F" w:rsidRPr="0003150E" w:rsidRDefault="00E0767F" w:rsidP="00355550">
                  <w:pPr>
                    <w:framePr w:hSpace="180" w:wrap="around" w:vAnchor="text" w:hAnchor="margin" w:y="-128"/>
                    <w:spacing w:after="0"/>
                    <w:jc w:val="right"/>
                  </w:pPr>
                  <w:r w:rsidRPr="0003150E">
                    <w:t>40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46EA1D8" w14:textId="77777777" w:rsidR="00E0767F" w:rsidRPr="0003150E" w:rsidRDefault="00E0767F" w:rsidP="00355550">
                  <w:pPr>
                    <w:framePr w:hSpace="180" w:wrap="around" w:vAnchor="text" w:hAnchor="margin" w:y="-128"/>
                    <w:spacing w:after="0"/>
                    <w:jc w:val="right"/>
                  </w:pPr>
                  <w:r w:rsidRPr="0003150E">
                    <w:t>40</w:t>
                  </w:r>
                </w:p>
              </w:tc>
            </w:tr>
            <w:tr w:rsidR="00E0767F" w:rsidRPr="0003150E" w14:paraId="441EFB69" w14:textId="77777777" w:rsidTr="00703AF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A04ED32" w14:textId="77777777" w:rsidR="00E0767F" w:rsidRPr="0003150E" w:rsidRDefault="00E0767F" w:rsidP="00355550">
                  <w:pPr>
                    <w:framePr w:hSpace="180" w:wrap="around" w:vAnchor="text" w:hAnchor="margin" w:y="-128"/>
                    <w:spacing w:after="0"/>
                    <w:rPr>
                      <w:b/>
                    </w:rPr>
                  </w:pPr>
                  <w:r w:rsidRPr="0003150E">
                    <w:rPr>
                      <w:b/>
                    </w:rPr>
                    <w:t>Total</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A0C90B2" w14:textId="77777777" w:rsidR="00E0767F" w:rsidRPr="0003150E" w:rsidRDefault="00E0767F" w:rsidP="00355550">
                  <w:pPr>
                    <w:framePr w:hSpace="180" w:wrap="around" w:vAnchor="text" w:hAnchor="margin" w:y="-128"/>
                    <w:spacing w:after="0"/>
                    <w:jc w:val="right"/>
                    <w:rPr>
                      <w:b/>
                    </w:rPr>
                  </w:pPr>
                  <w:r w:rsidRPr="0003150E">
                    <w:rPr>
                      <w:b/>
                    </w:rPr>
                    <w:t>3,517</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F17EE55" w14:textId="77777777" w:rsidR="00E0767F" w:rsidRPr="0003150E" w:rsidRDefault="00E0767F" w:rsidP="00355550">
                  <w:pPr>
                    <w:framePr w:hSpace="180" w:wrap="around" w:vAnchor="text" w:hAnchor="margin" w:y="-128"/>
                    <w:spacing w:after="0"/>
                    <w:jc w:val="right"/>
                    <w:rPr>
                      <w:b/>
                    </w:rPr>
                  </w:pPr>
                  <w:r w:rsidRPr="0003150E">
                    <w:rPr>
                      <w:b/>
                    </w:rPr>
                    <w:t>3,811</w:t>
                  </w:r>
                </w:p>
              </w:tc>
            </w:tr>
          </w:tbl>
          <w:p w14:paraId="250716E2" w14:textId="77777777" w:rsidR="00D8526D" w:rsidRPr="00E97202" w:rsidRDefault="00D8526D" w:rsidP="00D8526D">
            <w:pPr>
              <w:spacing w:before="120"/>
            </w:pPr>
            <w:r w:rsidRPr="00E97202">
              <w:t>In anticipation of reduced funding for the financial year and to minimise the potential deficit, various measures were implemented including:</w:t>
            </w:r>
          </w:p>
          <w:p w14:paraId="1C0597AC" w14:textId="77777777" w:rsidR="00D8526D" w:rsidRPr="00E97202" w:rsidRDefault="00D8526D" w:rsidP="00D8526D">
            <w:pPr>
              <w:pStyle w:val="ListParagraph"/>
              <w:numPr>
                <w:ilvl w:val="0"/>
                <w:numId w:val="15"/>
              </w:numPr>
              <w:rPr>
                <w:rFonts w:ascii="Arial" w:hAnsi="Arial" w:cs="Arial"/>
                <w:sz w:val="20"/>
                <w:szCs w:val="20"/>
              </w:rPr>
            </w:pPr>
            <w:r w:rsidRPr="00E97202">
              <w:rPr>
                <w:rFonts w:ascii="Arial" w:hAnsi="Arial" w:cs="Arial"/>
                <w:sz w:val="20"/>
                <w:szCs w:val="20"/>
              </w:rPr>
              <w:t>process efficiencies</w:t>
            </w:r>
          </w:p>
          <w:p w14:paraId="1D986479" w14:textId="77777777" w:rsidR="00D8526D" w:rsidRPr="00E97202" w:rsidRDefault="00D8526D" w:rsidP="00D8526D">
            <w:pPr>
              <w:pStyle w:val="ListParagraph"/>
              <w:numPr>
                <w:ilvl w:val="0"/>
                <w:numId w:val="15"/>
              </w:numPr>
              <w:rPr>
                <w:rFonts w:ascii="Arial" w:hAnsi="Arial" w:cs="Arial"/>
                <w:sz w:val="20"/>
                <w:szCs w:val="20"/>
              </w:rPr>
            </w:pPr>
            <w:r w:rsidRPr="00E97202">
              <w:rPr>
                <w:rFonts w:ascii="Arial" w:hAnsi="Arial" w:cs="Arial"/>
                <w:sz w:val="20"/>
                <w:szCs w:val="20"/>
              </w:rPr>
              <w:t>extension of motor vehicle leases due to be renewed</w:t>
            </w:r>
          </w:p>
          <w:p w14:paraId="7A533844" w14:textId="77777777" w:rsidR="00D8526D" w:rsidRPr="00E97202" w:rsidRDefault="00D8526D" w:rsidP="00D8526D">
            <w:pPr>
              <w:pStyle w:val="ListParagraph"/>
              <w:numPr>
                <w:ilvl w:val="0"/>
                <w:numId w:val="15"/>
              </w:numPr>
              <w:rPr>
                <w:rFonts w:ascii="Arial" w:hAnsi="Arial" w:cs="Arial"/>
                <w:sz w:val="20"/>
                <w:szCs w:val="20"/>
              </w:rPr>
            </w:pPr>
            <w:r w:rsidRPr="00E97202">
              <w:rPr>
                <w:rFonts w:ascii="Arial" w:hAnsi="Arial" w:cs="Arial"/>
                <w:sz w:val="20"/>
                <w:szCs w:val="20"/>
              </w:rPr>
              <w:t>delaying ICT infrastructure upgrades (overdue)</w:t>
            </w:r>
          </w:p>
          <w:p w14:paraId="65A27F63" w14:textId="77777777" w:rsidR="00D8526D" w:rsidRPr="00E97202" w:rsidRDefault="00D8526D" w:rsidP="00D8526D">
            <w:pPr>
              <w:pStyle w:val="ListParagraph"/>
              <w:numPr>
                <w:ilvl w:val="0"/>
                <w:numId w:val="15"/>
              </w:numPr>
              <w:rPr>
                <w:rFonts w:ascii="Arial" w:hAnsi="Arial" w:cs="Arial"/>
                <w:sz w:val="20"/>
                <w:szCs w:val="20"/>
              </w:rPr>
            </w:pPr>
            <w:r w:rsidRPr="00E97202">
              <w:rPr>
                <w:rFonts w:ascii="Arial" w:hAnsi="Arial" w:cs="Arial"/>
                <w:sz w:val="20"/>
                <w:szCs w:val="20"/>
              </w:rPr>
              <w:t>reduced staff training</w:t>
            </w:r>
          </w:p>
          <w:p w14:paraId="25FDEE61" w14:textId="77777777" w:rsidR="00D8526D" w:rsidRPr="00E97202" w:rsidRDefault="00D8526D" w:rsidP="00D8526D">
            <w:pPr>
              <w:pStyle w:val="ListParagraph"/>
              <w:numPr>
                <w:ilvl w:val="0"/>
                <w:numId w:val="15"/>
              </w:numPr>
              <w:rPr>
                <w:rFonts w:ascii="Arial" w:hAnsi="Arial" w:cs="Arial"/>
                <w:sz w:val="20"/>
                <w:szCs w:val="20"/>
              </w:rPr>
            </w:pPr>
            <w:r w:rsidRPr="00E97202">
              <w:rPr>
                <w:rFonts w:ascii="Arial" w:hAnsi="Arial" w:cs="Arial"/>
                <w:sz w:val="20"/>
                <w:szCs w:val="20"/>
              </w:rPr>
              <w:t>reduced staff travel to the communities (including by the FRC Commissioner)</w:t>
            </w:r>
          </w:p>
          <w:p w14:paraId="19AECAEB" w14:textId="77777777" w:rsidR="00D8526D" w:rsidRPr="00E97202" w:rsidRDefault="00D8526D" w:rsidP="00D8526D">
            <w:pPr>
              <w:pStyle w:val="ListParagraph"/>
              <w:numPr>
                <w:ilvl w:val="0"/>
                <w:numId w:val="15"/>
              </w:numPr>
              <w:rPr>
                <w:rFonts w:ascii="Arial" w:hAnsi="Arial" w:cs="Arial"/>
                <w:sz w:val="20"/>
                <w:szCs w:val="20"/>
              </w:rPr>
            </w:pPr>
            <w:r w:rsidRPr="00E97202">
              <w:rPr>
                <w:rFonts w:ascii="Arial" w:hAnsi="Arial" w:cs="Arial"/>
                <w:sz w:val="20"/>
                <w:szCs w:val="20"/>
              </w:rPr>
              <w:t>rationalisation of communication costs.</w:t>
            </w:r>
          </w:p>
          <w:p w14:paraId="61AB5E61" w14:textId="77777777" w:rsidR="00D8526D" w:rsidRPr="00E97202" w:rsidRDefault="00D8526D" w:rsidP="00D8526D">
            <w:pPr>
              <w:spacing w:before="120"/>
            </w:pPr>
            <w:r w:rsidRPr="00E97202">
              <w:t>In addition, employee expenses decreased due to cancellations in scheduled conferencing in some communities, vacancies carried and the Deputy Commissioner appointment ending in December 2018.</w:t>
            </w:r>
          </w:p>
          <w:p w14:paraId="0E83DC82" w14:textId="5C53E2AB" w:rsidR="00E0767F" w:rsidRPr="0003150E" w:rsidRDefault="00D8526D" w:rsidP="00615CFD">
            <w:pPr>
              <w:spacing w:before="120"/>
            </w:pPr>
            <w:r w:rsidRPr="00E97202">
              <w:t>Supplies and services costs also reduced due specifically to a reduction in consultancy engagements and temporary staff engagements. Depreciation and amortisation expenditure decreased as the Commission’s Customer Relationship Management software was fully amortised in 2017-18.</w:t>
            </w:r>
          </w:p>
        </w:tc>
      </w:tr>
    </w:tbl>
    <w:p w14:paraId="20C84FBE" w14:textId="77777777" w:rsidR="00E0767F" w:rsidRPr="008E7494" w:rsidRDefault="00E0767F" w:rsidP="00E0767F">
      <w:pPr>
        <w:ind w:left="-993"/>
      </w:pPr>
    </w:p>
    <w:tbl>
      <w:tblPr>
        <w:tblW w:w="11128" w:type="dxa"/>
        <w:tblLayout w:type="fixed"/>
        <w:tblLook w:val="01E0" w:firstRow="1" w:lastRow="1" w:firstColumn="1" w:lastColumn="1" w:noHBand="0" w:noVBand="0"/>
      </w:tblPr>
      <w:tblGrid>
        <w:gridCol w:w="5564"/>
        <w:gridCol w:w="5564"/>
      </w:tblGrid>
      <w:tr w:rsidR="00E0767F" w:rsidRPr="008E7494" w14:paraId="260C90AD" w14:textId="77777777" w:rsidTr="00703AF9">
        <w:tc>
          <w:tcPr>
            <w:tcW w:w="5564" w:type="dxa"/>
          </w:tcPr>
          <w:p w14:paraId="272BD4FA" w14:textId="4DEA53CD" w:rsidR="007A241F" w:rsidRPr="003644F3" w:rsidRDefault="007A241F" w:rsidP="007A241F">
            <w:pPr>
              <w:widowControl w:val="0"/>
              <w:autoSpaceDE w:val="0"/>
              <w:autoSpaceDN w:val="0"/>
              <w:adjustRightInd w:val="0"/>
              <w:spacing w:before="60" w:line="240" w:lineRule="auto"/>
              <w:ind w:left="851" w:hanging="851"/>
              <w:rPr>
                <w:rFonts w:ascii="Helvetica" w:hAnsi="Helvetica" w:cs="Helvetica"/>
                <w:sz w:val="17"/>
                <w:szCs w:val="17"/>
                <w:lang w:val="en-US"/>
              </w:rPr>
            </w:pPr>
            <w:r>
              <w:rPr>
                <w:rFonts w:ascii="Helvetica" w:hAnsi="Helvetica" w:cs="Helvetica"/>
                <w:b/>
                <w:bCs/>
                <w:sz w:val="17"/>
                <w:szCs w:val="17"/>
                <w:lang w:val="en-US"/>
              </w:rPr>
              <w:t>Table 2</w:t>
            </w:r>
            <w:r w:rsidR="00026F4C">
              <w:rPr>
                <w:rFonts w:ascii="Helvetica" w:hAnsi="Helvetica" w:cs="Helvetica"/>
                <w:b/>
                <w:bCs/>
                <w:sz w:val="17"/>
                <w:szCs w:val="17"/>
                <w:lang w:val="en-US"/>
              </w:rPr>
              <w:t>0</w:t>
            </w:r>
            <w:r w:rsidRPr="00447E70">
              <w:rPr>
                <w:rFonts w:ascii="Helvetica" w:hAnsi="Helvetica" w:cs="Helvetica"/>
                <w:b/>
                <w:bCs/>
                <w:sz w:val="17"/>
                <w:szCs w:val="17"/>
                <w:lang w:val="en-US"/>
              </w:rPr>
              <w:t xml:space="preserve">: </w:t>
            </w:r>
            <w:r>
              <w:rPr>
                <w:rFonts w:ascii="Helvetica" w:hAnsi="Helvetica" w:cs="Helvetica"/>
                <w:b/>
                <w:bCs/>
                <w:sz w:val="17"/>
                <w:szCs w:val="17"/>
                <w:lang w:val="en-US"/>
              </w:rPr>
              <w:t>Expenses by category and percentage of total expenditure 1 July 201</w:t>
            </w:r>
            <w:r>
              <w:rPr>
                <w:rFonts w:ascii="Helvetica" w:hAnsi="Helvetica" w:cs="Helvetica"/>
                <w:b/>
                <w:bCs/>
                <w:sz w:val="17"/>
                <w:szCs w:val="17"/>
                <w:lang w:val="en-US"/>
              </w:rPr>
              <w:t>8</w:t>
            </w:r>
            <w:r>
              <w:rPr>
                <w:rFonts w:ascii="Helvetica" w:hAnsi="Helvetica" w:cs="Helvetica"/>
                <w:b/>
                <w:bCs/>
                <w:sz w:val="17"/>
                <w:szCs w:val="17"/>
                <w:lang w:val="en-US"/>
              </w:rPr>
              <w:t xml:space="preserve"> to 30 June 201</w:t>
            </w:r>
            <w:r>
              <w:rPr>
                <w:rFonts w:ascii="Helvetica" w:hAnsi="Helvetica" w:cs="Helvetica"/>
                <w:b/>
                <w:bCs/>
                <w:sz w:val="17"/>
                <w:szCs w:val="17"/>
                <w:lang w:val="en-US"/>
              </w:rPr>
              <w:t>9</w:t>
            </w:r>
            <w:r>
              <w:rPr>
                <w:rFonts w:ascii="Helvetica" w:hAnsi="Helvetica" w:cs="Helvetica"/>
                <w:b/>
                <w:bCs/>
                <w:sz w:val="17"/>
                <w:szCs w:val="17"/>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39"/>
              <w:gridCol w:w="1168"/>
            </w:tblGrid>
            <w:tr w:rsidR="007A241F" w:rsidRPr="0096471A" w14:paraId="445C3B89" w14:textId="77777777" w:rsidTr="00B25249">
              <w:trPr>
                <w:trHeight w:hRule="exact" w:val="340"/>
              </w:trPr>
              <w:tc>
                <w:tcPr>
                  <w:tcW w:w="3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7963736" w14:textId="77777777" w:rsidR="007A241F" w:rsidRPr="00E20D5A" w:rsidRDefault="007A241F" w:rsidP="007A241F">
                  <w:pPr>
                    <w:spacing w:after="0" w:line="240" w:lineRule="auto"/>
                    <w:rPr>
                      <w:b/>
                      <w:sz w:val="16"/>
                      <w:szCs w:val="16"/>
                    </w:rPr>
                  </w:pPr>
                  <w:r w:rsidRPr="00E20D5A">
                    <w:rPr>
                      <w:b/>
                      <w:sz w:val="16"/>
                      <w:szCs w:val="16"/>
                    </w:rPr>
                    <w:t>Category</w:t>
                  </w:r>
                </w:p>
              </w:tc>
              <w:tc>
                <w:tcPr>
                  <w:tcW w:w="11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tcPr>
                <w:p w14:paraId="38D0FBE4" w14:textId="77777777" w:rsidR="007A241F" w:rsidRPr="00E20D5A" w:rsidRDefault="007A241F" w:rsidP="007A241F">
                  <w:pPr>
                    <w:spacing w:after="0" w:line="240" w:lineRule="auto"/>
                    <w:jc w:val="right"/>
                    <w:rPr>
                      <w:b/>
                      <w:sz w:val="16"/>
                      <w:szCs w:val="16"/>
                    </w:rPr>
                  </w:pPr>
                  <w:r w:rsidRPr="00E20D5A">
                    <w:rPr>
                      <w:b/>
                      <w:sz w:val="16"/>
                      <w:szCs w:val="16"/>
                    </w:rPr>
                    <w:t>Percentage</w:t>
                  </w:r>
                </w:p>
              </w:tc>
            </w:tr>
            <w:tr w:rsidR="00140D6A" w:rsidRPr="0096471A" w14:paraId="2895BB3B" w14:textId="77777777" w:rsidTr="00572215">
              <w:trPr>
                <w:trHeight w:hRule="exact" w:val="340"/>
              </w:trPr>
              <w:tc>
                <w:tcPr>
                  <w:tcW w:w="3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164CB37" w14:textId="77777777" w:rsidR="00140D6A" w:rsidRPr="0096471A" w:rsidRDefault="00140D6A" w:rsidP="00140D6A">
                  <w:pPr>
                    <w:spacing w:after="0" w:line="240" w:lineRule="auto"/>
                    <w:rPr>
                      <w:sz w:val="16"/>
                      <w:szCs w:val="16"/>
                    </w:rPr>
                  </w:pPr>
                  <w:r>
                    <w:rPr>
                      <w:sz w:val="16"/>
                      <w:szCs w:val="16"/>
                    </w:rPr>
                    <w:t>Employee salaries – FRC staff</w:t>
                  </w:r>
                </w:p>
              </w:tc>
              <w:tc>
                <w:tcPr>
                  <w:tcW w:w="11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2D4CBA8" w14:textId="2B3A517F" w:rsidR="00140D6A" w:rsidRPr="00140D6A" w:rsidRDefault="00140D6A" w:rsidP="00140D6A">
                  <w:pPr>
                    <w:spacing w:after="0" w:line="240" w:lineRule="auto"/>
                    <w:jc w:val="right"/>
                    <w:rPr>
                      <w:sz w:val="16"/>
                      <w:szCs w:val="16"/>
                    </w:rPr>
                  </w:pPr>
                  <w:r w:rsidRPr="00140D6A">
                    <w:rPr>
                      <w:rFonts w:cs="Arial"/>
                      <w:sz w:val="16"/>
                      <w:szCs w:val="16"/>
                    </w:rPr>
                    <w:t>49.43%</w:t>
                  </w:r>
                </w:p>
              </w:tc>
            </w:tr>
            <w:tr w:rsidR="00140D6A" w:rsidRPr="0096471A" w14:paraId="5A28D429" w14:textId="77777777" w:rsidTr="00572215">
              <w:trPr>
                <w:trHeight w:hRule="exact" w:val="340"/>
              </w:trPr>
              <w:tc>
                <w:tcPr>
                  <w:tcW w:w="3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33CA00D" w14:textId="77777777" w:rsidR="00140D6A" w:rsidRDefault="00140D6A" w:rsidP="00140D6A">
                  <w:pPr>
                    <w:spacing w:after="0" w:line="240" w:lineRule="auto"/>
                    <w:rPr>
                      <w:sz w:val="16"/>
                      <w:szCs w:val="16"/>
                    </w:rPr>
                  </w:pPr>
                  <w:r>
                    <w:rPr>
                      <w:sz w:val="16"/>
                      <w:szCs w:val="16"/>
                    </w:rPr>
                    <w:t>Employee salaries – Local Commissioners</w:t>
                  </w:r>
                </w:p>
              </w:tc>
              <w:tc>
                <w:tcPr>
                  <w:tcW w:w="11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7D4CF7E" w14:textId="77553F50" w:rsidR="00140D6A" w:rsidRPr="00140D6A" w:rsidRDefault="00140D6A" w:rsidP="00140D6A">
                  <w:pPr>
                    <w:spacing w:after="0" w:line="240" w:lineRule="auto"/>
                    <w:jc w:val="right"/>
                    <w:rPr>
                      <w:sz w:val="16"/>
                      <w:szCs w:val="16"/>
                    </w:rPr>
                  </w:pPr>
                  <w:r w:rsidRPr="00140D6A">
                    <w:rPr>
                      <w:rFonts w:cs="Arial"/>
                      <w:sz w:val="16"/>
                      <w:szCs w:val="16"/>
                    </w:rPr>
                    <w:t>12.14%</w:t>
                  </w:r>
                </w:p>
              </w:tc>
            </w:tr>
            <w:tr w:rsidR="00140D6A" w:rsidRPr="0096471A" w14:paraId="0E90F518" w14:textId="77777777" w:rsidTr="00572215">
              <w:trPr>
                <w:trHeight w:hRule="exact" w:val="340"/>
              </w:trPr>
              <w:tc>
                <w:tcPr>
                  <w:tcW w:w="3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B601C5B" w14:textId="77777777" w:rsidR="00140D6A" w:rsidRPr="0096471A" w:rsidRDefault="00140D6A" w:rsidP="00140D6A">
                  <w:pPr>
                    <w:spacing w:after="0" w:line="240" w:lineRule="auto"/>
                    <w:rPr>
                      <w:sz w:val="16"/>
                      <w:szCs w:val="16"/>
                    </w:rPr>
                  </w:pPr>
                  <w:r>
                    <w:rPr>
                      <w:sz w:val="16"/>
                      <w:szCs w:val="16"/>
                    </w:rPr>
                    <w:t>Employee on costs – FRC staff</w:t>
                  </w:r>
                </w:p>
              </w:tc>
              <w:tc>
                <w:tcPr>
                  <w:tcW w:w="11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12CCBBD" w14:textId="1C6AD986" w:rsidR="00140D6A" w:rsidRPr="00140D6A" w:rsidRDefault="00140D6A" w:rsidP="00140D6A">
                  <w:pPr>
                    <w:spacing w:after="0" w:line="240" w:lineRule="auto"/>
                    <w:jc w:val="right"/>
                    <w:rPr>
                      <w:sz w:val="16"/>
                      <w:szCs w:val="16"/>
                    </w:rPr>
                  </w:pPr>
                  <w:r w:rsidRPr="00140D6A">
                    <w:rPr>
                      <w:rFonts w:cs="Arial"/>
                      <w:sz w:val="16"/>
                      <w:szCs w:val="16"/>
                    </w:rPr>
                    <w:t>8.88%</w:t>
                  </w:r>
                </w:p>
              </w:tc>
            </w:tr>
            <w:tr w:rsidR="00140D6A" w:rsidRPr="0096471A" w14:paraId="17A5EF0F" w14:textId="77777777" w:rsidTr="00572215">
              <w:trPr>
                <w:trHeight w:hRule="exact" w:val="340"/>
              </w:trPr>
              <w:tc>
                <w:tcPr>
                  <w:tcW w:w="3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A174E9E" w14:textId="77777777" w:rsidR="00140D6A" w:rsidRDefault="00140D6A" w:rsidP="00140D6A">
                  <w:pPr>
                    <w:spacing w:after="0" w:line="240" w:lineRule="auto"/>
                    <w:rPr>
                      <w:sz w:val="16"/>
                      <w:szCs w:val="16"/>
                    </w:rPr>
                  </w:pPr>
                  <w:r>
                    <w:rPr>
                      <w:sz w:val="16"/>
                      <w:szCs w:val="16"/>
                    </w:rPr>
                    <w:t>Employee on costs – Local Commissioners</w:t>
                  </w:r>
                </w:p>
              </w:tc>
              <w:tc>
                <w:tcPr>
                  <w:tcW w:w="11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B2FE662" w14:textId="4A27AE17" w:rsidR="00140D6A" w:rsidRPr="00140D6A" w:rsidRDefault="00140D6A" w:rsidP="00140D6A">
                  <w:pPr>
                    <w:spacing w:after="0" w:line="240" w:lineRule="auto"/>
                    <w:jc w:val="right"/>
                    <w:rPr>
                      <w:sz w:val="16"/>
                      <w:szCs w:val="16"/>
                    </w:rPr>
                  </w:pPr>
                  <w:r w:rsidRPr="00140D6A">
                    <w:rPr>
                      <w:rFonts w:cs="Arial"/>
                      <w:sz w:val="16"/>
                      <w:szCs w:val="16"/>
                    </w:rPr>
                    <w:t>2.14%</w:t>
                  </w:r>
                </w:p>
              </w:tc>
            </w:tr>
            <w:tr w:rsidR="00140D6A" w:rsidRPr="0096471A" w14:paraId="3B321B84" w14:textId="77777777" w:rsidTr="00572215">
              <w:trPr>
                <w:trHeight w:hRule="exact" w:val="340"/>
              </w:trPr>
              <w:tc>
                <w:tcPr>
                  <w:tcW w:w="3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3D0C16E" w14:textId="77777777" w:rsidR="00140D6A" w:rsidRDefault="00140D6A" w:rsidP="00140D6A">
                  <w:pPr>
                    <w:spacing w:after="0" w:line="240" w:lineRule="auto"/>
                    <w:rPr>
                      <w:sz w:val="16"/>
                      <w:szCs w:val="16"/>
                    </w:rPr>
                  </w:pPr>
                  <w:r>
                    <w:rPr>
                      <w:sz w:val="16"/>
                      <w:szCs w:val="16"/>
                    </w:rPr>
                    <w:t>Other employment costs</w:t>
                  </w:r>
                </w:p>
              </w:tc>
              <w:tc>
                <w:tcPr>
                  <w:tcW w:w="11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A996E88" w14:textId="6F4E7BF9" w:rsidR="00140D6A" w:rsidRPr="00140D6A" w:rsidRDefault="00140D6A" w:rsidP="00140D6A">
                  <w:pPr>
                    <w:spacing w:after="0" w:line="240" w:lineRule="auto"/>
                    <w:jc w:val="right"/>
                    <w:rPr>
                      <w:sz w:val="16"/>
                      <w:szCs w:val="16"/>
                    </w:rPr>
                  </w:pPr>
                  <w:r w:rsidRPr="00140D6A">
                    <w:rPr>
                      <w:rFonts w:cs="Arial"/>
                      <w:sz w:val="16"/>
                      <w:szCs w:val="16"/>
                    </w:rPr>
                    <w:t>0.95%</w:t>
                  </w:r>
                </w:p>
              </w:tc>
            </w:tr>
            <w:tr w:rsidR="00140D6A" w:rsidRPr="0096471A" w14:paraId="031B8F08" w14:textId="77777777" w:rsidTr="00572215">
              <w:trPr>
                <w:trHeight w:hRule="exact" w:val="340"/>
              </w:trPr>
              <w:tc>
                <w:tcPr>
                  <w:tcW w:w="3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C567511" w14:textId="77777777" w:rsidR="00140D6A" w:rsidRPr="0096471A" w:rsidRDefault="00140D6A" w:rsidP="00140D6A">
                  <w:pPr>
                    <w:spacing w:after="0" w:line="240" w:lineRule="auto"/>
                    <w:rPr>
                      <w:sz w:val="16"/>
                      <w:szCs w:val="16"/>
                    </w:rPr>
                  </w:pPr>
                  <w:r>
                    <w:rPr>
                      <w:sz w:val="16"/>
                      <w:szCs w:val="16"/>
                    </w:rPr>
                    <w:t>Communications</w:t>
                  </w:r>
                </w:p>
              </w:tc>
              <w:tc>
                <w:tcPr>
                  <w:tcW w:w="11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BD5C60B" w14:textId="30F6F492" w:rsidR="00140D6A" w:rsidRPr="00140D6A" w:rsidRDefault="00140D6A" w:rsidP="00140D6A">
                  <w:pPr>
                    <w:spacing w:after="0" w:line="240" w:lineRule="auto"/>
                    <w:jc w:val="right"/>
                    <w:rPr>
                      <w:sz w:val="16"/>
                      <w:szCs w:val="16"/>
                    </w:rPr>
                  </w:pPr>
                  <w:r w:rsidRPr="00140D6A">
                    <w:rPr>
                      <w:rFonts w:cs="Arial"/>
                      <w:sz w:val="16"/>
                      <w:szCs w:val="16"/>
                    </w:rPr>
                    <w:t>0.36%</w:t>
                  </w:r>
                </w:p>
              </w:tc>
            </w:tr>
            <w:tr w:rsidR="00140D6A" w:rsidRPr="0096471A" w14:paraId="74834563" w14:textId="77777777" w:rsidTr="00572215">
              <w:trPr>
                <w:trHeight w:hRule="exact" w:val="340"/>
              </w:trPr>
              <w:tc>
                <w:tcPr>
                  <w:tcW w:w="3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34AE346" w14:textId="77777777" w:rsidR="00140D6A" w:rsidRPr="0096471A" w:rsidRDefault="00140D6A" w:rsidP="00140D6A">
                  <w:pPr>
                    <w:spacing w:after="0" w:line="240" w:lineRule="auto"/>
                    <w:rPr>
                      <w:sz w:val="16"/>
                      <w:szCs w:val="16"/>
                    </w:rPr>
                  </w:pPr>
                  <w:r>
                    <w:rPr>
                      <w:sz w:val="16"/>
                      <w:szCs w:val="16"/>
                    </w:rPr>
                    <w:t>Internet &amp; IT</w:t>
                  </w:r>
                </w:p>
              </w:tc>
              <w:tc>
                <w:tcPr>
                  <w:tcW w:w="11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AFDC534" w14:textId="0D115B49" w:rsidR="00140D6A" w:rsidRPr="00140D6A" w:rsidRDefault="00140D6A" w:rsidP="00140D6A">
                  <w:pPr>
                    <w:spacing w:after="0" w:line="240" w:lineRule="auto"/>
                    <w:jc w:val="right"/>
                    <w:rPr>
                      <w:sz w:val="16"/>
                      <w:szCs w:val="16"/>
                    </w:rPr>
                  </w:pPr>
                  <w:r w:rsidRPr="00140D6A">
                    <w:rPr>
                      <w:rFonts w:cs="Arial"/>
                      <w:sz w:val="16"/>
                      <w:szCs w:val="16"/>
                    </w:rPr>
                    <w:t>5.75%</w:t>
                  </w:r>
                </w:p>
              </w:tc>
            </w:tr>
            <w:tr w:rsidR="00140D6A" w:rsidRPr="0096471A" w14:paraId="5D28BA93" w14:textId="77777777" w:rsidTr="00572215">
              <w:trPr>
                <w:trHeight w:hRule="exact" w:val="340"/>
              </w:trPr>
              <w:tc>
                <w:tcPr>
                  <w:tcW w:w="3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B09DD93" w14:textId="77777777" w:rsidR="00140D6A" w:rsidRPr="0096471A" w:rsidRDefault="00140D6A" w:rsidP="00140D6A">
                  <w:pPr>
                    <w:spacing w:after="0" w:line="240" w:lineRule="auto"/>
                    <w:rPr>
                      <w:sz w:val="16"/>
                      <w:szCs w:val="16"/>
                    </w:rPr>
                  </w:pPr>
                  <w:r>
                    <w:rPr>
                      <w:sz w:val="16"/>
                      <w:szCs w:val="16"/>
                    </w:rPr>
                    <w:t>Motor vehicle</w:t>
                  </w:r>
                </w:p>
              </w:tc>
              <w:tc>
                <w:tcPr>
                  <w:tcW w:w="11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4863EEB" w14:textId="6DE7B59E" w:rsidR="00140D6A" w:rsidRPr="00140D6A" w:rsidRDefault="00140D6A" w:rsidP="00140D6A">
                  <w:pPr>
                    <w:spacing w:after="0" w:line="240" w:lineRule="auto"/>
                    <w:jc w:val="right"/>
                    <w:rPr>
                      <w:sz w:val="16"/>
                      <w:szCs w:val="16"/>
                    </w:rPr>
                  </w:pPr>
                  <w:r w:rsidRPr="00140D6A">
                    <w:rPr>
                      <w:rFonts w:cs="Arial"/>
                      <w:sz w:val="16"/>
                      <w:szCs w:val="16"/>
                    </w:rPr>
                    <w:t>1.42%</w:t>
                  </w:r>
                </w:p>
              </w:tc>
            </w:tr>
            <w:tr w:rsidR="00140D6A" w:rsidRPr="0096471A" w14:paraId="0A96A968" w14:textId="77777777" w:rsidTr="00572215">
              <w:trPr>
                <w:trHeight w:hRule="exact" w:val="340"/>
              </w:trPr>
              <w:tc>
                <w:tcPr>
                  <w:tcW w:w="3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E8A8752" w14:textId="77777777" w:rsidR="00140D6A" w:rsidRPr="0096471A" w:rsidRDefault="00140D6A" w:rsidP="00140D6A">
                  <w:pPr>
                    <w:spacing w:after="0" w:line="240" w:lineRule="auto"/>
                    <w:rPr>
                      <w:sz w:val="16"/>
                      <w:szCs w:val="16"/>
                    </w:rPr>
                  </w:pPr>
                  <w:r>
                    <w:rPr>
                      <w:sz w:val="16"/>
                      <w:szCs w:val="16"/>
                    </w:rPr>
                    <w:t>Property</w:t>
                  </w:r>
                </w:p>
              </w:tc>
              <w:tc>
                <w:tcPr>
                  <w:tcW w:w="11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376408A" w14:textId="6D2F4DC8" w:rsidR="00140D6A" w:rsidRPr="00140D6A" w:rsidRDefault="00140D6A" w:rsidP="00140D6A">
                  <w:pPr>
                    <w:spacing w:after="0" w:line="240" w:lineRule="auto"/>
                    <w:jc w:val="right"/>
                    <w:rPr>
                      <w:sz w:val="16"/>
                      <w:szCs w:val="16"/>
                    </w:rPr>
                  </w:pPr>
                  <w:r w:rsidRPr="00140D6A">
                    <w:rPr>
                      <w:rFonts w:cs="Arial"/>
                      <w:sz w:val="16"/>
                      <w:szCs w:val="16"/>
                    </w:rPr>
                    <w:t>6.36%</w:t>
                  </w:r>
                </w:p>
              </w:tc>
            </w:tr>
            <w:tr w:rsidR="00140D6A" w:rsidRPr="0096471A" w14:paraId="13F4D8BD" w14:textId="77777777" w:rsidTr="00572215">
              <w:trPr>
                <w:trHeight w:hRule="exact" w:val="340"/>
              </w:trPr>
              <w:tc>
                <w:tcPr>
                  <w:tcW w:w="3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0EDA1E5" w14:textId="77777777" w:rsidR="00140D6A" w:rsidRPr="0096471A" w:rsidRDefault="00140D6A" w:rsidP="00140D6A">
                  <w:pPr>
                    <w:spacing w:after="0" w:line="240" w:lineRule="auto"/>
                    <w:rPr>
                      <w:sz w:val="16"/>
                      <w:szCs w:val="16"/>
                    </w:rPr>
                  </w:pPr>
                  <w:r>
                    <w:rPr>
                      <w:sz w:val="16"/>
                      <w:szCs w:val="16"/>
                    </w:rPr>
                    <w:t>Travel</w:t>
                  </w:r>
                </w:p>
              </w:tc>
              <w:tc>
                <w:tcPr>
                  <w:tcW w:w="11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768A0FD" w14:textId="4AC7D456" w:rsidR="00140D6A" w:rsidRPr="00140D6A" w:rsidRDefault="00140D6A" w:rsidP="00140D6A">
                  <w:pPr>
                    <w:spacing w:after="0" w:line="240" w:lineRule="auto"/>
                    <w:jc w:val="right"/>
                    <w:rPr>
                      <w:sz w:val="16"/>
                      <w:szCs w:val="16"/>
                    </w:rPr>
                  </w:pPr>
                  <w:r w:rsidRPr="00140D6A">
                    <w:rPr>
                      <w:rFonts w:cs="Arial"/>
                      <w:sz w:val="16"/>
                      <w:szCs w:val="16"/>
                    </w:rPr>
                    <w:t>5.58%</w:t>
                  </w:r>
                </w:p>
              </w:tc>
            </w:tr>
            <w:tr w:rsidR="00140D6A" w:rsidRPr="0096471A" w14:paraId="5E51A08B" w14:textId="77777777" w:rsidTr="00572215">
              <w:trPr>
                <w:trHeight w:hRule="exact" w:val="340"/>
              </w:trPr>
              <w:tc>
                <w:tcPr>
                  <w:tcW w:w="3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32B816F" w14:textId="77777777" w:rsidR="00140D6A" w:rsidRPr="0096471A" w:rsidRDefault="00140D6A" w:rsidP="00140D6A">
                  <w:pPr>
                    <w:spacing w:after="0" w:line="240" w:lineRule="auto"/>
                    <w:rPr>
                      <w:sz w:val="16"/>
                      <w:szCs w:val="16"/>
                    </w:rPr>
                  </w:pPr>
                  <w:r>
                    <w:rPr>
                      <w:sz w:val="16"/>
                      <w:szCs w:val="16"/>
                    </w:rPr>
                    <w:t>General operating</w:t>
                  </w:r>
                </w:p>
              </w:tc>
              <w:tc>
                <w:tcPr>
                  <w:tcW w:w="11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71150B3" w14:textId="6F29C99F" w:rsidR="00140D6A" w:rsidRPr="00140D6A" w:rsidRDefault="00140D6A" w:rsidP="00140D6A">
                  <w:pPr>
                    <w:spacing w:after="0" w:line="240" w:lineRule="auto"/>
                    <w:jc w:val="right"/>
                    <w:rPr>
                      <w:sz w:val="16"/>
                      <w:szCs w:val="16"/>
                    </w:rPr>
                  </w:pPr>
                  <w:r w:rsidRPr="00140D6A">
                    <w:rPr>
                      <w:rFonts w:cs="Arial"/>
                      <w:sz w:val="16"/>
                      <w:szCs w:val="16"/>
                    </w:rPr>
                    <w:t>5.44%</w:t>
                  </w:r>
                </w:p>
              </w:tc>
            </w:tr>
            <w:tr w:rsidR="00140D6A" w:rsidRPr="0096471A" w14:paraId="3D9EEF5E" w14:textId="77777777" w:rsidTr="00572215">
              <w:trPr>
                <w:trHeight w:hRule="exact" w:val="340"/>
              </w:trPr>
              <w:tc>
                <w:tcPr>
                  <w:tcW w:w="3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C88D334" w14:textId="77777777" w:rsidR="00140D6A" w:rsidRPr="0096471A" w:rsidRDefault="00140D6A" w:rsidP="00140D6A">
                  <w:pPr>
                    <w:spacing w:after="0" w:line="240" w:lineRule="auto"/>
                    <w:rPr>
                      <w:sz w:val="16"/>
                      <w:szCs w:val="16"/>
                    </w:rPr>
                  </w:pPr>
                  <w:r>
                    <w:rPr>
                      <w:sz w:val="16"/>
                      <w:szCs w:val="16"/>
                    </w:rPr>
                    <w:t>Other expenses</w:t>
                  </w:r>
                </w:p>
              </w:tc>
              <w:tc>
                <w:tcPr>
                  <w:tcW w:w="11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81B6282" w14:textId="3128C58F" w:rsidR="00140D6A" w:rsidRPr="00140D6A" w:rsidRDefault="00140D6A" w:rsidP="00140D6A">
                  <w:pPr>
                    <w:spacing w:after="0" w:line="240" w:lineRule="auto"/>
                    <w:jc w:val="right"/>
                    <w:rPr>
                      <w:sz w:val="16"/>
                      <w:szCs w:val="16"/>
                    </w:rPr>
                  </w:pPr>
                  <w:r w:rsidRPr="00140D6A">
                    <w:rPr>
                      <w:rFonts w:cs="Arial"/>
                      <w:sz w:val="16"/>
                      <w:szCs w:val="16"/>
                    </w:rPr>
                    <w:t>1.55%</w:t>
                  </w:r>
                </w:p>
              </w:tc>
            </w:tr>
            <w:tr w:rsidR="007A241F" w:rsidRPr="0096471A" w14:paraId="19416FBF" w14:textId="77777777" w:rsidTr="00B25249">
              <w:trPr>
                <w:trHeight w:hRule="exact" w:val="340"/>
              </w:trPr>
              <w:tc>
                <w:tcPr>
                  <w:tcW w:w="3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551B055" w14:textId="77777777" w:rsidR="007A241F" w:rsidRPr="00E20D5A" w:rsidRDefault="007A241F" w:rsidP="007A241F">
                  <w:pPr>
                    <w:spacing w:after="0" w:line="240" w:lineRule="auto"/>
                    <w:rPr>
                      <w:b/>
                      <w:sz w:val="16"/>
                      <w:szCs w:val="16"/>
                    </w:rPr>
                  </w:pPr>
                  <w:r w:rsidRPr="00E20D5A">
                    <w:rPr>
                      <w:b/>
                      <w:sz w:val="16"/>
                      <w:szCs w:val="16"/>
                    </w:rPr>
                    <w:t>Total</w:t>
                  </w:r>
                </w:p>
              </w:tc>
              <w:tc>
                <w:tcPr>
                  <w:tcW w:w="11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tcPr>
                <w:p w14:paraId="79E675C8" w14:textId="77777777" w:rsidR="007A241F" w:rsidRPr="00E20D5A" w:rsidRDefault="007A241F" w:rsidP="007A241F">
                  <w:pPr>
                    <w:spacing w:after="0" w:line="240" w:lineRule="auto"/>
                    <w:jc w:val="right"/>
                    <w:rPr>
                      <w:b/>
                      <w:sz w:val="16"/>
                      <w:szCs w:val="16"/>
                    </w:rPr>
                  </w:pPr>
                  <w:r w:rsidRPr="00E20D5A">
                    <w:rPr>
                      <w:b/>
                      <w:sz w:val="16"/>
                      <w:szCs w:val="16"/>
                    </w:rPr>
                    <w:t>100</w:t>
                  </w:r>
                  <w:r>
                    <w:rPr>
                      <w:b/>
                      <w:sz w:val="16"/>
                      <w:szCs w:val="16"/>
                    </w:rPr>
                    <w:t>.0</w:t>
                  </w:r>
                  <w:r w:rsidRPr="00E20D5A">
                    <w:rPr>
                      <w:b/>
                      <w:sz w:val="16"/>
                      <w:szCs w:val="16"/>
                    </w:rPr>
                    <w:t>%</w:t>
                  </w:r>
                </w:p>
              </w:tc>
            </w:tr>
          </w:tbl>
          <w:p w14:paraId="7E68B00D" w14:textId="77777777" w:rsidR="007A241F" w:rsidRPr="008E7494" w:rsidRDefault="007A241F" w:rsidP="007A241F">
            <w:pPr>
              <w:widowControl w:val="0"/>
              <w:autoSpaceDE w:val="0"/>
              <w:autoSpaceDN w:val="0"/>
              <w:adjustRightInd w:val="0"/>
              <w:spacing w:line="240" w:lineRule="auto"/>
              <w:ind w:left="851" w:hanging="851"/>
              <w:rPr>
                <w:rFonts w:ascii="Helvetica" w:hAnsi="Helvetica" w:cs="Helvetica"/>
                <w:sz w:val="17"/>
                <w:szCs w:val="17"/>
                <w:lang w:val="en-US"/>
              </w:rPr>
            </w:pPr>
          </w:p>
          <w:p w14:paraId="1136CF5F" w14:textId="77777777" w:rsidR="007A241F" w:rsidRPr="008E7494" w:rsidRDefault="007A241F" w:rsidP="007A241F">
            <w:pPr>
              <w:pStyle w:val="Heading3"/>
              <w:rPr>
                <w:rFonts w:cs="Arial"/>
              </w:rPr>
            </w:pPr>
            <w:r w:rsidRPr="008E7494">
              <w:rPr>
                <w:rFonts w:cs="Arial"/>
              </w:rPr>
              <w:t>Remote location and Cairns registry expenditure</w:t>
            </w:r>
          </w:p>
          <w:p w14:paraId="7EBE31AB" w14:textId="0B53BE4E" w:rsidR="007A241F" w:rsidRPr="00DB7B7B" w:rsidRDefault="007A241F" w:rsidP="007A241F">
            <w:pPr>
              <w:widowControl w:val="0"/>
              <w:autoSpaceDE w:val="0"/>
              <w:autoSpaceDN w:val="0"/>
              <w:adjustRightInd w:val="0"/>
              <w:spacing w:before="60" w:line="240" w:lineRule="auto"/>
              <w:ind w:left="851" w:hanging="851"/>
              <w:rPr>
                <w:rFonts w:ascii="Helvetica" w:hAnsi="Helvetica" w:cs="Helvetica"/>
                <w:sz w:val="17"/>
                <w:szCs w:val="17"/>
                <w:lang w:val="en-US"/>
              </w:rPr>
            </w:pPr>
            <w:r>
              <w:rPr>
                <w:rFonts w:ascii="Helvetica" w:hAnsi="Helvetica" w:cs="Helvetica"/>
                <w:b/>
                <w:bCs/>
                <w:sz w:val="17"/>
                <w:szCs w:val="17"/>
                <w:lang w:val="en-US"/>
              </w:rPr>
              <w:t>Table 2</w:t>
            </w:r>
            <w:r w:rsidR="00026F4C">
              <w:rPr>
                <w:rFonts w:ascii="Helvetica" w:hAnsi="Helvetica" w:cs="Helvetica"/>
                <w:b/>
                <w:bCs/>
                <w:sz w:val="17"/>
                <w:szCs w:val="17"/>
                <w:lang w:val="en-US"/>
              </w:rPr>
              <w:t>1</w:t>
            </w:r>
            <w:r w:rsidRPr="00447E70">
              <w:rPr>
                <w:rFonts w:ascii="Helvetica" w:hAnsi="Helvetica" w:cs="Helvetica"/>
                <w:b/>
                <w:bCs/>
                <w:sz w:val="17"/>
                <w:szCs w:val="17"/>
                <w:lang w:val="en-US"/>
              </w:rPr>
              <w:t xml:space="preserve">: </w:t>
            </w:r>
            <w:r w:rsidRPr="002E1F47">
              <w:rPr>
                <w:rFonts w:ascii="Helvetica" w:hAnsi="Helvetica" w:cs="Helvetica"/>
                <w:b/>
                <w:bCs/>
                <w:sz w:val="17"/>
                <w:szCs w:val="17"/>
                <w:lang w:val="en-US"/>
              </w:rPr>
              <w:t>Operating costs</w:t>
            </w:r>
            <w:r>
              <w:rPr>
                <w:rFonts w:ascii="Helvetica" w:hAnsi="Helvetica" w:cs="Helvetica"/>
                <w:b/>
                <w:bCs/>
                <w:sz w:val="17"/>
                <w:szCs w:val="17"/>
                <w:lang w:val="en-US"/>
              </w:rPr>
              <w:t xml:space="preserve"> by remote location</w:t>
            </w:r>
            <w:r>
              <w:rPr>
                <w:rFonts w:ascii="Helvetica" w:hAnsi="Helvetica" w:cs="Helvetica"/>
                <w:b/>
                <w:bCs/>
                <w:sz w:val="17"/>
                <w:szCs w:val="17"/>
                <w:lang w:val="en-US"/>
              </w:rPr>
              <w:br/>
              <w:t>1 July 201</w:t>
            </w:r>
            <w:r>
              <w:rPr>
                <w:rFonts w:ascii="Helvetica" w:hAnsi="Helvetica" w:cs="Helvetica"/>
                <w:b/>
                <w:bCs/>
                <w:sz w:val="17"/>
                <w:szCs w:val="17"/>
                <w:lang w:val="en-US"/>
              </w:rPr>
              <w:t>8</w:t>
            </w:r>
            <w:r>
              <w:rPr>
                <w:rFonts w:ascii="Helvetica" w:hAnsi="Helvetica" w:cs="Helvetica"/>
                <w:b/>
                <w:bCs/>
                <w:sz w:val="17"/>
                <w:szCs w:val="17"/>
                <w:lang w:val="en-US"/>
              </w:rPr>
              <w:t xml:space="preserve"> to 30 June 201</w:t>
            </w:r>
            <w:r>
              <w:rPr>
                <w:rFonts w:ascii="Helvetica" w:hAnsi="Helvetica" w:cs="Helvetica"/>
                <w:b/>
                <w:bCs/>
                <w:sz w:val="17"/>
                <w:szCs w:val="17"/>
                <w:lang w:val="en-US"/>
              </w:rPr>
              <w:t>9</w:t>
            </w:r>
            <w:r>
              <w:rPr>
                <w:rFonts w:ascii="Helvetica" w:hAnsi="Helvetica" w:cs="Helvetica"/>
                <w:b/>
                <w:bCs/>
                <w:sz w:val="17"/>
                <w:szCs w:val="17"/>
                <w:lang w:val="en-US"/>
              </w:rPr>
              <w:t>.</w:t>
            </w:r>
          </w:p>
          <w:tbl>
            <w:tblPr>
              <w:tblW w:w="5098" w:type="dxa"/>
              <w:tblLayout w:type="fixed"/>
              <w:tblLook w:val="04A0" w:firstRow="1" w:lastRow="0" w:firstColumn="1" w:lastColumn="0" w:noHBand="0" w:noVBand="1"/>
            </w:tblPr>
            <w:tblGrid>
              <w:gridCol w:w="2032"/>
              <w:gridCol w:w="786"/>
              <w:gridCol w:w="764"/>
              <w:gridCol w:w="764"/>
              <w:gridCol w:w="752"/>
            </w:tblGrid>
            <w:tr w:rsidR="007A241F" w:rsidRPr="00496ECA" w14:paraId="1B67CFF7" w14:textId="77777777" w:rsidTr="00B25249">
              <w:trPr>
                <w:trHeight w:val="253"/>
              </w:trPr>
              <w:tc>
                <w:tcPr>
                  <w:tcW w:w="2032" w:type="dxa"/>
                  <w:tcBorders>
                    <w:top w:val="single" w:sz="4" w:space="0" w:color="auto"/>
                    <w:left w:val="single" w:sz="4" w:space="0" w:color="auto"/>
                    <w:bottom w:val="single" w:sz="4" w:space="0" w:color="auto"/>
                    <w:right w:val="single" w:sz="4" w:space="0" w:color="auto"/>
                  </w:tcBorders>
                  <w:noWrap/>
                  <w:vAlign w:val="center"/>
                  <w:hideMark/>
                </w:tcPr>
                <w:p w14:paraId="61847C3B" w14:textId="77777777" w:rsidR="007A241F" w:rsidRPr="00496ECA" w:rsidRDefault="007A241F" w:rsidP="007A241F">
                  <w:pPr>
                    <w:spacing w:after="0" w:line="240" w:lineRule="auto"/>
                    <w:rPr>
                      <w:rFonts w:cs="Arial"/>
                      <w:b/>
                      <w:bCs/>
                      <w:sz w:val="16"/>
                      <w:szCs w:val="16"/>
                      <w:lang w:eastAsia="en-AU"/>
                    </w:rPr>
                  </w:pPr>
                  <w:r w:rsidRPr="00496ECA">
                    <w:rPr>
                      <w:rFonts w:cs="Arial"/>
                      <w:b/>
                      <w:bCs/>
                      <w:sz w:val="16"/>
                      <w:szCs w:val="16"/>
                      <w:lang w:eastAsia="en-AU"/>
                    </w:rPr>
                    <w:t>Community</w:t>
                  </w:r>
                </w:p>
              </w:tc>
              <w:tc>
                <w:tcPr>
                  <w:tcW w:w="786" w:type="dxa"/>
                  <w:tcBorders>
                    <w:top w:val="single" w:sz="4" w:space="0" w:color="auto"/>
                    <w:left w:val="nil"/>
                    <w:bottom w:val="single" w:sz="4" w:space="0" w:color="auto"/>
                    <w:right w:val="single" w:sz="4" w:space="0" w:color="auto"/>
                  </w:tcBorders>
                  <w:vAlign w:val="center"/>
                  <w:hideMark/>
                </w:tcPr>
                <w:p w14:paraId="329EE13D" w14:textId="77777777" w:rsidR="007A241F" w:rsidRPr="00496ECA" w:rsidRDefault="007A241F" w:rsidP="007A241F">
                  <w:pPr>
                    <w:spacing w:after="0" w:line="240" w:lineRule="auto"/>
                    <w:jc w:val="right"/>
                    <w:rPr>
                      <w:rFonts w:cs="Arial"/>
                      <w:b/>
                      <w:bCs/>
                      <w:sz w:val="16"/>
                      <w:szCs w:val="16"/>
                      <w:lang w:eastAsia="en-AU"/>
                    </w:rPr>
                  </w:pPr>
                  <w:proofErr w:type="spellStart"/>
                  <w:r w:rsidRPr="00496ECA">
                    <w:rPr>
                      <w:rFonts w:cs="Arial"/>
                      <w:b/>
                      <w:bCs/>
                      <w:sz w:val="16"/>
                      <w:szCs w:val="16"/>
                      <w:lang w:eastAsia="en-AU"/>
                    </w:rPr>
                    <w:t>Qtr</w:t>
                  </w:r>
                  <w:proofErr w:type="spellEnd"/>
                  <w:r w:rsidRPr="00496ECA">
                    <w:rPr>
                      <w:rFonts w:cs="Arial"/>
                      <w:b/>
                      <w:bCs/>
                      <w:sz w:val="16"/>
                      <w:szCs w:val="16"/>
                      <w:lang w:eastAsia="en-AU"/>
                    </w:rPr>
                    <w:t xml:space="preserve"> 1</w:t>
                  </w:r>
                </w:p>
              </w:tc>
              <w:tc>
                <w:tcPr>
                  <w:tcW w:w="764" w:type="dxa"/>
                  <w:tcBorders>
                    <w:top w:val="single" w:sz="4" w:space="0" w:color="auto"/>
                    <w:left w:val="nil"/>
                    <w:bottom w:val="single" w:sz="4" w:space="0" w:color="auto"/>
                    <w:right w:val="single" w:sz="4" w:space="0" w:color="auto"/>
                  </w:tcBorders>
                  <w:vAlign w:val="center"/>
                  <w:hideMark/>
                </w:tcPr>
                <w:p w14:paraId="1433BA07" w14:textId="77777777" w:rsidR="007A241F" w:rsidRPr="00496ECA" w:rsidRDefault="007A241F" w:rsidP="007A241F">
                  <w:pPr>
                    <w:spacing w:after="0" w:line="240" w:lineRule="auto"/>
                    <w:jc w:val="right"/>
                    <w:rPr>
                      <w:rFonts w:cs="Arial"/>
                      <w:b/>
                      <w:bCs/>
                      <w:sz w:val="16"/>
                      <w:szCs w:val="16"/>
                      <w:lang w:eastAsia="en-AU"/>
                    </w:rPr>
                  </w:pPr>
                  <w:proofErr w:type="spellStart"/>
                  <w:r w:rsidRPr="00496ECA">
                    <w:rPr>
                      <w:rFonts w:cs="Arial"/>
                      <w:b/>
                      <w:bCs/>
                      <w:sz w:val="16"/>
                      <w:szCs w:val="16"/>
                      <w:lang w:eastAsia="en-AU"/>
                    </w:rPr>
                    <w:t>Qtr</w:t>
                  </w:r>
                  <w:proofErr w:type="spellEnd"/>
                  <w:r w:rsidRPr="00496ECA">
                    <w:rPr>
                      <w:rFonts w:cs="Arial"/>
                      <w:b/>
                      <w:bCs/>
                      <w:sz w:val="16"/>
                      <w:szCs w:val="16"/>
                      <w:lang w:eastAsia="en-AU"/>
                    </w:rPr>
                    <w:t xml:space="preserve"> 2</w:t>
                  </w:r>
                </w:p>
              </w:tc>
              <w:tc>
                <w:tcPr>
                  <w:tcW w:w="764" w:type="dxa"/>
                  <w:tcBorders>
                    <w:top w:val="single" w:sz="4" w:space="0" w:color="auto"/>
                    <w:left w:val="nil"/>
                    <w:bottom w:val="single" w:sz="4" w:space="0" w:color="auto"/>
                    <w:right w:val="single" w:sz="4" w:space="0" w:color="auto"/>
                  </w:tcBorders>
                  <w:vAlign w:val="center"/>
                  <w:hideMark/>
                </w:tcPr>
                <w:p w14:paraId="1F74625B" w14:textId="77777777" w:rsidR="007A241F" w:rsidRPr="00496ECA" w:rsidRDefault="007A241F" w:rsidP="007A241F">
                  <w:pPr>
                    <w:spacing w:after="0" w:line="240" w:lineRule="auto"/>
                    <w:jc w:val="right"/>
                    <w:rPr>
                      <w:rFonts w:cs="Arial"/>
                      <w:b/>
                      <w:bCs/>
                      <w:sz w:val="16"/>
                      <w:szCs w:val="16"/>
                      <w:lang w:eastAsia="en-AU"/>
                    </w:rPr>
                  </w:pPr>
                  <w:proofErr w:type="spellStart"/>
                  <w:r w:rsidRPr="00496ECA">
                    <w:rPr>
                      <w:rFonts w:cs="Arial"/>
                      <w:b/>
                      <w:bCs/>
                      <w:sz w:val="16"/>
                      <w:szCs w:val="16"/>
                      <w:lang w:eastAsia="en-AU"/>
                    </w:rPr>
                    <w:t>Qtr</w:t>
                  </w:r>
                  <w:proofErr w:type="spellEnd"/>
                  <w:r w:rsidRPr="00496ECA">
                    <w:rPr>
                      <w:rFonts w:cs="Arial"/>
                      <w:b/>
                      <w:bCs/>
                      <w:sz w:val="16"/>
                      <w:szCs w:val="16"/>
                      <w:lang w:eastAsia="en-AU"/>
                    </w:rPr>
                    <w:t xml:space="preserve"> 3</w:t>
                  </w:r>
                </w:p>
              </w:tc>
              <w:tc>
                <w:tcPr>
                  <w:tcW w:w="752" w:type="dxa"/>
                  <w:tcBorders>
                    <w:top w:val="single" w:sz="4" w:space="0" w:color="auto"/>
                    <w:left w:val="nil"/>
                    <w:bottom w:val="single" w:sz="4" w:space="0" w:color="auto"/>
                    <w:right w:val="single" w:sz="4" w:space="0" w:color="auto"/>
                  </w:tcBorders>
                  <w:vAlign w:val="center"/>
                  <w:hideMark/>
                </w:tcPr>
                <w:p w14:paraId="4EEDFF4B" w14:textId="77777777" w:rsidR="007A241F" w:rsidRPr="00496ECA" w:rsidRDefault="007A241F" w:rsidP="007A241F">
                  <w:pPr>
                    <w:spacing w:after="0" w:line="240" w:lineRule="auto"/>
                    <w:jc w:val="right"/>
                    <w:rPr>
                      <w:rFonts w:cs="Arial"/>
                      <w:b/>
                      <w:bCs/>
                      <w:sz w:val="16"/>
                      <w:szCs w:val="16"/>
                      <w:lang w:eastAsia="en-AU"/>
                    </w:rPr>
                  </w:pPr>
                  <w:proofErr w:type="spellStart"/>
                  <w:r w:rsidRPr="00496ECA">
                    <w:rPr>
                      <w:rFonts w:cs="Arial"/>
                      <w:b/>
                      <w:bCs/>
                      <w:sz w:val="16"/>
                      <w:szCs w:val="16"/>
                      <w:lang w:eastAsia="en-AU"/>
                    </w:rPr>
                    <w:t>Qtr</w:t>
                  </w:r>
                  <w:proofErr w:type="spellEnd"/>
                  <w:r w:rsidRPr="00496ECA">
                    <w:rPr>
                      <w:rFonts w:cs="Arial"/>
                      <w:b/>
                      <w:bCs/>
                      <w:sz w:val="16"/>
                      <w:szCs w:val="16"/>
                      <w:lang w:eastAsia="en-AU"/>
                    </w:rPr>
                    <w:t xml:space="preserve"> 4</w:t>
                  </w:r>
                </w:p>
              </w:tc>
            </w:tr>
            <w:tr w:rsidR="0066001C" w:rsidRPr="00496ECA" w14:paraId="2AD1FB97" w14:textId="77777777" w:rsidTr="009372C9">
              <w:trPr>
                <w:trHeight w:val="284"/>
              </w:trPr>
              <w:tc>
                <w:tcPr>
                  <w:tcW w:w="2032" w:type="dxa"/>
                  <w:tcBorders>
                    <w:top w:val="nil"/>
                    <w:left w:val="single" w:sz="4" w:space="0" w:color="auto"/>
                    <w:bottom w:val="single" w:sz="4" w:space="0" w:color="auto"/>
                    <w:right w:val="single" w:sz="4" w:space="0" w:color="auto"/>
                  </w:tcBorders>
                  <w:noWrap/>
                  <w:vAlign w:val="center"/>
                  <w:hideMark/>
                </w:tcPr>
                <w:p w14:paraId="78A209E6" w14:textId="77777777" w:rsidR="0066001C" w:rsidRPr="00496ECA" w:rsidRDefault="0066001C" w:rsidP="0066001C">
                  <w:pPr>
                    <w:spacing w:after="0" w:line="240" w:lineRule="auto"/>
                    <w:rPr>
                      <w:rFonts w:cs="Arial"/>
                      <w:sz w:val="16"/>
                      <w:szCs w:val="16"/>
                      <w:lang w:eastAsia="en-AU"/>
                    </w:rPr>
                  </w:pPr>
                  <w:r w:rsidRPr="00496ECA">
                    <w:rPr>
                      <w:rFonts w:cs="Arial"/>
                      <w:sz w:val="16"/>
                      <w:szCs w:val="16"/>
                      <w:lang w:eastAsia="en-AU"/>
                    </w:rPr>
                    <w:t>Aurukun</w:t>
                  </w:r>
                </w:p>
              </w:tc>
              <w:tc>
                <w:tcPr>
                  <w:tcW w:w="786" w:type="dxa"/>
                  <w:tcBorders>
                    <w:top w:val="nil"/>
                    <w:left w:val="nil"/>
                    <w:bottom w:val="single" w:sz="4" w:space="0" w:color="auto"/>
                    <w:right w:val="single" w:sz="4" w:space="0" w:color="auto"/>
                  </w:tcBorders>
                  <w:vAlign w:val="center"/>
                </w:tcPr>
                <w:p w14:paraId="7B62AE38" w14:textId="4EFAEC24" w:rsidR="0066001C" w:rsidRPr="0066001C" w:rsidRDefault="0066001C" w:rsidP="0066001C">
                  <w:pPr>
                    <w:spacing w:after="0" w:line="240" w:lineRule="auto"/>
                    <w:jc w:val="right"/>
                    <w:rPr>
                      <w:rFonts w:cs="Arial"/>
                      <w:sz w:val="16"/>
                      <w:szCs w:val="16"/>
                      <w:lang w:eastAsia="en-AU"/>
                    </w:rPr>
                  </w:pPr>
                  <w:r w:rsidRPr="0066001C">
                    <w:rPr>
                      <w:rFonts w:cs="Arial"/>
                      <w:sz w:val="16"/>
                      <w:szCs w:val="16"/>
                    </w:rPr>
                    <w:t>105K</w:t>
                  </w:r>
                </w:p>
              </w:tc>
              <w:tc>
                <w:tcPr>
                  <w:tcW w:w="764" w:type="dxa"/>
                  <w:tcBorders>
                    <w:top w:val="nil"/>
                    <w:left w:val="nil"/>
                    <w:bottom w:val="single" w:sz="4" w:space="0" w:color="auto"/>
                    <w:right w:val="single" w:sz="4" w:space="0" w:color="auto"/>
                  </w:tcBorders>
                  <w:vAlign w:val="center"/>
                </w:tcPr>
                <w:p w14:paraId="13C28951" w14:textId="0B41FFB7" w:rsidR="0066001C" w:rsidRPr="0066001C" w:rsidRDefault="0066001C" w:rsidP="0066001C">
                  <w:pPr>
                    <w:spacing w:after="0" w:line="240" w:lineRule="auto"/>
                    <w:jc w:val="right"/>
                    <w:rPr>
                      <w:rFonts w:cs="Arial"/>
                      <w:sz w:val="16"/>
                      <w:szCs w:val="16"/>
                      <w:lang w:eastAsia="en-AU"/>
                    </w:rPr>
                  </w:pPr>
                  <w:r w:rsidRPr="0066001C">
                    <w:rPr>
                      <w:rFonts w:cs="Arial"/>
                      <w:sz w:val="16"/>
                      <w:szCs w:val="16"/>
                    </w:rPr>
                    <w:t>110K</w:t>
                  </w:r>
                </w:p>
              </w:tc>
              <w:tc>
                <w:tcPr>
                  <w:tcW w:w="764" w:type="dxa"/>
                  <w:tcBorders>
                    <w:top w:val="nil"/>
                    <w:left w:val="nil"/>
                    <w:bottom w:val="single" w:sz="4" w:space="0" w:color="auto"/>
                    <w:right w:val="single" w:sz="4" w:space="0" w:color="auto"/>
                  </w:tcBorders>
                  <w:vAlign w:val="center"/>
                </w:tcPr>
                <w:p w14:paraId="291A9C5A" w14:textId="7DFBD2C3" w:rsidR="0066001C" w:rsidRPr="0066001C" w:rsidRDefault="0066001C" w:rsidP="0066001C">
                  <w:pPr>
                    <w:spacing w:after="0" w:line="240" w:lineRule="auto"/>
                    <w:jc w:val="right"/>
                    <w:rPr>
                      <w:rFonts w:cs="Arial"/>
                      <w:sz w:val="16"/>
                      <w:szCs w:val="16"/>
                      <w:lang w:eastAsia="en-AU"/>
                    </w:rPr>
                  </w:pPr>
                  <w:r w:rsidRPr="0066001C">
                    <w:rPr>
                      <w:rFonts w:cs="Arial"/>
                      <w:sz w:val="16"/>
                      <w:szCs w:val="16"/>
                    </w:rPr>
                    <w:t>105K</w:t>
                  </w:r>
                </w:p>
              </w:tc>
              <w:tc>
                <w:tcPr>
                  <w:tcW w:w="752" w:type="dxa"/>
                  <w:tcBorders>
                    <w:top w:val="nil"/>
                    <w:left w:val="nil"/>
                    <w:bottom w:val="single" w:sz="4" w:space="0" w:color="auto"/>
                    <w:right w:val="single" w:sz="4" w:space="0" w:color="auto"/>
                  </w:tcBorders>
                  <w:vAlign w:val="center"/>
                </w:tcPr>
                <w:p w14:paraId="7CECFDCF" w14:textId="40D18763" w:rsidR="0066001C" w:rsidRPr="0066001C" w:rsidRDefault="0066001C" w:rsidP="0066001C">
                  <w:pPr>
                    <w:spacing w:after="0" w:line="240" w:lineRule="auto"/>
                    <w:jc w:val="right"/>
                    <w:rPr>
                      <w:rFonts w:cs="Arial"/>
                      <w:sz w:val="16"/>
                      <w:szCs w:val="16"/>
                      <w:lang w:eastAsia="en-AU"/>
                    </w:rPr>
                  </w:pPr>
                  <w:r w:rsidRPr="0066001C">
                    <w:rPr>
                      <w:rFonts w:cs="Arial"/>
                      <w:sz w:val="16"/>
                      <w:szCs w:val="16"/>
                    </w:rPr>
                    <w:t>125K</w:t>
                  </w:r>
                </w:p>
              </w:tc>
            </w:tr>
            <w:tr w:rsidR="0066001C" w:rsidRPr="00496ECA" w14:paraId="42345E65" w14:textId="77777777" w:rsidTr="009372C9">
              <w:trPr>
                <w:trHeight w:val="284"/>
              </w:trPr>
              <w:tc>
                <w:tcPr>
                  <w:tcW w:w="2032" w:type="dxa"/>
                  <w:tcBorders>
                    <w:top w:val="nil"/>
                    <w:left w:val="single" w:sz="4" w:space="0" w:color="auto"/>
                    <w:bottom w:val="single" w:sz="4" w:space="0" w:color="auto"/>
                    <w:right w:val="single" w:sz="4" w:space="0" w:color="auto"/>
                  </w:tcBorders>
                  <w:noWrap/>
                  <w:vAlign w:val="center"/>
                  <w:hideMark/>
                </w:tcPr>
                <w:p w14:paraId="54ADA067" w14:textId="77777777" w:rsidR="0066001C" w:rsidRPr="00496ECA" w:rsidRDefault="0066001C" w:rsidP="0066001C">
                  <w:pPr>
                    <w:spacing w:after="0" w:line="240" w:lineRule="auto"/>
                    <w:rPr>
                      <w:rFonts w:cs="Arial"/>
                      <w:sz w:val="16"/>
                      <w:szCs w:val="16"/>
                      <w:lang w:eastAsia="en-AU"/>
                    </w:rPr>
                  </w:pPr>
                  <w:r w:rsidRPr="00496ECA">
                    <w:rPr>
                      <w:rFonts w:cs="Arial"/>
                      <w:sz w:val="16"/>
                      <w:szCs w:val="16"/>
                      <w:lang w:eastAsia="en-AU"/>
                    </w:rPr>
                    <w:t>Coen</w:t>
                  </w:r>
                </w:p>
              </w:tc>
              <w:tc>
                <w:tcPr>
                  <w:tcW w:w="786" w:type="dxa"/>
                  <w:tcBorders>
                    <w:top w:val="nil"/>
                    <w:left w:val="nil"/>
                    <w:bottom w:val="single" w:sz="4" w:space="0" w:color="auto"/>
                    <w:right w:val="single" w:sz="4" w:space="0" w:color="auto"/>
                  </w:tcBorders>
                  <w:vAlign w:val="center"/>
                </w:tcPr>
                <w:p w14:paraId="23EF7360" w14:textId="4143C73E" w:rsidR="0066001C" w:rsidRPr="0066001C" w:rsidRDefault="0066001C" w:rsidP="0066001C">
                  <w:pPr>
                    <w:spacing w:after="0" w:line="240" w:lineRule="auto"/>
                    <w:jc w:val="right"/>
                    <w:rPr>
                      <w:rFonts w:cs="Arial"/>
                      <w:sz w:val="16"/>
                      <w:szCs w:val="16"/>
                      <w:lang w:eastAsia="en-AU"/>
                    </w:rPr>
                  </w:pPr>
                  <w:r w:rsidRPr="0066001C">
                    <w:rPr>
                      <w:rFonts w:cs="Arial"/>
                      <w:sz w:val="16"/>
                      <w:szCs w:val="16"/>
                    </w:rPr>
                    <w:t>24K</w:t>
                  </w:r>
                </w:p>
              </w:tc>
              <w:tc>
                <w:tcPr>
                  <w:tcW w:w="764" w:type="dxa"/>
                  <w:tcBorders>
                    <w:top w:val="nil"/>
                    <w:left w:val="nil"/>
                    <w:bottom w:val="single" w:sz="4" w:space="0" w:color="auto"/>
                    <w:right w:val="single" w:sz="4" w:space="0" w:color="auto"/>
                  </w:tcBorders>
                  <w:vAlign w:val="center"/>
                </w:tcPr>
                <w:p w14:paraId="3429E931" w14:textId="603F6D0A" w:rsidR="0066001C" w:rsidRPr="0066001C" w:rsidRDefault="0066001C" w:rsidP="0066001C">
                  <w:pPr>
                    <w:spacing w:after="0" w:line="240" w:lineRule="auto"/>
                    <w:jc w:val="right"/>
                    <w:rPr>
                      <w:rFonts w:cs="Arial"/>
                      <w:sz w:val="16"/>
                      <w:szCs w:val="16"/>
                      <w:lang w:eastAsia="en-AU"/>
                    </w:rPr>
                  </w:pPr>
                  <w:r w:rsidRPr="0066001C">
                    <w:rPr>
                      <w:rFonts w:cs="Arial"/>
                      <w:sz w:val="16"/>
                      <w:szCs w:val="16"/>
                    </w:rPr>
                    <w:t>34K</w:t>
                  </w:r>
                </w:p>
              </w:tc>
              <w:tc>
                <w:tcPr>
                  <w:tcW w:w="764" w:type="dxa"/>
                  <w:tcBorders>
                    <w:top w:val="nil"/>
                    <w:left w:val="nil"/>
                    <w:bottom w:val="single" w:sz="4" w:space="0" w:color="auto"/>
                    <w:right w:val="single" w:sz="4" w:space="0" w:color="auto"/>
                  </w:tcBorders>
                  <w:vAlign w:val="center"/>
                </w:tcPr>
                <w:p w14:paraId="46E3C2EF" w14:textId="7C46F876" w:rsidR="0066001C" w:rsidRPr="0066001C" w:rsidRDefault="0066001C" w:rsidP="0066001C">
                  <w:pPr>
                    <w:spacing w:after="0" w:line="240" w:lineRule="auto"/>
                    <w:jc w:val="right"/>
                    <w:rPr>
                      <w:rFonts w:cs="Arial"/>
                      <w:sz w:val="16"/>
                      <w:szCs w:val="16"/>
                      <w:lang w:eastAsia="en-AU"/>
                    </w:rPr>
                  </w:pPr>
                  <w:r w:rsidRPr="0066001C">
                    <w:rPr>
                      <w:rFonts w:cs="Arial"/>
                      <w:sz w:val="16"/>
                      <w:szCs w:val="16"/>
                    </w:rPr>
                    <w:t>23K</w:t>
                  </w:r>
                </w:p>
              </w:tc>
              <w:tc>
                <w:tcPr>
                  <w:tcW w:w="752" w:type="dxa"/>
                  <w:tcBorders>
                    <w:top w:val="nil"/>
                    <w:left w:val="nil"/>
                    <w:bottom w:val="single" w:sz="4" w:space="0" w:color="auto"/>
                    <w:right w:val="single" w:sz="4" w:space="0" w:color="auto"/>
                  </w:tcBorders>
                  <w:vAlign w:val="center"/>
                </w:tcPr>
                <w:p w14:paraId="2ABA2544" w14:textId="49B6D348" w:rsidR="0066001C" w:rsidRPr="0066001C" w:rsidRDefault="0066001C" w:rsidP="0066001C">
                  <w:pPr>
                    <w:spacing w:after="0" w:line="240" w:lineRule="auto"/>
                    <w:jc w:val="right"/>
                    <w:rPr>
                      <w:rFonts w:cs="Arial"/>
                      <w:sz w:val="16"/>
                      <w:szCs w:val="16"/>
                      <w:lang w:eastAsia="en-AU"/>
                    </w:rPr>
                  </w:pPr>
                  <w:r w:rsidRPr="0066001C">
                    <w:rPr>
                      <w:rFonts w:cs="Arial"/>
                      <w:sz w:val="16"/>
                      <w:szCs w:val="16"/>
                    </w:rPr>
                    <w:t>54K</w:t>
                  </w:r>
                </w:p>
              </w:tc>
            </w:tr>
            <w:tr w:rsidR="0066001C" w:rsidRPr="00496ECA" w14:paraId="3408CC8E" w14:textId="77777777" w:rsidTr="009372C9">
              <w:trPr>
                <w:trHeight w:val="284"/>
              </w:trPr>
              <w:tc>
                <w:tcPr>
                  <w:tcW w:w="2032" w:type="dxa"/>
                  <w:tcBorders>
                    <w:top w:val="nil"/>
                    <w:left w:val="single" w:sz="4" w:space="0" w:color="auto"/>
                    <w:bottom w:val="single" w:sz="4" w:space="0" w:color="auto"/>
                    <w:right w:val="single" w:sz="4" w:space="0" w:color="auto"/>
                  </w:tcBorders>
                  <w:noWrap/>
                  <w:vAlign w:val="center"/>
                </w:tcPr>
                <w:p w14:paraId="6E162779" w14:textId="77777777" w:rsidR="0066001C" w:rsidRPr="00496ECA" w:rsidRDefault="0066001C" w:rsidP="0066001C">
                  <w:pPr>
                    <w:spacing w:after="0" w:line="240" w:lineRule="auto"/>
                    <w:rPr>
                      <w:rFonts w:cs="Arial"/>
                      <w:sz w:val="16"/>
                      <w:szCs w:val="16"/>
                      <w:lang w:eastAsia="en-AU"/>
                    </w:rPr>
                  </w:pPr>
                  <w:r w:rsidRPr="00496ECA">
                    <w:rPr>
                      <w:rFonts w:cs="Arial"/>
                      <w:sz w:val="16"/>
                      <w:szCs w:val="16"/>
                      <w:lang w:eastAsia="en-AU"/>
                    </w:rPr>
                    <w:t>Doomadgee</w:t>
                  </w:r>
                </w:p>
              </w:tc>
              <w:tc>
                <w:tcPr>
                  <w:tcW w:w="786" w:type="dxa"/>
                  <w:tcBorders>
                    <w:top w:val="nil"/>
                    <w:left w:val="nil"/>
                    <w:bottom w:val="single" w:sz="4" w:space="0" w:color="auto"/>
                    <w:right w:val="single" w:sz="4" w:space="0" w:color="auto"/>
                  </w:tcBorders>
                  <w:vAlign w:val="center"/>
                </w:tcPr>
                <w:p w14:paraId="62F5448A" w14:textId="05D45A49" w:rsidR="0066001C" w:rsidRPr="0066001C" w:rsidRDefault="0066001C" w:rsidP="0066001C">
                  <w:pPr>
                    <w:spacing w:after="0" w:line="240" w:lineRule="auto"/>
                    <w:jc w:val="right"/>
                    <w:rPr>
                      <w:rFonts w:cs="Arial"/>
                      <w:sz w:val="16"/>
                      <w:szCs w:val="16"/>
                      <w:lang w:eastAsia="en-AU"/>
                    </w:rPr>
                  </w:pPr>
                  <w:r w:rsidRPr="0066001C">
                    <w:rPr>
                      <w:rFonts w:cs="Arial"/>
                      <w:sz w:val="16"/>
                      <w:szCs w:val="16"/>
                    </w:rPr>
                    <w:t>142K</w:t>
                  </w:r>
                </w:p>
              </w:tc>
              <w:tc>
                <w:tcPr>
                  <w:tcW w:w="764" w:type="dxa"/>
                  <w:tcBorders>
                    <w:top w:val="nil"/>
                    <w:left w:val="nil"/>
                    <w:bottom w:val="single" w:sz="4" w:space="0" w:color="auto"/>
                    <w:right w:val="single" w:sz="4" w:space="0" w:color="auto"/>
                  </w:tcBorders>
                  <w:vAlign w:val="center"/>
                </w:tcPr>
                <w:p w14:paraId="76535E70" w14:textId="3E984FED" w:rsidR="0066001C" w:rsidRPr="0066001C" w:rsidRDefault="0066001C" w:rsidP="0066001C">
                  <w:pPr>
                    <w:spacing w:after="0" w:line="240" w:lineRule="auto"/>
                    <w:jc w:val="right"/>
                    <w:rPr>
                      <w:rFonts w:cs="Arial"/>
                      <w:sz w:val="16"/>
                      <w:szCs w:val="16"/>
                      <w:lang w:eastAsia="en-AU"/>
                    </w:rPr>
                  </w:pPr>
                  <w:r w:rsidRPr="0066001C">
                    <w:rPr>
                      <w:rFonts w:cs="Arial"/>
                      <w:sz w:val="16"/>
                      <w:szCs w:val="16"/>
                    </w:rPr>
                    <w:t>148K</w:t>
                  </w:r>
                </w:p>
              </w:tc>
              <w:tc>
                <w:tcPr>
                  <w:tcW w:w="764" w:type="dxa"/>
                  <w:tcBorders>
                    <w:top w:val="nil"/>
                    <w:left w:val="nil"/>
                    <w:bottom w:val="single" w:sz="4" w:space="0" w:color="auto"/>
                    <w:right w:val="single" w:sz="4" w:space="0" w:color="auto"/>
                  </w:tcBorders>
                  <w:vAlign w:val="center"/>
                </w:tcPr>
                <w:p w14:paraId="775AD5A3" w14:textId="743F13C8" w:rsidR="0066001C" w:rsidRPr="0066001C" w:rsidRDefault="0066001C" w:rsidP="0066001C">
                  <w:pPr>
                    <w:spacing w:after="0" w:line="240" w:lineRule="auto"/>
                    <w:jc w:val="right"/>
                    <w:rPr>
                      <w:rFonts w:cs="Arial"/>
                      <w:sz w:val="16"/>
                      <w:szCs w:val="16"/>
                      <w:lang w:eastAsia="en-AU"/>
                    </w:rPr>
                  </w:pPr>
                  <w:r w:rsidRPr="0066001C">
                    <w:rPr>
                      <w:rFonts w:cs="Arial"/>
                      <w:sz w:val="16"/>
                      <w:szCs w:val="16"/>
                    </w:rPr>
                    <w:t>96K</w:t>
                  </w:r>
                </w:p>
              </w:tc>
              <w:tc>
                <w:tcPr>
                  <w:tcW w:w="752" w:type="dxa"/>
                  <w:tcBorders>
                    <w:top w:val="nil"/>
                    <w:left w:val="nil"/>
                    <w:bottom w:val="single" w:sz="4" w:space="0" w:color="auto"/>
                    <w:right w:val="single" w:sz="4" w:space="0" w:color="auto"/>
                  </w:tcBorders>
                  <w:vAlign w:val="center"/>
                </w:tcPr>
                <w:p w14:paraId="72C2BE3B" w14:textId="32E6D3F2" w:rsidR="0066001C" w:rsidRPr="0066001C" w:rsidRDefault="0066001C" w:rsidP="0066001C">
                  <w:pPr>
                    <w:spacing w:after="0" w:line="240" w:lineRule="auto"/>
                    <w:jc w:val="right"/>
                    <w:rPr>
                      <w:rFonts w:cs="Arial"/>
                      <w:sz w:val="16"/>
                      <w:szCs w:val="16"/>
                      <w:lang w:eastAsia="en-AU"/>
                    </w:rPr>
                  </w:pPr>
                  <w:r w:rsidRPr="0066001C">
                    <w:rPr>
                      <w:rFonts w:cs="Arial"/>
                      <w:sz w:val="16"/>
                      <w:szCs w:val="16"/>
                    </w:rPr>
                    <w:t>122K</w:t>
                  </w:r>
                </w:p>
              </w:tc>
            </w:tr>
            <w:tr w:rsidR="0066001C" w:rsidRPr="00496ECA" w14:paraId="285F3CDB" w14:textId="77777777" w:rsidTr="009372C9">
              <w:trPr>
                <w:trHeight w:val="284"/>
              </w:trPr>
              <w:tc>
                <w:tcPr>
                  <w:tcW w:w="2032" w:type="dxa"/>
                  <w:tcBorders>
                    <w:top w:val="nil"/>
                    <w:left w:val="single" w:sz="4" w:space="0" w:color="auto"/>
                    <w:bottom w:val="single" w:sz="4" w:space="0" w:color="auto"/>
                    <w:right w:val="single" w:sz="4" w:space="0" w:color="auto"/>
                  </w:tcBorders>
                  <w:noWrap/>
                  <w:vAlign w:val="center"/>
                  <w:hideMark/>
                </w:tcPr>
                <w:p w14:paraId="509C2572" w14:textId="77777777" w:rsidR="0066001C" w:rsidRPr="00496ECA" w:rsidRDefault="0066001C" w:rsidP="0066001C">
                  <w:pPr>
                    <w:spacing w:after="0" w:line="240" w:lineRule="auto"/>
                    <w:rPr>
                      <w:rFonts w:cs="Arial"/>
                      <w:sz w:val="16"/>
                      <w:szCs w:val="16"/>
                      <w:lang w:eastAsia="en-AU"/>
                    </w:rPr>
                  </w:pPr>
                  <w:r w:rsidRPr="00496ECA">
                    <w:rPr>
                      <w:rFonts w:cs="Arial"/>
                      <w:sz w:val="16"/>
                      <w:szCs w:val="16"/>
                      <w:lang w:eastAsia="en-AU"/>
                    </w:rPr>
                    <w:t>Hope Vale</w:t>
                  </w:r>
                </w:p>
              </w:tc>
              <w:tc>
                <w:tcPr>
                  <w:tcW w:w="786" w:type="dxa"/>
                  <w:tcBorders>
                    <w:top w:val="nil"/>
                    <w:left w:val="nil"/>
                    <w:bottom w:val="single" w:sz="4" w:space="0" w:color="auto"/>
                    <w:right w:val="single" w:sz="4" w:space="0" w:color="auto"/>
                  </w:tcBorders>
                  <w:vAlign w:val="center"/>
                </w:tcPr>
                <w:p w14:paraId="115579A8" w14:textId="5C5DC128" w:rsidR="0066001C" w:rsidRPr="0066001C" w:rsidRDefault="0066001C" w:rsidP="0066001C">
                  <w:pPr>
                    <w:spacing w:after="0" w:line="240" w:lineRule="auto"/>
                    <w:jc w:val="right"/>
                    <w:rPr>
                      <w:rFonts w:cs="Arial"/>
                      <w:sz w:val="16"/>
                      <w:szCs w:val="16"/>
                      <w:lang w:eastAsia="en-AU"/>
                    </w:rPr>
                  </w:pPr>
                  <w:r w:rsidRPr="0066001C">
                    <w:rPr>
                      <w:rFonts w:cs="Arial"/>
                      <w:sz w:val="16"/>
                      <w:szCs w:val="16"/>
                    </w:rPr>
                    <w:t>60K</w:t>
                  </w:r>
                </w:p>
              </w:tc>
              <w:tc>
                <w:tcPr>
                  <w:tcW w:w="764" w:type="dxa"/>
                  <w:tcBorders>
                    <w:top w:val="nil"/>
                    <w:left w:val="nil"/>
                    <w:bottom w:val="single" w:sz="4" w:space="0" w:color="auto"/>
                    <w:right w:val="single" w:sz="4" w:space="0" w:color="auto"/>
                  </w:tcBorders>
                  <w:vAlign w:val="center"/>
                </w:tcPr>
                <w:p w14:paraId="1728E372" w14:textId="13C7F7FF" w:rsidR="0066001C" w:rsidRPr="0066001C" w:rsidRDefault="0066001C" w:rsidP="0066001C">
                  <w:pPr>
                    <w:spacing w:after="0" w:line="240" w:lineRule="auto"/>
                    <w:jc w:val="right"/>
                    <w:rPr>
                      <w:rFonts w:cs="Arial"/>
                      <w:sz w:val="16"/>
                      <w:szCs w:val="16"/>
                      <w:lang w:eastAsia="en-AU"/>
                    </w:rPr>
                  </w:pPr>
                  <w:r w:rsidRPr="0066001C">
                    <w:rPr>
                      <w:rFonts w:cs="Arial"/>
                      <w:sz w:val="16"/>
                      <w:szCs w:val="16"/>
                    </w:rPr>
                    <w:t>71K</w:t>
                  </w:r>
                </w:p>
              </w:tc>
              <w:tc>
                <w:tcPr>
                  <w:tcW w:w="764" w:type="dxa"/>
                  <w:tcBorders>
                    <w:top w:val="nil"/>
                    <w:left w:val="nil"/>
                    <w:bottom w:val="single" w:sz="4" w:space="0" w:color="auto"/>
                    <w:right w:val="single" w:sz="4" w:space="0" w:color="auto"/>
                  </w:tcBorders>
                  <w:vAlign w:val="center"/>
                </w:tcPr>
                <w:p w14:paraId="16AA55D9" w14:textId="7981AAA7" w:rsidR="0066001C" w:rsidRPr="0066001C" w:rsidRDefault="0066001C" w:rsidP="0066001C">
                  <w:pPr>
                    <w:spacing w:after="0" w:line="240" w:lineRule="auto"/>
                    <w:jc w:val="right"/>
                    <w:rPr>
                      <w:rFonts w:cs="Arial"/>
                      <w:sz w:val="16"/>
                      <w:szCs w:val="16"/>
                      <w:lang w:eastAsia="en-AU"/>
                    </w:rPr>
                  </w:pPr>
                  <w:r w:rsidRPr="0066001C">
                    <w:rPr>
                      <w:rFonts w:cs="Arial"/>
                      <w:sz w:val="16"/>
                      <w:szCs w:val="16"/>
                    </w:rPr>
                    <w:t>41K</w:t>
                  </w:r>
                </w:p>
              </w:tc>
              <w:tc>
                <w:tcPr>
                  <w:tcW w:w="752" w:type="dxa"/>
                  <w:tcBorders>
                    <w:top w:val="nil"/>
                    <w:left w:val="nil"/>
                    <w:bottom w:val="single" w:sz="4" w:space="0" w:color="auto"/>
                    <w:right w:val="single" w:sz="4" w:space="0" w:color="auto"/>
                  </w:tcBorders>
                  <w:vAlign w:val="center"/>
                </w:tcPr>
                <w:p w14:paraId="1FAC199C" w14:textId="7E7CD1A2" w:rsidR="0066001C" w:rsidRPr="0066001C" w:rsidRDefault="0066001C" w:rsidP="0066001C">
                  <w:pPr>
                    <w:spacing w:after="0" w:line="240" w:lineRule="auto"/>
                    <w:jc w:val="right"/>
                    <w:rPr>
                      <w:rFonts w:cs="Arial"/>
                      <w:sz w:val="16"/>
                      <w:szCs w:val="16"/>
                      <w:lang w:eastAsia="en-AU"/>
                    </w:rPr>
                  </w:pPr>
                  <w:r w:rsidRPr="0066001C">
                    <w:rPr>
                      <w:rFonts w:cs="Arial"/>
                      <w:sz w:val="16"/>
                      <w:szCs w:val="16"/>
                    </w:rPr>
                    <w:t>68K</w:t>
                  </w:r>
                </w:p>
              </w:tc>
            </w:tr>
            <w:tr w:rsidR="0066001C" w:rsidRPr="00496ECA" w14:paraId="099C55A8" w14:textId="77777777" w:rsidTr="009372C9">
              <w:trPr>
                <w:trHeight w:val="284"/>
              </w:trPr>
              <w:tc>
                <w:tcPr>
                  <w:tcW w:w="2032" w:type="dxa"/>
                  <w:tcBorders>
                    <w:top w:val="nil"/>
                    <w:left w:val="single" w:sz="4" w:space="0" w:color="auto"/>
                    <w:bottom w:val="single" w:sz="4" w:space="0" w:color="auto"/>
                    <w:right w:val="single" w:sz="4" w:space="0" w:color="auto"/>
                  </w:tcBorders>
                  <w:noWrap/>
                  <w:vAlign w:val="center"/>
                  <w:hideMark/>
                </w:tcPr>
                <w:p w14:paraId="68AE6676" w14:textId="77777777" w:rsidR="0066001C" w:rsidRPr="00496ECA" w:rsidRDefault="0066001C" w:rsidP="0066001C">
                  <w:pPr>
                    <w:spacing w:after="0" w:line="240" w:lineRule="auto"/>
                    <w:rPr>
                      <w:rFonts w:cs="Arial"/>
                      <w:sz w:val="16"/>
                      <w:szCs w:val="16"/>
                      <w:lang w:eastAsia="en-AU"/>
                    </w:rPr>
                  </w:pPr>
                  <w:r w:rsidRPr="00496ECA">
                    <w:rPr>
                      <w:rFonts w:cs="Arial"/>
                      <w:sz w:val="16"/>
                      <w:szCs w:val="16"/>
                      <w:lang w:eastAsia="en-AU"/>
                    </w:rPr>
                    <w:t>Mossman Gorge</w:t>
                  </w:r>
                </w:p>
              </w:tc>
              <w:tc>
                <w:tcPr>
                  <w:tcW w:w="786" w:type="dxa"/>
                  <w:tcBorders>
                    <w:top w:val="nil"/>
                    <w:left w:val="nil"/>
                    <w:bottom w:val="single" w:sz="4" w:space="0" w:color="auto"/>
                    <w:right w:val="single" w:sz="4" w:space="0" w:color="auto"/>
                  </w:tcBorders>
                  <w:vAlign w:val="center"/>
                </w:tcPr>
                <w:p w14:paraId="059DB2F5" w14:textId="1583358E" w:rsidR="0066001C" w:rsidRPr="0066001C" w:rsidRDefault="0066001C" w:rsidP="0066001C">
                  <w:pPr>
                    <w:spacing w:after="0" w:line="240" w:lineRule="auto"/>
                    <w:jc w:val="right"/>
                    <w:rPr>
                      <w:rFonts w:cs="Arial"/>
                      <w:sz w:val="16"/>
                      <w:szCs w:val="16"/>
                      <w:lang w:eastAsia="en-AU"/>
                    </w:rPr>
                  </w:pPr>
                  <w:r w:rsidRPr="0066001C">
                    <w:rPr>
                      <w:rFonts w:cs="Arial"/>
                      <w:sz w:val="16"/>
                      <w:szCs w:val="16"/>
                    </w:rPr>
                    <w:t>28K</w:t>
                  </w:r>
                </w:p>
              </w:tc>
              <w:tc>
                <w:tcPr>
                  <w:tcW w:w="764" w:type="dxa"/>
                  <w:tcBorders>
                    <w:top w:val="nil"/>
                    <w:left w:val="nil"/>
                    <w:bottom w:val="single" w:sz="4" w:space="0" w:color="auto"/>
                    <w:right w:val="single" w:sz="4" w:space="0" w:color="auto"/>
                  </w:tcBorders>
                  <w:vAlign w:val="center"/>
                </w:tcPr>
                <w:p w14:paraId="0DE71EAC" w14:textId="65AA4C3F" w:rsidR="0066001C" w:rsidRPr="0066001C" w:rsidRDefault="0066001C" w:rsidP="0066001C">
                  <w:pPr>
                    <w:spacing w:after="0" w:line="240" w:lineRule="auto"/>
                    <w:jc w:val="right"/>
                    <w:rPr>
                      <w:rFonts w:cs="Arial"/>
                      <w:sz w:val="16"/>
                      <w:szCs w:val="16"/>
                      <w:lang w:eastAsia="en-AU"/>
                    </w:rPr>
                  </w:pPr>
                  <w:r w:rsidRPr="0066001C">
                    <w:rPr>
                      <w:rFonts w:cs="Arial"/>
                      <w:sz w:val="16"/>
                      <w:szCs w:val="16"/>
                    </w:rPr>
                    <w:t>29K</w:t>
                  </w:r>
                </w:p>
              </w:tc>
              <w:tc>
                <w:tcPr>
                  <w:tcW w:w="764" w:type="dxa"/>
                  <w:tcBorders>
                    <w:top w:val="nil"/>
                    <w:left w:val="nil"/>
                    <w:bottom w:val="single" w:sz="4" w:space="0" w:color="auto"/>
                    <w:right w:val="single" w:sz="4" w:space="0" w:color="auto"/>
                  </w:tcBorders>
                  <w:vAlign w:val="center"/>
                </w:tcPr>
                <w:p w14:paraId="769072C4" w14:textId="513BE78D" w:rsidR="0066001C" w:rsidRPr="0066001C" w:rsidRDefault="0066001C" w:rsidP="0066001C">
                  <w:pPr>
                    <w:spacing w:after="0" w:line="240" w:lineRule="auto"/>
                    <w:jc w:val="right"/>
                    <w:rPr>
                      <w:rFonts w:cs="Arial"/>
                      <w:sz w:val="16"/>
                      <w:szCs w:val="16"/>
                      <w:lang w:eastAsia="en-AU"/>
                    </w:rPr>
                  </w:pPr>
                  <w:r w:rsidRPr="0066001C">
                    <w:rPr>
                      <w:rFonts w:cs="Arial"/>
                      <w:sz w:val="16"/>
                      <w:szCs w:val="16"/>
                    </w:rPr>
                    <w:t>32K</w:t>
                  </w:r>
                </w:p>
              </w:tc>
              <w:tc>
                <w:tcPr>
                  <w:tcW w:w="752" w:type="dxa"/>
                  <w:tcBorders>
                    <w:top w:val="nil"/>
                    <w:left w:val="nil"/>
                    <w:bottom w:val="single" w:sz="4" w:space="0" w:color="auto"/>
                    <w:right w:val="single" w:sz="4" w:space="0" w:color="auto"/>
                  </w:tcBorders>
                  <w:vAlign w:val="center"/>
                </w:tcPr>
                <w:p w14:paraId="1E8FB195" w14:textId="022EDDD3" w:rsidR="0066001C" w:rsidRPr="0066001C" w:rsidRDefault="0066001C" w:rsidP="0066001C">
                  <w:pPr>
                    <w:spacing w:after="0" w:line="240" w:lineRule="auto"/>
                    <w:jc w:val="right"/>
                    <w:rPr>
                      <w:rFonts w:cs="Arial"/>
                      <w:sz w:val="16"/>
                      <w:szCs w:val="16"/>
                      <w:lang w:eastAsia="en-AU"/>
                    </w:rPr>
                  </w:pPr>
                  <w:r w:rsidRPr="0066001C">
                    <w:rPr>
                      <w:rFonts w:cs="Arial"/>
                      <w:sz w:val="16"/>
                      <w:szCs w:val="16"/>
                    </w:rPr>
                    <w:t>47K</w:t>
                  </w:r>
                </w:p>
              </w:tc>
            </w:tr>
            <w:tr w:rsidR="0066001C" w:rsidRPr="00496ECA" w14:paraId="310B9154" w14:textId="77777777" w:rsidTr="009372C9">
              <w:trPr>
                <w:trHeight w:val="284"/>
              </w:trPr>
              <w:tc>
                <w:tcPr>
                  <w:tcW w:w="2032" w:type="dxa"/>
                  <w:tcBorders>
                    <w:top w:val="nil"/>
                    <w:left w:val="single" w:sz="4" w:space="0" w:color="auto"/>
                    <w:bottom w:val="single" w:sz="4" w:space="0" w:color="auto"/>
                    <w:right w:val="single" w:sz="4" w:space="0" w:color="auto"/>
                  </w:tcBorders>
                  <w:noWrap/>
                  <w:vAlign w:val="center"/>
                  <w:hideMark/>
                </w:tcPr>
                <w:p w14:paraId="4D8ECE2B" w14:textId="77777777" w:rsidR="0066001C" w:rsidRPr="00496ECA" w:rsidRDefault="0066001C" w:rsidP="0066001C">
                  <w:pPr>
                    <w:spacing w:after="0" w:line="240" w:lineRule="auto"/>
                    <w:rPr>
                      <w:rFonts w:cs="Arial"/>
                      <w:b/>
                      <w:bCs/>
                      <w:sz w:val="16"/>
                      <w:szCs w:val="16"/>
                      <w:lang w:eastAsia="en-AU"/>
                    </w:rPr>
                  </w:pPr>
                  <w:r w:rsidRPr="00496ECA">
                    <w:rPr>
                      <w:rFonts w:cs="Arial"/>
                      <w:b/>
                      <w:bCs/>
                      <w:sz w:val="16"/>
                      <w:szCs w:val="16"/>
                      <w:lang w:eastAsia="en-AU"/>
                    </w:rPr>
                    <w:t>TOTAL</w:t>
                  </w:r>
                </w:p>
              </w:tc>
              <w:tc>
                <w:tcPr>
                  <w:tcW w:w="786" w:type="dxa"/>
                  <w:tcBorders>
                    <w:top w:val="nil"/>
                    <w:left w:val="nil"/>
                    <w:bottom w:val="single" w:sz="4" w:space="0" w:color="auto"/>
                    <w:right w:val="single" w:sz="4" w:space="0" w:color="auto"/>
                  </w:tcBorders>
                  <w:noWrap/>
                  <w:vAlign w:val="center"/>
                </w:tcPr>
                <w:p w14:paraId="7A88340A" w14:textId="5B0093B5" w:rsidR="0066001C" w:rsidRPr="0066001C" w:rsidRDefault="0066001C" w:rsidP="0066001C">
                  <w:pPr>
                    <w:spacing w:after="0" w:line="240" w:lineRule="auto"/>
                    <w:jc w:val="right"/>
                    <w:rPr>
                      <w:rFonts w:cs="Arial"/>
                      <w:b/>
                      <w:bCs/>
                      <w:sz w:val="16"/>
                      <w:szCs w:val="16"/>
                      <w:lang w:eastAsia="en-AU"/>
                    </w:rPr>
                  </w:pPr>
                  <w:r w:rsidRPr="0066001C">
                    <w:rPr>
                      <w:rFonts w:cs="Arial"/>
                      <w:b/>
                      <w:bCs/>
                      <w:sz w:val="16"/>
                      <w:szCs w:val="16"/>
                    </w:rPr>
                    <w:t>359K</w:t>
                  </w:r>
                </w:p>
              </w:tc>
              <w:tc>
                <w:tcPr>
                  <w:tcW w:w="764" w:type="dxa"/>
                  <w:tcBorders>
                    <w:top w:val="nil"/>
                    <w:left w:val="nil"/>
                    <w:bottom w:val="single" w:sz="4" w:space="0" w:color="auto"/>
                    <w:right w:val="single" w:sz="4" w:space="0" w:color="auto"/>
                  </w:tcBorders>
                  <w:noWrap/>
                  <w:vAlign w:val="center"/>
                </w:tcPr>
                <w:p w14:paraId="56415D77" w14:textId="402F7F77" w:rsidR="0066001C" w:rsidRPr="0066001C" w:rsidRDefault="0066001C" w:rsidP="0066001C">
                  <w:pPr>
                    <w:spacing w:after="0" w:line="240" w:lineRule="auto"/>
                    <w:jc w:val="right"/>
                    <w:rPr>
                      <w:rFonts w:cs="Arial"/>
                      <w:b/>
                      <w:bCs/>
                      <w:sz w:val="16"/>
                      <w:szCs w:val="16"/>
                      <w:lang w:eastAsia="en-AU"/>
                    </w:rPr>
                  </w:pPr>
                  <w:r w:rsidRPr="0066001C">
                    <w:rPr>
                      <w:rFonts w:cs="Arial"/>
                      <w:b/>
                      <w:bCs/>
                      <w:sz w:val="16"/>
                      <w:szCs w:val="16"/>
                    </w:rPr>
                    <w:t>392K</w:t>
                  </w:r>
                </w:p>
              </w:tc>
              <w:tc>
                <w:tcPr>
                  <w:tcW w:w="764" w:type="dxa"/>
                  <w:tcBorders>
                    <w:top w:val="nil"/>
                    <w:left w:val="nil"/>
                    <w:bottom w:val="single" w:sz="4" w:space="0" w:color="auto"/>
                    <w:right w:val="single" w:sz="4" w:space="0" w:color="auto"/>
                  </w:tcBorders>
                  <w:noWrap/>
                  <w:vAlign w:val="center"/>
                </w:tcPr>
                <w:p w14:paraId="24AB858F" w14:textId="7939DA9C" w:rsidR="0066001C" w:rsidRPr="0066001C" w:rsidRDefault="0066001C" w:rsidP="0066001C">
                  <w:pPr>
                    <w:spacing w:after="0" w:line="240" w:lineRule="auto"/>
                    <w:jc w:val="right"/>
                    <w:rPr>
                      <w:rFonts w:cs="Arial"/>
                      <w:b/>
                      <w:bCs/>
                      <w:sz w:val="16"/>
                      <w:szCs w:val="16"/>
                      <w:lang w:eastAsia="en-AU"/>
                    </w:rPr>
                  </w:pPr>
                  <w:r w:rsidRPr="0066001C">
                    <w:rPr>
                      <w:rFonts w:cs="Arial"/>
                      <w:b/>
                      <w:bCs/>
                      <w:sz w:val="16"/>
                      <w:szCs w:val="16"/>
                    </w:rPr>
                    <w:t>297K</w:t>
                  </w:r>
                </w:p>
              </w:tc>
              <w:tc>
                <w:tcPr>
                  <w:tcW w:w="752" w:type="dxa"/>
                  <w:tcBorders>
                    <w:top w:val="nil"/>
                    <w:left w:val="nil"/>
                    <w:bottom w:val="single" w:sz="4" w:space="0" w:color="auto"/>
                    <w:right w:val="single" w:sz="4" w:space="0" w:color="auto"/>
                  </w:tcBorders>
                  <w:noWrap/>
                  <w:vAlign w:val="center"/>
                </w:tcPr>
                <w:p w14:paraId="632F84EE" w14:textId="3B847F78" w:rsidR="0066001C" w:rsidRPr="0066001C" w:rsidRDefault="0066001C" w:rsidP="0066001C">
                  <w:pPr>
                    <w:spacing w:after="0" w:line="240" w:lineRule="auto"/>
                    <w:jc w:val="right"/>
                    <w:rPr>
                      <w:rFonts w:cs="Arial"/>
                      <w:b/>
                      <w:bCs/>
                      <w:sz w:val="16"/>
                      <w:szCs w:val="16"/>
                      <w:lang w:eastAsia="en-AU"/>
                    </w:rPr>
                  </w:pPr>
                  <w:r w:rsidRPr="0066001C">
                    <w:rPr>
                      <w:rFonts w:cs="Arial"/>
                      <w:b/>
                      <w:bCs/>
                      <w:sz w:val="16"/>
                      <w:szCs w:val="16"/>
                    </w:rPr>
                    <w:t>416K</w:t>
                  </w:r>
                </w:p>
              </w:tc>
            </w:tr>
          </w:tbl>
          <w:p w14:paraId="23D30874" w14:textId="77777777" w:rsidR="007A241F" w:rsidRDefault="007A241F" w:rsidP="007A241F">
            <w:pPr>
              <w:rPr>
                <w:rFonts w:ascii="Helvetica" w:hAnsi="Helvetica" w:cs="Helvetica"/>
                <w:b/>
                <w:bCs/>
                <w:sz w:val="17"/>
                <w:szCs w:val="17"/>
                <w:lang w:val="en-US"/>
              </w:rPr>
            </w:pPr>
          </w:p>
          <w:p w14:paraId="71F801CF" w14:textId="0E7D82AF" w:rsidR="007A241F" w:rsidRPr="00DB7B7B" w:rsidRDefault="007A241F" w:rsidP="007A241F">
            <w:pPr>
              <w:widowControl w:val="0"/>
              <w:autoSpaceDE w:val="0"/>
              <w:autoSpaceDN w:val="0"/>
              <w:adjustRightInd w:val="0"/>
              <w:spacing w:before="60" w:line="240" w:lineRule="auto"/>
              <w:ind w:left="851" w:hanging="851"/>
              <w:rPr>
                <w:rFonts w:ascii="Helvetica" w:hAnsi="Helvetica" w:cs="Helvetica"/>
                <w:b/>
                <w:bCs/>
                <w:sz w:val="17"/>
                <w:szCs w:val="17"/>
                <w:lang w:val="en-US"/>
              </w:rPr>
            </w:pPr>
            <w:r>
              <w:rPr>
                <w:rFonts w:ascii="Helvetica" w:hAnsi="Helvetica" w:cs="Helvetica"/>
                <w:b/>
                <w:bCs/>
                <w:sz w:val="17"/>
                <w:szCs w:val="17"/>
                <w:lang w:val="en-US"/>
              </w:rPr>
              <w:t>Table 2</w:t>
            </w:r>
            <w:r w:rsidR="00026F4C">
              <w:rPr>
                <w:rFonts w:ascii="Helvetica" w:hAnsi="Helvetica" w:cs="Helvetica"/>
                <w:b/>
                <w:bCs/>
                <w:sz w:val="17"/>
                <w:szCs w:val="17"/>
                <w:lang w:val="en-US"/>
              </w:rPr>
              <w:t>2</w:t>
            </w:r>
            <w:r w:rsidRPr="00447E70">
              <w:rPr>
                <w:rFonts w:ascii="Helvetica" w:hAnsi="Helvetica" w:cs="Helvetica"/>
                <w:b/>
                <w:bCs/>
                <w:sz w:val="17"/>
                <w:szCs w:val="17"/>
                <w:lang w:val="en-US"/>
              </w:rPr>
              <w:t xml:space="preserve">: </w:t>
            </w:r>
            <w:r w:rsidRPr="002E1F47">
              <w:rPr>
                <w:rFonts w:ascii="Helvetica" w:hAnsi="Helvetica" w:cs="Helvetica"/>
                <w:b/>
                <w:bCs/>
                <w:sz w:val="17"/>
                <w:szCs w:val="17"/>
                <w:lang w:val="en-US"/>
              </w:rPr>
              <w:t>Qua</w:t>
            </w:r>
            <w:r>
              <w:rPr>
                <w:rFonts w:ascii="Helvetica" w:hAnsi="Helvetica" w:cs="Helvetica"/>
                <w:b/>
                <w:bCs/>
                <w:sz w:val="17"/>
                <w:szCs w:val="17"/>
                <w:lang w:val="en-US"/>
              </w:rPr>
              <w:t>rterly operating costs, Cairns r</w:t>
            </w:r>
            <w:r w:rsidRPr="002E1F47">
              <w:rPr>
                <w:rFonts w:ascii="Helvetica" w:hAnsi="Helvetica" w:cs="Helvetica"/>
                <w:b/>
                <w:bCs/>
                <w:sz w:val="17"/>
                <w:szCs w:val="17"/>
                <w:lang w:val="en-US"/>
              </w:rPr>
              <w:t>egistry</w:t>
            </w:r>
            <w:r w:rsidRPr="002E1F47">
              <w:rPr>
                <w:rFonts w:ascii="Helvetica" w:hAnsi="Helvetica" w:cs="Helvetica"/>
                <w:b/>
                <w:bCs/>
                <w:sz w:val="17"/>
                <w:szCs w:val="17"/>
                <w:lang w:val="en-US"/>
              </w:rPr>
              <w:br/>
              <w:t xml:space="preserve">1 July </w:t>
            </w:r>
            <w:r>
              <w:rPr>
                <w:rFonts w:ascii="Helvetica" w:hAnsi="Helvetica" w:cs="Helvetica"/>
                <w:b/>
                <w:bCs/>
                <w:sz w:val="17"/>
                <w:szCs w:val="17"/>
                <w:lang w:val="en-US"/>
              </w:rPr>
              <w:t>201</w:t>
            </w:r>
            <w:r>
              <w:rPr>
                <w:rFonts w:ascii="Helvetica" w:hAnsi="Helvetica" w:cs="Helvetica"/>
                <w:b/>
                <w:bCs/>
                <w:sz w:val="17"/>
                <w:szCs w:val="17"/>
                <w:lang w:val="en-US"/>
              </w:rPr>
              <w:t>8</w:t>
            </w:r>
            <w:r>
              <w:rPr>
                <w:rFonts w:ascii="Helvetica" w:hAnsi="Helvetica" w:cs="Helvetica"/>
                <w:b/>
                <w:bCs/>
                <w:sz w:val="17"/>
                <w:szCs w:val="17"/>
                <w:lang w:val="en-US"/>
              </w:rPr>
              <w:t xml:space="preserve"> to 30 June 201</w:t>
            </w:r>
            <w:r>
              <w:rPr>
                <w:rFonts w:ascii="Helvetica" w:hAnsi="Helvetica" w:cs="Helvetica"/>
                <w:b/>
                <w:bCs/>
                <w:sz w:val="17"/>
                <w:szCs w:val="17"/>
                <w:lang w:val="en-US"/>
              </w:rPr>
              <w:t>9</w:t>
            </w:r>
            <w:r>
              <w:rPr>
                <w:rFonts w:ascii="Helvetica" w:hAnsi="Helvetica" w:cs="Helvetica"/>
                <w:b/>
                <w:bCs/>
                <w:sz w:val="17"/>
                <w:szCs w:val="17"/>
                <w:lang w:val="en-US"/>
              </w:rPr>
              <w:t>.</w:t>
            </w:r>
          </w:p>
          <w:tbl>
            <w:tblPr>
              <w:tblW w:w="5098" w:type="dxa"/>
              <w:tblLayout w:type="fixed"/>
              <w:tblLook w:val="04A0" w:firstRow="1" w:lastRow="0" w:firstColumn="1" w:lastColumn="0" w:noHBand="0" w:noVBand="1"/>
            </w:tblPr>
            <w:tblGrid>
              <w:gridCol w:w="2032"/>
              <w:gridCol w:w="786"/>
              <w:gridCol w:w="764"/>
              <w:gridCol w:w="764"/>
              <w:gridCol w:w="752"/>
            </w:tblGrid>
            <w:tr w:rsidR="007A241F" w:rsidRPr="00496ECA" w14:paraId="6FFFC3EE" w14:textId="77777777" w:rsidTr="00B25249">
              <w:trPr>
                <w:trHeight w:val="253"/>
              </w:trPr>
              <w:tc>
                <w:tcPr>
                  <w:tcW w:w="2032" w:type="dxa"/>
                  <w:tcBorders>
                    <w:top w:val="single" w:sz="4" w:space="0" w:color="auto"/>
                    <w:left w:val="single" w:sz="4" w:space="0" w:color="auto"/>
                    <w:bottom w:val="single" w:sz="4" w:space="0" w:color="auto"/>
                    <w:right w:val="single" w:sz="4" w:space="0" w:color="auto"/>
                  </w:tcBorders>
                  <w:noWrap/>
                  <w:vAlign w:val="center"/>
                  <w:hideMark/>
                </w:tcPr>
                <w:p w14:paraId="526A60D4" w14:textId="77777777" w:rsidR="007A241F" w:rsidRPr="00496ECA" w:rsidRDefault="007A241F" w:rsidP="007A241F">
                  <w:pPr>
                    <w:spacing w:after="0" w:line="240" w:lineRule="auto"/>
                    <w:rPr>
                      <w:rFonts w:cs="Arial"/>
                      <w:b/>
                      <w:bCs/>
                      <w:sz w:val="16"/>
                      <w:szCs w:val="16"/>
                      <w:lang w:eastAsia="en-AU"/>
                    </w:rPr>
                  </w:pPr>
                  <w:r w:rsidRPr="00496ECA">
                    <w:rPr>
                      <w:rFonts w:cs="Arial"/>
                      <w:b/>
                      <w:bCs/>
                      <w:sz w:val="16"/>
                      <w:szCs w:val="16"/>
                      <w:lang w:eastAsia="en-AU"/>
                    </w:rPr>
                    <w:t>Community</w:t>
                  </w:r>
                </w:p>
              </w:tc>
              <w:tc>
                <w:tcPr>
                  <w:tcW w:w="786" w:type="dxa"/>
                  <w:tcBorders>
                    <w:top w:val="single" w:sz="4" w:space="0" w:color="auto"/>
                    <w:left w:val="nil"/>
                    <w:bottom w:val="single" w:sz="4" w:space="0" w:color="auto"/>
                    <w:right w:val="single" w:sz="4" w:space="0" w:color="auto"/>
                  </w:tcBorders>
                  <w:vAlign w:val="center"/>
                  <w:hideMark/>
                </w:tcPr>
                <w:p w14:paraId="56117DF4" w14:textId="77777777" w:rsidR="007A241F" w:rsidRPr="00496ECA" w:rsidRDefault="007A241F" w:rsidP="007A241F">
                  <w:pPr>
                    <w:spacing w:after="0" w:line="240" w:lineRule="auto"/>
                    <w:jc w:val="right"/>
                    <w:rPr>
                      <w:rFonts w:cs="Arial"/>
                      <w:b/>
                      <w:bCs/>
                      <w:sz w:val="16"/>
                      <w:szCs w:val="16"/>
                      <w:lang w:eastAsia="en-AU"/>
                    </w:rPr>
                  </w:pPr>
                  <w:proofErr w:type="spellStart"/>
                  <w:r w:rsidRPr="00496ECA">
                    <w:rPr>
                      <w:rFonts w:cs="Arial"/>
                      <w:b/>
                      <w:bCs/>
                      <w:sz w:val="16"/>
                      <w:szCs w:val="16"/>
                      <w:lang w:eastAsia="en-AU"/>
                    </w:rPr>
                    <w:t>Qtr</w:t>
                  </w:r>
                  <w:proofErr w:type="spellEnd"/>
                  <w:r w:rsidRPr="00496ECA">
                    <w:rPr>
                      <w:rFonts w:cs="Arial"/>
                      <w:b/>
                      <w:bCs/>
                      <w:sz w:val="16"/>
                      <w:szCs w:val="16"/>
                      <w:lang w:eastAsia="en-AU"/>
                    </w:rPr>
                    <w:t xml:space="preserve"> 1</w:t>
                  </w:r>
                </w:p>
              </w:tc>
              <w:tc>
                <w:tcPr>
                  <w:tcW w:w="764" w:type="dxa"/>
                  <w:tcBorders>
                    <w:top w:val="single" w:sz="4" w:space="0" w:color="auto"/>
                    <w:left w:val="nil"/>
                    <w:bottom w:val="single" w:sz="4" w:space="0" w:color="auto"/>
                    <w:right w:val="single" w:sz="4" w:space="0" w:color="auto"/>
                  </w:tcBorders>
                  <w:vAlign w:val="center"/>
                  <w:hideMark/>
                </w:tcPr>
                <w:p w14:paraId="7819EAC7" w14:textId="77777777" w:rsidR="007A241F" w:rsidRPr="00496ECA" w:rsidRDefault="007A241F" w:rsidP="007A241F">
                  <w:pPr>
                    <w:spacing w:after="0" w:line="240" w:lineRule="auto"/>
                    <w:jc w:val="right"/>
                    <w:rPr>
                      <w:rFonts w:cs="Arial"/>
                      <w:b/>
                      <w:bCs/>
                      <w:sz w:val="16"/>
                      <w:szCs w:val="16"/>
                      <w:lang w:eastAsia="en-AU"/>
                    </w:rPr>
                  </w:pPr>
                  <w:proofErr w:type="spellStart"/>
                  <w:r w:rsidRPr="00496ECA">
                    <w:rPr>
                      <w:rFonts w:cs="Arial"/>
                      <w:b/>
                      <w:bCs/>
                      <w:sz w:val="16"/>
                      <w:szCs w:val="16"/>
                      <w:lang w:eastAsia="en-AU"/>
                    </w:rPr>
                    <w:t>Qtr</w:t>
                  </w:r>
                  <w:proofErr w:type="spellEnd"/>
                  <w:r w:rsidRPr="00496ECA">
                    <w:rPr>
                      <w:rFonts w:cs="Arial"/>
                      <w:b/>
                      <w:bCs/>
                      <w:sz w:val="16"/>
                      <w:szCs w:val="16"/>
                      <w:lang w:eastAsia="en-AU"/>
                    </w:rPr>
                    <w:t xml:space="preserve"> 2</w:t>
                  </w:r>
                </w:p>
              </w:tc>
              <w:tc>
                <w:tcPr>
                  <w:tcW w:w="764" w:type="dxa"/>
                  <w:tcBorders>
                    <w:top w:val="single" w:sz="4" w:space="0" w:color="auto"/>
                    <w:left w:val="nil"/>
                    <w:bottom w:val="single" w:sz="4" w:space="0" w:color="auto"/>
                    <w:right w:val="single" w:sz="4" w:space="0" w:color="auto"/>
                  </w:tcBorders>
                  <w:vAlign w:val="center"/>
                  <w:hideMark/>
                </w:tcPr>
                <w:p w14:paraId="1550DF23" w14:textId="77777777" w:rsidR="007A241F" w:rsidRPr="00496ECA" w:rsidRDefault="007A241F" w:rsidP="007A241F">
                  <w:pPr>
                    <w:spacing w:after="0" w:line="240" w:lineRule="auto"/>
                    <w:jc w:val="right"/>
                    <w:rPr>
                      <w:rFonts w:cs="Arial"/>
                      <w:b/>
                      <w:bCs/>
                      <w:sz w:val="16"/>
                      <w:szCs w:val="16"/>
                      <w:lang w:eastAsia="en-AU"/>
                    </w:rPr>
                  </w:pPr>
                  <w:proofErr w:type="spellStart"/>
                  <w:r w:rsidRPr="00496ECA">
                    <w:rPr>
                      <w:rFonts w:cs="Arial"/>
                      <w:b/>
                      <w:bCs/>
                      <w:sz w:val="16"/>
                      <w:szCs w:val="16"/>
                      <w:lang w:eastAsia="en-AU"/>
                    </w:rPr>
                    <w:t>Qtr</w:t>
                  </w:r>
                  <w:proofErr w:type="spellEnd"/>
                  <w:r w:rsidRPr="00496ECA">
                    <w:rPr>
                      <w:rFonts w:cs="Arial"/>
                      <w:b/>
                      <w:bCs/>
                      <w:sz w:val="16"/>
                      <w:szCs w:val="16"/>
                      <w:lang w:eastAsia="en-AU"/>
                    </w:rPr>
                    <w:t xml:space="preserve"> 3</w:t>
                  </w:r>
                </w:p>
              </w:tc>
              <w:tc>
                <w:tcPr>
                  <w:tcW w:w="752" w:type="dxa"/>
                  <w:tcBorders>
                    <w:top w:val="single" w:sz="4" w:space="0" w:color="auto"/>
                    <w:left w:val="nil"/>
                    <w:bottom w:val="single" w:sz="4" w:space="0" w:color="auto"/>
                    <w:right w:val="single" w:sz="4" w:space="0" w:color="auto"/>
                  </w:tcBorders>
                  <w:vAlign w:val="center"/>
                  <w:hideMark/>
                </w:tcPr>
                <w:p w14:paraId="5A8D0B85" w14:textId="77777777" w:rsidR="007A241F" w:rsidRPr="00496ECA" w:rsidRDefault="007A241F" w:rsidP="007A241F">
                  <w:pPr>
                    <w:spacing w:after="0" w:line="240" w:lineRule="auto"/>
                    <w:jc w:val="right"/>
                    <w:rPr>
                      <w:rFonts w:cs="Arial"/>
                      <w:b/>
                      <w:bCs/>
                      <w:sz w:val="16"/>
                      <w:szCs w:val="16"/>
                      <w:lang w:eastAsia="en-AU"/>
                    </w:rPr>
                  </w:pPr>
                  <w:proofErr w:type="spellStart"/>
                  <w:r w:rsidRPr="00496ECA">
                    <w:rPr>
                      <w:rFonts w:cs="Arial"/>
                      <w:b/>
                      <w:bCs/>
                      <w:sz w:val="16"/>
                      <w:szCs w:val="16"/>
                      <w:lang w:eastAsia="en-AU"/>
                    </w:rPr>
                    <w:t>Qtr</w:t>
                  </w:r>
                  <w:proofErr w:type="spellEnd"/>
                  <w:r w:rsidRPr="00496ECA">
                    <w:rPr>
                      <w:rFonts w:cs="Arial"/>
                      <w:b/>
                      <w:bCs/>
                      <w:sz w:val="16"/>
                      <w:szCs w:val="16"/>
                      <w:lang w:eastAsia="en-AU"/>
                    </w:rPr>
                    <w:t xml:space="preserve"> 4</w:t>
                  </w:r>
                </w:p>
              </w:tc>
            </w:tr>
            <w:tr w:rsidR="009372C9" w:rsidRPr="00496ECA" w14:paraId="7C175FA8" w14:textId="77777777" w:rsidTr="009372C9">
              <w:trPr>
                <w:trHeight w:val="284"/>
              </w:trPr>
              <w:tc>
                <w:tcPr>
                  <w:tcW w:w="2032" w:type="dxa"/>
                  <w:tcBorders>
                    <w:top w:val="nil"/>
                    <w:left w:val="single" w:sz="4" w:space="0" w:color="auto"/>
                    <w:bottom w:val="single" w:sz="4" w:space="0" w:color="auto"/>
                    <w:right w:val="single" w:sz="4" w:space="0" w:color="auto"/>
                  </w:tcBorders>
                  <w:noWrap/>
                  <w:vAlign w:val="center"/>
                  <w:hideMark/>
                </w:tcPr>
                <w:p w14:paraId="420C80C4" w14:textId="77777777" w:rsidR="009372C9" w:rsidRPr="00496ECA" w:rsidRDefault="009372C9" w:rsidP="009372C9">
                  <w:pPr>
                    <w:spacing w:after="0" w:line="240" w:lineRule="auto"/>
                    <w:rPr>
                      <w:rFonts w:cs="Arial"/>
                      <w:sz w:val="16"/>
                      <w:szCs w:val="16"/>
                      <w:lang w:eastAsia="en-AU"/>
                    </w:rPr>
                  </w:pPr>
                  <w:r>
                    <w:rPr>
                      <w:rFonts w:cs="Arial"/>
                      <w:sz w:val="16"/>
                      <w:szCs w:val="16"/>
                      <w:lang w:eastAsia="en-AU"/>
                    </w:rPr>
                    <w:t>Corporate Services</w:t>
                  </w:r>
                </w:p>
              </w:tc>
              <w:tc>
                <w:tcPr>
                  <w:tcW w:w="786" w:type="dxa"/>
                  <w:tcBorders>
                    <w:top w:val="nil"/>
                    <w:left w:val="nil"/>
                    <w:bottom w:val="single" w:sz="4" w:space="0" w:color="auto"/>
                    <w:right w:val="single" w:sz="4" w:space="0" w:color="auto"/>
                  </w:tcBorders>
                  <w:vAlign w:val="center"/>
                </w:tcPr>
                <w:p w14:paraId="74B4AA0E" w14:textId="0674DB41" w:rsidR="009372C9" w:rsidRPr="009372C9" w:rsidRDefault="009372C9" w:rsidP="009372C9">
                  <w:pPr>
                    <w:spacing w:after="0" w:line="240" w:lineRule="auto"/>
                    <w:jc w:val="right"/>
                    <w:rPr>
                      <w:rFonts w:cs="Arial"/>
                      <w:sz w:val="16"/>
                      <w:szCs w:val="16"/>
                      <w:lang w:eastAsia="en-AU"/>
                    </w:rPr>
                  </w:pPr>
                  <w:r w:rsidRPr="009372C9">
                    <w:rPr>
                      <w:rFonts w:cs="Arial"/>
                      <w:sz w:val="16"/>
                      <w:szCs w:val="16"/>
                    </w:rPr>
                    <w:t>236K</w:t>
                  </w:r>
                </w:p>
              </w:tc>
              <w:tc>
                <w:tcPr>
                  <w:tcW w:w="764" w:type="dxa"/>
                  <w:tcBorders>
                    <w:top w:val="nil"/>
                    <w:left w:val="nil"/>
                    <w:bottom w:val="single" w:sz="4" w:space="0" w:color="auto"/>
                    <w:right w:val="single" w:sz="4" w:space="0" w:color="auto"/>
                  </w:tcBorders>
                  <w:vAlign w:val="center"/>
                </w:tcPr>
                <w:p w14:paraId="51ECC688" w14:textId="4C0BF66C" w:rsidR="009372C9" w:rsidRPr="009372C9" w:rsidRDefault="009372C9" w:rsidP="009372C9">
                  <w:pPr>
                    <w:spacing w:after="0" w:line="240" w:lineRule="auto"/>
                    <w:jc w:val="right"/>
                    <w:rPr>
                      <w:rFonts w:cs="Arial"/>
                      <w:sz w:val="16"/>
                      <w:szCs w:val="16"/>
                      <w:lang w:eastAsia="en-AU"/>
                    </w:rPr>
                  </w:pPr>
                  <w:r w:rsidRPr="009372C9">
                    <w:rPr>
                      <w:rFonts w:cs="Arial"/>
                      <w:sz w:val="16"/>
                      <w:szCs w:val="16"/>
                    </w:rPr>
                    <w:t>232K</w:t>
                  </w:r>
                </w:p>
              </w:tc>
              <w:tc>
                <w:tcPr>
                  <w:tcW w:w="764" w:type="dxa"/>
                  <w:tcBorders>
                    <w:top w:val="nil"/>
                    <w:left w:val="nil"/>
                    <w:bottom w:val="single" w:sz="4" w:space="0" w:color="auto"/>
                    <w:right w:val="single" w:sz="4" w:space="0" w:color="auto"/>
                  </w:tcBorders>
                  <w:vAlign w:val="center"/>
                </w:tcPr>
                <w:p w14:paraId="03893B88" w14:textId="01F974B7" w:rsidR="009372C9" w:rsidRPr="009372C9" w:rsidRDefault="009372C9" w:rsidP="009372C9">
                  <w:pPr>
                    <w:spacing w:after="0" w:line="240" w:lineRule="auto"/>
                    <w:jc w:val="right"/>
                    <w:rPr>
                      <w:rFonts w:cs="Arial"/>
                      <w:sz w:val="16"/>
                      <w:szCs w:val="16"/>
                      <w:lang w:eastAsia="en-AU"/>
                    </w:rPr>
                  </w:pPr>
                  <w:r w:rsidRPr="009372C9">
                    <w:rPr>
                      <w:rFonts w:cs="Arial"/>
                      <w:sz w:val="16"/>
                      <w:szCs w:val="16"/>
                    </w:rPr>
                    <w:t>221K</w:t>
                  </w:r>
                </w:p>
              </w:tc>
              <w:tc>
                <w:tcPr>
                  <w:tcW w:w="752" w:type="dxa"/>
                  <w:tcBorders>
                    <w:top w:val="nil"/>
                    <w:left w:val="nil"/>
                    <w:bottom w:val="single" w:sz="4" w:space="0" w:color="auto"/>
                    <w:right w:val="single" w:sz="4" w:space="0" w:color="auto"/>
                  </w:tcBorders>
                  <w:vAlign w:val="center"/>
                </w:tcPr>
                <w:p w14:paraId="42BD8801" w14:textId="59FF3E09" w:rsidR="009372C9" w:rsidRPr="009372C9" w:rsidRDefault="009372C9" w:rsidP="009372C9">
                  <w:pPr>
                    <w:spacing w:after="0" w:line="240" w:lineRule="auto"/>
                    <w:jc w:val="right"/>
                    <w:rPr>
                      <w:rFonts w:cs="Arial"/>
                      <w:sz w:val="16"/>
                      <w:szCs w:val="16"/>
                      <w:lang w:eastAsia="en-AU"/>
                    </w:rPr>
                  </w:pPr>
                  <w:r w:rsidRPr="009372C9">
                    <w:rPr>
                      <w:rFonts w:cs="Arial"/>
                      <w:sz w:val="16"/>
                      <w:szCs w:val="16"/>
                    </w:rPr>
                    <w:t>206K</w:t>
                  </w:r>
                </w:p>
              </w:tc>
            </w:tr>
            <w:tr w:rsidR="009372C9" w:rsidRPr="00496ECA" w14:paraId="128CE3B8" w14:textId="77777777" w:rsidTr="009372C9">
              <w:trPr>
                <w:trHeight w:val="284"/>
              </w:trPr>
              <w:tc>
                <w:tcPr>
                  <w:tcW w:w="2032" w:type="dxa"/>
                  <w:tcBorders>
                    <w:top w:val="nil"/>
                    <w:left w:val="single" w:sz="4" w:space="0" w:color="auto"/>
                    <w:bottom w:val="single" w:sz="4" w:space="0" w:color="auto"/>
                    <w:right w:val="single" w:sz="4" w:space="0" w:color="auto"/>
                  </w:tcBorders>
                  <w:noWrap/>
                  <w:vAlign w:val="center"/>
                  <w:hideMark/>
                </w:tcPr>
                <w:p w14:paraId="27BDB34F" w14:textId="77777777" w:rsidR="009372C9" w:rsidRPr="00496ECA" w:rsidRDefault="009372C9" w:rsidP="009372C9">
                  <w:pPr>
                    <w:spacing w:after="0" w:line="240" w:lineRule="auto"/>
                    <w:rPr>
                      <w:rFonts w:cs="Arial"/>
                      <w:sz w:val="16"/>
                      <w:szCs w:val="16"/>
                      <w:lang w:eastAsia="en-AU"/>
                    </w:rPr>
                  </w:pPr>
                  <w:r>
                    <w:rPr>
                      <w:rFonts w:cs="Arial"/>
                      <w:sz w:val="16"/>
                      <w:szCs w:val="16"/>
                      <w:lang w:eastAsia="en-AU"/>
                    </w:rPr>
                    <w:t>Operations</w:t>
                  </w:r>
                </w:p>
              </w:tc>
              <w:tc>
                <w:tcPr>
                  <w:tcW w:w="786" w:type="dxa"/>
                  <w:tcBorders>
                    <w:top w:val="nil"/>
                    <w:left w:val="nil"/>
                    <w:bottom w:val="single" w:sz="4" w:space="0" w:color="auto"/>
                    <w:right w:val="single" w:sz="4" w:space="0" w:color="auto"/>
                  </w:tcBorders>
                  <w:vAlign w:val="center"/>
                </w:tcPr>
                <w:p w14:paraId="33949A2B" w14:textId="2FFBC9E5" w:rsidR="009372C9" w:rsidRPr="009372C9" w:rsidRDefault="009372C9" w:rsidP="009372C9">
                  <w:pPr>
                    <w:spacing w:after="0" w:line="240" w:lineRule="auto"/>
                    <w:jc w:val="right"/>
                    <w:rPr>
                      <w:rFonts w:cs="Arial"/>
                      <w:sz w:val="16"/>
                      <w:szCs w:val="16"/>
                      <w:lang w:eastAsia="en-AU"/>
                    </w:rPr>
                  </w:pPr>
                  <w:r w:rsidRPr="009372C9">
                    <w:rPr>
                      <w:rFonts w:cs="Arial"/>
                      <w:sz w:val="16"/>
                      <w:szCs w:val="16"/>
                    </w:rPr>
                    <w:t>289K</w:t>
                  </w:r>
                </w:p>
              </w:tc>
              <w:tc>
                <w:tcPr>
                  <w:tcW w:w="764" w:type="dxa"/>
                  <w:tcBorders>
                    <w:top w:val="nil"/>
                    <w:left w:val="nil"/>
                    <w:bottom w:val="single" w:sz="4" w:space="0" w:color="auto"/>
                    <w:right w:val="single" w:sz="4" w:space="0" w:color="auto"/>
                  </w:tcBorders>
                  <w:vAlign w:val="center"/>
                </w:tcPr>
                <w:p w14:paraId="66EB2D80" w14:textId="697D32E0" w:rsidR="009372C9" w:rsidRPr="009372C9" w:rsidRDefault="009372C9" w:rsidP="009372C9">
                  <w:pPr>
                    <w:spacing w:after="0" w:line="240" w:lineRule="auto"/>
                    <w:jc w:val="right"/>
                    <w:rPr>
                      <w:rFonts w:cs="Arial"/>
                      <w:sz w:val="16"/>
                      <w:szCs w:val="16"/>
                      <w:lang w:eastAsia="en-AU"/>
                    </w:rPr>
                  </w:pPr>
                  <w:r w:rsidRPr="009372C9">
                    <w:rPr>
                      <w:rFonts w:cs="Arial"/>
                      <w:sz w:val="16"/>
                      <w:szCs w:val="16"/>
                    </w:rPr>
                    <w:t>252K</w:t>
                  </w:r>
                </w:p>
              </w:tc>
              <w:tc>
                <w:tcPr>
                  <w:tcW w:w="764" w:type="dxa"/>
                  <w:tcBorders>
                    <w:top w:val="nil"/>
                    <w:left w:val="nil"/>
                    <w:bottom w:val="single" w:sz="4" w:space="0" w:color="auto"/>
                    <w:right w:val="single" w:sz="4" w:space="0" w:color="auto"/>
                  </w:tcBorders>
                  <w:vAlign w:val="center"/>
                </w:tcPr>
                <w:p w14:paraId="673D6515" w14:textId="0315AFAB" w:rsidR="009372C9" w:rsidRPr="009372C9" w:rsidRDefault="009372C9" w:rsidP="009372C9">
                  <w:pPr>
                    <w:spacing w:after="0" w:line="240" w:lineRule="auto"/>
                    <w:jc w:val="right"/>
                    <w:rPr>
                      <w:rFonts w:cs="Arial"/>
                      <w:sz w:val="16"/>
                      <w:szCs w:val="16"/>
                      <w:lang w:eastAsia="en-AU"/>
                    </w:rPr>
                  </w:pPr>
                  <w:r w:rsidRPr="009372C9">
                    <w:rPr>
                      <w:rFonts w:cs="Arial"/>
                      <w:sz w:val="16"/>
                      <w:szCs w:val="16"/>
                    </w:rPr>
                    <w:t>227K</w:t>
                  </w:r>
                </w:p>
              </w:tc>
              <w:tc>
                <w:tcPr>
                  <w:tcW w:w="752" w:type="dxa"/>
                  <w:tcBorders>
                    <w:top w:val="nil"/>
                    <w:left w:val="nil"/>
                    <w:bottom w:val="single" w:sz="4" w:space="0" w:color="auto"/>
                    <w:right w:val="single" w:sz="4" w:space="0" w:color="auto"/>
                  </w:tcBorders>
                  <w:vAlign w:val="center"/>
                </w:tcPr>
                <w:p w14:paraId="395BD1D0" w14:textId="7200E2FF" w:rsidR="009372C9" w:rsidRPr="009372C9" w:rsidRDefault="009372C9" w:rsidP="009372C9">
                  <w:pPr>
                    <w:spacing w:after="0" w:line="240" w:lineRule="auto"/>
                    <w:jc w:val="right"/>
                    <w:rPr>
                      <w:rFonts w:cs="Arial"/>
                      <w:sz w:val="16"/>
                      <w:szCs w:val="16"/>
                      <w:lang w:eastAsia="en-AU"/>
                    </w:rPr>
                  </w:pPr>
                  <w:r w:rsidRPr="009372C9">
                    <w:rPr>
                      <w:rFonts w:cs="Arial"/>
                      <w:sz w:val="16"/>
                      <w:szCs w:val="16"/>
                    </w:rPr>
                    <w:t>236K</w:t>
                  </w:r>
                </w:p>
              </w:tc>
            </w:tr>
            <w:tr w:rsidR="009372C9" w:rsidRPr="00496ECA" w14:paraId="482A4608" w14:textId="77777777" w:rsidTr="009372C9">
              <w:trPr>
                <w:trHeight w:val="284"/>
              </w:trPr>
              <w:tc>
                <w:tcPr>
                  <w:tcW w:w="2032" w:type="dxa"/>
                  <w:tcBorders>
                    <w:top w:val="nil"/>
                    <w:left w:val="single" w:sz="4" w:space="0" w:color="auto"/>
                    <w:bottom w:val="single" w:sz="4" w:space="0" w:color="auto"/>
                    <w:right w:val="single" w:sz="4" w:space="0" w:color="auto"/>
                  </w:tcBorders>
                  <w:noWrap/>
                  <w:vAlign w:val="center"/>
                </w:tcPr>
                <w:p w14:paraId="4208C470" w14:textId="77777777" w:rsidR="009372C9" w:rsidRPr="00496ECA" w:rsidRDefault="009372C9" w:rsidP="009372C9">
                  <w:pPr>
                    <w:spacing w:after="0" w:line="240" w:lineRule="auto"/>
                    <w:rPr>
                      <w:rFonts w:cs="Arial"/>
                      <w:sz w:val="16"/>
                      <w:szCs w:val="16"/>
                      <w:lang w:eastAsia="en-AU"/>
                    </w:rPr>
                  </w:pPr>
                  <w:r>
                    <w:rPr>
                      <w:rFonts w:cs="Arial"/>
                      <w:sz w:val="16"/>
                      <w:szCs w:val="16"/>
                      <w:lang w:eastAsia="en-AU"/>
                    </w:rPr>
                    <w:t>Gov/Board Reporting</w:t>
                  </w:r>
                </w:p>
              </w:tc>
              <w:tc>
                <w:tcPr>
                  <w:tcW w:w="786" w:type="dxa"/>
                  <w:tcBorders>
                    <w:top w:val="nil"/>
                    <w:left w:val="nil"/>
                    <w:bottom w:val="single" w:sz="4" w:space="0" w:color="auto"/>
                    <w:right w:val="single" w:sz="4" w:space="0" w:color="auto"/>
                  </w:tcBorders>
                  <w:vAlign w:val="center"/>
                </w:tcPr>
                <w:p w14:paraId="6564D82C" w14:textId="27115377" w:rsidR="009372C9" w:rsidRPr="009372C9" w:rsidRDefault="009372C9" w:rsidP="009372C9">
                  <w:pPr>
                    <w:spacing w:after="0" w:line="240" w:lineRule="auto"/>
                    <w:jc w:val="right"/>
                    <w:rPr>
                      <w:rFonts w:cs="Arial"/>
                      <w:sz w:val="16"/>
                      <w:szCs w:val="16"/>
                      <w:lang w:eastAsia="en-AU"/>
                    </w:rPr>
                  </w:pPr>
                  <w:r w:rsidRPr="009372C9">
                    <w:rPr>
                      <w:rFonts w:cs="Arial"/>
                      <w:sz w:val="16"/>
                      <w:szCs w:val="16"/>
                    </w:rPr>
                    <w:t>38K</w:t>
                  </w:r>
                </w:p>
              </w:tc>
              <w:tc>
                <w:tcPr>
                  <w:tcW w:w="764" w:type="dxa"/>
                  <w:tcBorders>
                    <w:top w:val="nil"/>
                    <w:left w:val="nil"/>
                    <w:bottom w:val="single" w:sz="4" w:space="0" w:color="auto"/>
                    <w:right w:val="single" w:sz="4" w:space="0" w:color="auto"/>
                  </w:tcBorders>
                  <w:vAlign w:val="center"/>
                </w:tcPr>
                <w:p w14:paraId="68C607DE" w14:textId="5EBBCC54" w:rsidR="009372C9" w:rsidRPr="009372C9" w:rsidRDefault="009372C9" w:rsidP="009372C9">
                  <w:pPr>
                    <w:spacing w:after="0" w:line="240" w:lineRule="auto"/>
                    <w:jc w:val="right"/>
                    <w:rPr>
                      <w:rFonts w:cs="Arial"/>
                      <w:sz w:val="16"/>
                      <w:szCs w:val="16"/>
                      <w:lang w:eastAsia="en-AU"/>
                    </w:rPr>
                  </w:pPr>
                  <w:r w:rsidRPr="009372C9">
                    <w:rPr>
                      <w:rFonts w:cs="Arial"/>
                      <w:sz w:val="16"/>
                      <w:szCs w:val="16"/>
                    </w:rPr>
                    <w:t>48K</w:t>
                  </w:r>
                </w:p>
              </w:tc>
              <w:tc>
                <w:tcPr>
                  <w:tcW w:w="764" w:type="dxa"/>
                  <w:tcBorders>
                    <w:top w:val="nil"/>
                    <w:left w:val="nil"/>
                    <w:bottom w:val="single" w:sz="4" w:space="0" w:color="auto"/>
                    <w:right w:val="single" w:sz="4" w:space="0" w:color="auto"/>
                  </w:tcBorders>
                  <w:vAlign w:val="center"/>
                </w:tcPr>
                <w:p w14:paraId="1028C178" w14:textId="659A9305" w:rsidR="009372C9" w:rsidRPr="009372C9" w:rsidRDefault="009372C9" w:rsidP="009372C9">
                  <w:pPr>
                    <w:spacing w:after="0" w:line="240" w:lineRule="auto"/>
                    <w:jc w:val="right"/>
                    <w:rPr>
                      <w:rFonts w:cs="Arial"/>
                      <w:sz w:val="16"/>
                      <w:szCs w:val="16"/>
                      <w:lang w:eastAsia="en-AU"/>
                    </w:rPr>
                  </w:pPr>
                  <w:r w:rsidRPr="009372C9">
                    <w:rPr>
                      <w:rFonts w:cs="Arial"/>
                      <w:sz w:val="16"/>
                      <w:szCs w:val="16"/>
                    </w:rPr>
                    <w:t>34K</w:t>
                  </w:r>
                </w:p>
              </w:tc>
              <w:tc>
                <w:tcPr>
                  <w:tcW w:w="752" w:type="dxa"/>
                  <w:tcBorders>
                    <w:top w:val="nil"/>
                    <w:left w:val="nil"/>
                    <w:bottom w:val="single" w:sz="4" w:space="0" w:color="auto"/>
                    <w:right w:val="single" w:sz="4" w:space="0" w:color="auto"/>
                  </w:tcBorders>
                  <w:vAlign w:val="center"/>
                </w:tcPr>
                <w:p w14:paraId="0692C8B4" w14:textId="76072538" w:rsidR="009372C9" w:rsidRPr="009372C9" w:rsidRDefault="009372C9" w:rsidP="009372C9">
                  <w:pPr>
                    <w:spacing w:after="0" w:line="240" w:lineRule="auto"/>
                    <w:jc w:val="right"/>
                    <w:rPr>
                      <w:rFonts w:cs="Arial"/>
                      <w:sz w:val="16"/>
                      <w:szCs w:val="16"/>
                      <w:lang w:eastAsia="en-AU"/>
                    </w:rPr>
                  </w:pPr>
                  <w:r w:rsidRPr="009372C9">
                    <w:rPr>
                      <w:rFonts w:cs="Arial"/>
                      <w:sz w:val="16"/>
                      <w:szCs w:val="16"/>
                    </w:rPr>
                    <w:t>34K</w:t>
                  </w:r>
                </w:p>
              </w:tc>
            </w:tr>
            <w:tr w:rsidR="009372C9" w:rsidRPr="00496ECA" w14:paraId="6A331357" w14:textId="77777777" w:rsidTr="009372C9">
              <w:trPr>
                <w:trHeight w:val="284"/>
              </w:trPr>
              <w:tc>
                <w:tcPr>
                  <w:tcW w:w="2032" w:type="dxa"/>
                  <w:tcBorders>
                    <w:top w:val="nil"/>
                    <w:left w:val="single" w:sz="4" w:space="0" w:color="auto"/>
                    <w:bottom w:val="single" w:sz="4" w:space="0" w:color="auto"/>
                    <w:right w:val="single" w:sz="4" w:space="0" w:color="auto"/>
                  </w:tcBorders>
                  <w:noWrap/>
                  <w:vAlign w:val="center"/>
                  <w:hideMark/>
                </w:tcPr>
                <w:p w14:paraId="18CD73EE" w14:textId="77777777" w:rsidR="009372C9" w:rsidRPr="00496ECA" w:rsidRDefault="009372C9" w:rsidP="009372C9">
                  <w:pPr>
                    <w:spacing w:after="0" w:line="240" w:lineRule="auto"/>
                    <w:rPr>
                      <w:rFonts w:cs="Arial"/>
                      <w:b/>
                      <w:bCs/>
                      <w:sz w:val="16"/>
                      <w:szCs w:val="16"/>
                      <w:lang w:eastAsia="en-AU"/>
                    </w:rPr>
                  </w:pPr>
                  <w:r w:rsidRPr="00496ECA">
                    <w:rPr>
                      <w:rFonts w:cs="Arial"/>
                      <w:b/>
                      <w:bCs/>
                      <w:sz w:val="16"/>
                      <w:szCs w:val="16"/>
                      <w:lang w:eastAsia="en-AU"/>
                    </w:rPr>
                    <w:t>TOTAL</w:t>
                  </w:r>
                </w:p>
              </w:tc>
              <w:tc>
                <w:tcPr>
                  <w:tcW w:w="786" w:type="dxa"/>
                  <w:tcBorders>
                    <w:top w:val="nil"/>
                    <w:left w:val="nil"/>
                    <w:bottom w:val="single" w:sz="4" w:space="0" w:color="auto"/>
                    <w:right w:val="single" w:sz="4" w:space="0" w:color="auto"/>
                  </w:tcBorders>
                  <w:noWrap/>
                  <w:vAlign w:val="center"/>
                </w:tcPr>
                <w:p w14:paraId="1CE52ED4" w14:textId="0B2BBF98" w:rsidR="009372C9" w:rsidRPr="009372C9" w:rsidRDefault="009372C9" w:rsidP="009372C9">
                  <w:pPr>
                    <w:spacing w:after="0" w:line="240" w:lineRule="auto"/>
                    <w:jc w:val="right"/>
                    <w:rPr>
                      <w:rFonts w:cs="Arial"/>
                      <w:b/>
                      <w:bCs/>
                      <w:sz w:val="16"/>
                      <w:szCs w:val="16"/>
                      <w:lang w:eastAsia="en-AU"/>
                    </w:rPr>
                  </w:pPr>
                  <w:r w:rsidRPr="009372C9">
                    <w:rPr>
                      <w:rFonts w:cs="Arial"/>
                      <w:b/>
                      <w:sz w:val="16"/>
                      <w:szCs w:val="16"/>
                    </w:rPr>
                    <w:t>563K</w:t>
                  </w:r>
                </w:p>
              </w:tc>
              <w:tc>
                <w:tcPr>
                  <w:tcW w:w="764" w:type="dxa"/>
                  <w:tcBorders>
                    <w:top w:val="nil"/>
                    <w:left w:val="nil"/>
                    <w:bottom w:val="single" w:sz="4" w:space="0" w:color="auto"/>
                    <w:right w:val="single" w:sz="4" w:space="0" w:color="auto"/>
                  </w:tcBorders>
                  <w:noWrap/>
                  <w:vAlign w:val="center"/>
                </w:tcPr>
                <w:p w14:paraId="1F424BCA" w14:textId="2861F393" w:rsidR="009372C9" w:rsidRPr="009372C9" w:rsidRDefault="009372C9" w:rsidP="009372C9">
                  <w:pPr>
                    <w:spacing w:after="0" w:line="240" w:lineRule="auto"/>
                    <w:jc w:val="right"/>
                    <w:rPr>
                      <w:rFonts w:cs="Arial"/>
                      <w:b/>
                      <w:bCs/>
                      <w:sz w:val="16"/>
                      <w:szCs w:val="16"/>
                      <w:lang w:eastAsia="en-AU"/>
                    </w:rPr>
                  </w:pPr>
                  <w:r w:rsidRPr="009372C9">
                    <w:rPr>
                      <w:rFonts w:cs="Arial"/>
                      <w:b/>
                      <w:sz w:val="16"/>
                      <w:szCs w:val="16"/>
                    </w:rPr>
                    <w:t>532K</w:t>
                  </w:r>
                </w:p>
              </w:tc>
              <w:tc>
                <w:tcPr>
                  <w:tcW w:w="764" w:type="dxa"/>
                  <w:tcBorders>
                    <w:top w:val="nil"/>
                    <w:left w:val="nil"/>
                    <w:bottom w:val="single" w:sz="4" w:space="0" w:color="auto"/>
                    <w:right w:val="single" w:sz="4" w:space="0" w:color="auto"/>
                  </w:tcBorders>
                  <w:noWrap/>
                  <w:vAlign w:val="center"/>
                </w:tcPr>
                <w:p w14:paraId="4D6256E1" w14:textId="50CA2192" w:rsidR="009372C9" w:rsidRPr="009372C9" w:rsidRDefault="009372C9" w:rsidP="009372C9">
                  <w:pPr>
                    <w:spacing w:after="0" w:line="240" w:lineRule="auto"/>
                    <w:jc w:val="right"/>
                    <w:rPr>
                      <w:rFonts w:cs="Arial"/>
                      <w:b/>
                      <w:bCs/>
                      <w:sz w:val="16"/>
                      <w:szCs w:val="16"/>
                      <w:lang w:eastAsia="en-AU"/>
                    </w:rPr>
                  </w:pPr>
                  <w:r w:rsidRPr="009372C9">
                    <w:rPr>
                      <w:rFonts w:cs="Arial"/>
                      <w:b/>
                      <w:sz w:val="16"/>
                      <w:szCs w:val="16"/>
                    </w:rPr>
                    <w:t>482K</w:t>
                  </w:r>
                </w:p>
              </w:tc>
              <w:tc>
                <w:tcPr>
                  <w:tcW w:w="752" w:type="dxa"/>
                  <w:tcBorders>
                    <w:top w:val="nil"/>
                    <w:left w:val="nil"/>
                    <w:bottom w:val="single" w:sz="4" w:space="0" w:color="auto"/>
                    <w:right w:val="single" w:sz="4" w:space="0" w:color="auto"/>
                  </w:tcBorders>
                  <w:noWrap/>
                  <w:vAlign w:val="center"/>
                </w:tcPr>
                <w:p w14:paraId="50ABCF0D" w14:textId="7576CFB4" w:rsidR="009372C9" w:rsidRPr="009372C9" w:rsidRDefault="009372C9" w:rsidP="009372C9">
                  <w:pPr>
                    <w:spacing w:after="0" w:line="240" w:lineRule="auto"/>
                    <w:jc w:val="right"/>
                    <w:rPr>
                      <w:rFonts w:cs="Arial"/>
                      <w:b/>
                      <w:bCs/>
                      <w:sz w:val="16"/>
                      <w:szCs w:val="16"/>
                      <w:lang w:eastAsia="en-AU"/>
                    </w:rPr>
                  </w:pPr>
                  <w:r w:rsidRPr="009372C9">
                    <w:rPr>
                      <w:rFonts w:cs="Arial"/>
                      <w:b/>
                      <w:sz w:val="16"/>
                      <w:szCs w:val="16"/>
                    </w:rPr>
                    <w:t>476K</w:t>
                  </w:r>
                </w:p>
              </w:tc>
            </w:tr>
          </w:tbl>
          <w:p w14:paraId="4ABBA4F5" w14:textId="68AF4661" w:rsidR="00E0767F" w:rsidRPr="008E7494" w:rsidRDefault="00E0767F" w:rsidP="00703AF9">
            <w:pPr>
              <w:widowControl w:val="0"/>
              <w:autoSpaceDE w:val="0"/>
              <w:autoSpaceDN w:val="0"/>
              <w:adjustRightInd w:val="0"/>
              <w:spacing w:line="240" w:lineRule="auto"/>
              <w:ind w:left="851" w:hanging="851"/>
              <w:rPr>
                <w:rFonts w:cs="Arial"/>
                <w:color w:val="446E82"/>
                <w:sz w:val="24"/>
              </w:rPr>
            </w:pPr>
          </w:p>
        </w:tc>
        <w:tc>
          <w:tcPr>
            <w:tcW w:w="5564" w:type="dxa"/>
          </w:tcPr>
          <w:p w14:paraId="1BB43076" w14:textId="77777777" w:rsidR="00E0767F" w:rsidRPr="009B3406" w:rsidRDefault="00E0767F" w:rsidP="009B3406">
            <w:pPr>
              <w:pStyle w:val="Heading3"/>
            </w:pPr>
            <w:r w:rsidRPr="009B3406">
              <w:t>Statement of financial position</w:t>
            </w:r>
          </w:p>
          <w:p w14:paraId="6AB3D018" w14:textId="77777777" w:rsidR="00E0767F" w:rsidRPr="008E7494" w:rsidRDefault="00E0767F" w:rsidP="00703AF9">
            <w:r w:rsidRPr="008E7494">
              <w:t>Total assets at 30 June 201</w:t>
            </w:r>
            <w:r>
              <w:t>9</w:t>
            </w:r>
            <w:r w:rsidRPr="008E7494">
              <w:t xml:space="preserve"> consisted of current assets of cash, prepayments and receivables in addition to non-current plant and equipment.</w:t>
            </w:r>
          </w:p>
          <w:p w14:paraId="0F430F86" w14:textId="77777777" w:rsidR="00E0767F" w:rsidRPr="008E7494" w:rsidRDefault="00E0767F" w:rsidP="00703AF9">
            <w:r w:rsidRPr="008E7494">
              <w:t>Total liabilities as at 30 June 201</w:t>
            </w:r>
            <w:r>
              <w:t>9</w:t>
            </w:r>
            <w:r w:rsidRPr="008E7494">
              <w:t xml:space="preserve"> consisted of payables and accrued employee benefits.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31"/>
              <w:gridCol w:w="850"/>
              <w:gridCol w:w="992"/>
            </w:tblGrid>
            <w:tr w:rsidR="00E0767F" w:rsidRPr="008E7494" w14:paraId="08227949" w14:textId="77777777" w:rsidTr="00703AF9">
              <w:trPr>
                <w:trHeight w:val="227"/>
              </w:trPr>
              <w:tc>
                <w:tcPr>
                  <w:tcW w:w="3031"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AB74340" w14:textId="77777777" w:rsidR="00E0767F" w:rsidRPr="00B86060" w:rsidRDefault="00E0767F" w:rsidP="00703AF9">
                  <w:pPr>
                    <w:spacing w:after="0"/>
                    <w:rPr>
                      <w:b/>
                    </w:rPr>
                  </w:pPr>
                  <w:r w:rsidRPr="00B86060">
                    <w:rPr>
                      <w:b/>
                    </w:rPr>
                    <w:t>Statement of financial position</w:t>
                  </w:r>
                </w:p>
              </w:tc>
              <w:tc>
                <w:tcPr>
                  <w:tcW w:w="850" w:type="dxa"/>
                  <w:tcBorders>
                    <w:top w:val="single" w:sz="4" w:space="0" w:color="auto"/>
                    <w:left w:val="single" w:sz="4" w:space="0" w:color="auto"/>
                    <w:right w:val="single" w:sz="4" w:space="0" w:color="auto"/>
                  </w:tcBorders>
                  <w:tcMar>
                    <w:top w:w="80" w:type="dxa"/>
                    <w:left w:w="80" w:type="dxa"/>
                    <w:bottom w:w="80" w:type="dxa"/>
                    <w:right w:w="80" w:type="dxa"/>
                  </w:tcMar>
                </w:tcPr>
                <w:p w14:paraId="039BB13D" w14:textId="77777777" w:rsidR="00E0767F" w:rsidRPr="00B86060" w:rsidRDefault="00E0767F" w:rsidP="00703AF9">
                  <w:pPr>
                    <w:spacing w:after="0" w:line="240" w:lineRule="auto"/>
                    <w:jc w:val="right"/>
                    <w:rPr>
                      <w:b/>
                    </w:rPr>
                  </w:pPr>
                  <w:r w:rsidRPr="00B86060">
                    <w:rPr>
                      <w:b/>
                    </w:rPr>
                    <w:t>30 Jun 201</w:t>
                  </w:r>
                  <w:r>
                    <w:rPr>
                      <w:b/>
                    </w:rPr>
                    <w:t>9</w:t>
                  </w:r>
                </w:p>
              </w:tc>
              <w:tc>
                <w:tcPr>
                  <w:tcW w:w="992" w:type="dxa"/>
                  <w:tcBorders>
                    <w:top w:val="single" w:sz="4" w:space="0" w:color="auto"/>
                    <w:left w:val="single" w:sz="4" w:space="0" w:color="auto"/>
                    <w:right w:val="single" w:sz="4" w:space="0" w:color="auto"/>
                  </w:tcBorders>
                  <w:tcMar>
                    <w:top w:w="80" w:type="dxa"/>
                    <w:left w:w="80" w:type="dxa"/>
                    <w:bottom w:w="80" w:type="dxa"/>
                    <w:right w:w="80" w:type="dxa"/>
                  </w:tcMar>
                </w:tcPr>
                <w:p w14:paraId="06EB337A" w14:textId="77777777" w:rsidR="00E0767F" w:rsidRPr="00B86060" w:rsidRDefault="00E0767F" w:rsidP="00703AF9">
                  <w:pPr>
                    <w:spacing w:after="0" w:line="240" w:lineRule="auto"/>
                    <w:jc w:val="right"/>
                    <w:rPr>
                      <w:b/>
                    </w:rPr>
                  </w:pPr>
                  <w:r w:rsidRPr="00B86060">
                    <w:rPr>
                      <w:b/>
                    </w:rPr>
                    <w:t>30 Jun 201</w:t>
                  </w:r>
                  <w:r>
                    <w:rPr>
                      <w:b/>
                    </w:rPr>
                    <w:t>8</w:t>
                  </w:r>
                  <w:r w:rsidRPr="00B86060">
                    <w:rPr>
                      <w:b/>
                    </w:rPr>
                    <w:t xml:space="preserve"> </w:t>
                  </w:r>
                </w:p>
              </w:tc>
            </w:tr>
            <w:tr w:rsidR="00E0767F" w:rsidRPr="008E7494" w14:paraId="3CD65362" w14:textId="77777777" w:rsidTr="00703AF9">
              <w:trPr>
                <w:trHeight w:val="227"/>
              </w:trPr>
              <w:tc>
                <w:tcPr>
                  <w:tcW w:w="3031"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D938E35" w14:textId="77777777" w:rsidR="00E0767F" w:rsidRPr="00F37F69" w:rsidRDefault="00E0767F" w:rsidP="00703AF9">
                  <w:pPr>
                    <w:spacing w:after="0"/>
                    <w:rPr>
                      <w:b/>
                    </w:rPr>
                  </w:pPr>
                </w:p>
              </w:tc>
              <w:tc>
                <w:tcPr>
                  <w:tcW w:w="850" w:type="dxa"/>
                  <w:tcBorders>
                    <w:left w:val="single" w:sz="4" w:space="0" w:color="auto"/>
                    <w:bottom w:val="single" w:sz="4" w:space="0" w:color="auto"/>
                    <w:right w:val="single" w:sz="4" w:space="0" w:color="auto"/>
                  </w:tcBorders>
                  <w:tcMar>
                    <w:top w:w="80" w:type="dxa"/>
                    <w:left w:w="80" w:type="dxa"/>
                    <w:bottom w:w="80" w:type="dxa"/>
                    <w:right w:w="80" w:type="dxa"/>
                  </w:tcMar>
                </w:tcPr>
                <w:p w14:paraId="10C352EF" w14:textId="77777777" w:rsidR="00E0767F" w:rsidRPr="00F37F69" w:rsidRDefault="00E0767F" w:rsidP="00703AF9">
                  <w:pPr>
                    <w:spacing w:after="0" w:line="240" w:lineRule="auto"/>
                    <w:jc w:val="right"/>
                    <w:rPr>
                      <w:b/>
                    </w:rPr>
                  </w:pPr>
                  <w:r w:rsidRPr="00F37F69">
                    <w:rPr>
                      <w:b/>
                    </w:rPr>
                    <w:t>$000</w:t>
                  </w:r>
                </w:p>
              </w:tc>
              <w:tc>
                <w:tcPr>
                  <w:tcW w:w="992" w:type="dxa"/>
                  <w:tcBorders>
                    <w:left w:val="single" w:sz="4" w:space="0" w:color="auto"/>
                    <w:bottom w:val="single" w:sz="4" w:space="0" w:color="auto"/>
                    <w:right w:val="single" w:sz="4" w:space="0" w:color="auto"/>
                  </w:tcBorders>
                  <w:tcMar>
                    <w:top w:w="80" w:type="dxa"/>
                    <w:left w:w="80" w:type="dxa"/>
                    <w:bottom w:w="80" w:type="dxa"/>
                    <w:right w:w="80" w:type="dxa"/>
                  </w:tcMar>
                </w:tcPr>
                <w:p w14:paraId="30515FD6" w14:textId="77777777" w:rsidR="00E0767F" w:rsidRPr="00F37F69" w:rsidRDefault="00E0767F" w:rsidP="00703AF9">
                  <w:pPr>
                    <w:spacing w:after="0" w:line="240" w:lineRule="auto"/>
                    <w:jc w:val="right"/>
                    <w:rPr>
                      <w:b/>
                    </w:rPr>
                  </w:pPr>
                  <w:r w:rsidRPr="00F37F69">
                    <w:rPr>
                      <w:b/>
                    </w:rPr>
                    <w:t>$000</w:t>
                  </w:r>
                </w:p>
              </w:tc>
            </w:tr>
            <w:tr w:rsidR="00E0767F" w:rsidRPr="005B079F" w14:paraId="40F12679" w14:textId="77777777" w:rsidTr="00703AF9">
              <w:trPr>
                <w:trHeight w:val="284"/>
              </w:trPr>
              <w:tc>
                <w:tcPr>
                  <w:tcW w:w="30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549AAC0" w14:textId="77777777" w:rsidR="00E0767F" w:rsidRPr="005B079F" w:rsidRDefault="00E0767F" w:rsidP="00703AF9">
                  <w:pPr>
                    <w:spacing w:after="0"/>
                  </w:pPr>
                  <w:r w:rsidRPr="005B079F">
                    <w:t>Current assets</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6283A8C" w14:textId="77777777" w:rsidR="00E0767F" w:rsidRPr="005B079F" w:rsidRDefault="00E0767F" w:rsidP="00703AF9">
                  <w:pPr>
                    <w:spacing w:after="0"/>
                    <w:jc w:val="right"/>
                  </w:pPr>
                  <w:r w:rsidRPr="005B079F">
                    <w:t>1,747</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05B12E9" w14:textId="77777777" w:rsidR="00E0767F" w:rsidRPr="005B079F" w:rsidRDefault="00E0767F" w:rsidP="00703AF9">
                  <w:pPr>
                    <w:spacing w:after="0"/>
                    <w:jc w:val="right"/>
                  </w:pPr>
                  <w:r w:rsidRPr="005B079F">
                    <w:t>1,900</w:t>
                  </w:r>
                </w:p>
              </w:tc>
            </w:tr>
            <w:tr w:rsidR="00E0767F" w:rsidRPr="005B079F" w14:paraId="4ABA51D7" w14:textId="77777777" w:rsidTr="00703AF9">
              <w:trPr>
                <w:trHeight w:val="60"/>
              </w:trPr>
              <w:tc>
                <w:tcPr>
                  <w:tcW w:w="30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E5DC1C7" w14:textId="77777777" w:rsidR="00E0767F" w:rsidRPr="005B079F" w:rsidRDefault="00E0767F" w:rsidP="00703AF9">
                  <w:pPr>
                    <w:spacing w:after="0"/>
                  </w:pPr>
                  <w:r w:rsidRPr="005B079F">
                    <w:t>Non-current assets</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DDFE501" w14:textId="77777777" w:rsidR="00E0767F" w:rsidRPr="005B079F" w:rsidRDefault="00E0767F" w:rsidP="00703AF9">
                  <w:pPr>
                    <w:spacing w:after="0"/>
                    <w:jc w:val="right"/>
                  </w:pPr>
                  <w:r w:rsidRPr="005B079F">
                    <w:t>16</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1613EFD" w14:textId="77777777" w:rsidR="00E0767F" w:rsidRPr="005B079F" w:rsidRDefault="00E0767F" w:rsidP="00703AF9">
                  <w:pPr>
                    <w:spacing w:after="0"/>
                    <w:jc w:val="right"/>
                  </w:pPr>
                  <w:r w:rsidRPr="005B079F">
                    <w:t>8</w:t>
                  </w:r>
                </w:p>
              </w:tc>
            </w:tr>
            <w:tr w:rsidR="00E0767F" w:rsidRPr="005B079F" w14:paraId="79F1A04C" w14:textId="77777777" w:rsidTr="00703AF9">
              <w:trPr>
                <w:trHeight w:val="60"/>
              </w:trPr>
              <w:tc>
                <w:tcPr>
                  <w:tcW w:w="30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8E28E74" w14:textId="77777777" w:rsidR="00E0767F" w:rsidRPr="005B079F" w:rsidRDefault="00E0767F" w:rsidP="00703AF9">
                  <w:pPr>
                    <w:spacing w:after="0"/>
                    <w:rPr>
                      <w:b/>
                    </w:rPr>
                  </w:pPr>
                  <w:r w:rsidRPr="005B079F">
                    <w:rPr>
                      <w:b/>
                    </w:rPr>
                    <w:t>Total assets</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67FE0D0" w14:textId="77777777" w:rsidR="00E0767F" w:rsidRPr="005B079F" w:rsidRDefault="00E0767F" w:rsidP="00703AF9">
                  <w:pPr>
                    <w:spacing w:after="0"/>
                    <w:jc w:val="right"/>
                    <w:rPr>
                      <w:b/>
                    </w:rPr>
                  </w:pPr>
                  <w:r w:rsidRPr="005B079F">
                    <w:rPr>
                      <w:b/>
                    </w:rPr>
                    <w:t>1,763</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2E08241" w14:textId="77777777" w:rsidR="00E0767F" w:rsidRPr="005B079F" w:rsidRDefault="00E0767F" w:rsidP="00703AF9">
                  <w:pPr>
                    <w:spacing w:after="0"/>
                    <w:jc w:val="right"/>
                    <w:rPr>
                      <w:b/>
                    </w:rPr>
                  </w:pPr>
                  <w:r w:rsidRPr="005B079F">
                    <w:rPr>
                      <w:b/>
                    </w:rPr>
                    <w:t>1,908</w:t>
                  </w:r>
                </w:p>
              </w:tc>
            </w:tr>
            <w:tr w:rsidR="00E0767F" w:rsidRPr="005B079F" w14:paraId="73157EA9" w14:textId="77777777" w:rsidTr="00703AF9">
              <w:trPr>
                <w:trHeight w:val="60"/>
              </w:trPr>
              <w:tc>
                <w:tcPr>
                  <w:tcW w:w="30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59F75A7" w14:textId="77777777" w:rsidR="00E0767F" w:rsidRPr="005B079F" w:rsidRDefault="00E0767F" w:rsidP="00703AF9">
                  <w:pPr>
                    <w:spacing w:after="0"/>
                  </w:pPr>
                  <w:r w:rsidRPr="005B079F">
                    <w:t>Current liabilities</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17163C2" w14:textId="77777777" w:rsidR="00E0767F" w:rsidRPr="005B079F" w:rsidRDefault="00E0767F" w:rsidP="00703AF9">
                  <w:pPr>
                    <w:spacing w:after="0"/>
                    <w:jc w:val="right"/>
                  </w:pPr>
                  <w:r w:rsidRPr="005B079F">
                    <w:t>334</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60CC605" w14:textId="77777777" w:rsidR="00E0767F" w:rsidRPr="005B079F" w:rsidRDefault="00E0767F" w:rsidP="00703AF9">
                  <w:pPr>
                    <w:spacing w:after="0"/>
                    <w:jc w:val="right"/>
                  </w:pPr>
                  <w:r w:rsidRPr="005B079F">
                    <w:t>296</w:t>
                  </w:r>
                </w:p>
              </w:tc>
            </w:tr>
            <w:tr w:rsidR="00E0767F" w:rsidRPr="005B079F" w14:paraId="08A4865C" w14:textId="77777777" w:rsidTr="00703AF9">
              <w:trPr>
                <w:trHeight w:val="60"/>
              </w:trPr>
              <w:tc>
                <w:tcPr>
                  <w:tcW w:w="30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AA9193A" w14:textId="77777777" w:rsidR="00E0767F" w:rsidRPr="005B079F" w:rsidRDefault="00E0767F" w:rsidP="00703AF9">
                  <w:pPr>
                    <w:spacing w:after="0"/>
                    <w:rPr>
                      <w:b/>
                    </w:rPr>
                  </w:pPr>
                  <w:r w:rsidRPr="005B079F">
                    <w:rPr>
                      <w:b/>
                    </w:rPr>
                    <w:t>Total liabilities</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439750C" w14:textId="77777777" w:rsidR="00E0767F" w:rsidRPr="005B079F" w:rsidRDefault="00E0767F" w:rsidP="00703AF9">
                  <w:pPr>
                    <w:spacing w:after="0"/>
                    <w:jc w:val="right"/>
                    <w:rPr>
                      <w:b/>
                    </w:rPr>
                  </w:pPr>
                  <w:r w:rsidRPr="005B079F">
                    <w:rPr>
                      <w:b/>
                    </w:rPr>
                    <w:t>334</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B4C494B" w14:textId="77777777" w:rsidR="00E0767F" w:rsidRPr="005B079F" w:rsidRDefault="00E0767F" w:rsidP="00703AF9">
                  <w:pPr>
                    <w:spacing w:after="0"/>
                    <w:jc w:val="right"/>
                    <w:rPr>
                      <w:b/>
                    </w:rPr>
                  </w:pPr>
                  <w:r w:rsidRPr="005B079F">
                    <w:rPr>
                      <w:b/>
                    </w:rPr>
                    <w:t>296</w:t>
                  </w:r>
                </w:p>
              </w:tc>
            </w:tr>
            <w:tr w:rsidR="00E0767F" w:rsidRPr="005B079F" w14:paraId="05109DA7" w14:textId="77777777" w:rsidTr="00703AF9">
              <w:trPr>
                <w:trHeight w:val="60"/>
              </w:trPr>
              <w:tc>
                <w:tcPr>
                  <w:tcW w:w="30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AC32F2C" w14:textId="77777777" w:rsidR="00E0767F" w:rsidRPr="005B079F" w:rsidRDefault="00E0767F" w:rsidP="00703AF9">
                  <w:pPr>
                    <w:spacing w:after="0"/>
                  </w:pPr>
                  <w:r w:rsidRPr="005B079F">
                    <w:t>Net assets</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CF563DB" w14:textId="77777777" w:rsidR="00E0767F" w:rsidRPr="005B079F" w:rsidRDefault="00E0767F" w:rsidP="00703AF9">
                  <w:pPr>
                    <w:spacing w:after="0"/>
                    <w:jc w:val="right"/>
                  </w:pPr>
                  <w:r w:rsidRPr="005B079F">
                    <w:t>1,429</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D049D3B" w14:textId="77777777" w:rsidR="00E0767F" w:rsidRPr="005B079F" w:rsidRDefault="00E0767F" w:rsidP="00703AF9">
                  <w:pPr>
                    <w:spacing w:after="0"/>
                    <w:jc w:val="right"/>
                  </w:pPr>
                  <w:r w:rsidRPr="005B079F">
                    <w:t>1,612</w:t>
                  </w:r>
                </w:p>
              </w:tc>
            </w:tr>
            <w:tr w:rsidR="00E0767F" w:rsidRPr="008E7494" w14:paraId="15AD2D0B" w14:textId="77777777" w:rsidTr="00703AF9">
              <w:trPr>
                <w:trHeight w:val="60"/>
              </w:trPr>
              <w:tc>
                <w:tcPr>
                  <w:tcW w:w="30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97CD280" w14:textId="77777777" w:rsidR="00E0767F" w:rsidRPr="005B079F" w:rsidRDefault="00E0767F" w:rsidP="00703AF9">
                  <w:pPr>
                    <w:spacing w:after="0"/>
                    <w:rPr>
                      <w:b/>
                    </w:rPr>
                  </w:pPr>
                  <w:r w:rsidRPr="005B079F">
                    <w:rPr>
                      <w:b/>
                    </w:rPr>
                    <w:t>Total equity</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4A47999" w14:textId="77777777" w:rsidR="00E0767F" w:rsidRPr="005B079F" w:rsidRDefault="00E0767F" w:rsidP="00703AF9">
                  <w:pPr>
                    <w:spacing w:after="0"/>
                    <w:jc w:val="right"/>
                    <w:rPr>
                      <w:b/>
                    </w:rPr>
                  </w:pPr>
                  <w:r w:rsidRPr="005B079F">
                    <w:rPr>
                      <w:b/>
                    </w:rPr>
                    <w:t>1,429</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4D9E182" w14:textId="77777777" w:rsidR="00E0767F" w:rsidRPr="008E7494" w:rsidRDefault="00E0767F" w:rsidP="00703AF9">
                  <w:pPr>
                    <w:spacing w:after="0"/>
                    <w:jc w:val="right"/>
                    <w:rPr>
                      <w:b/>
                    </w:rPr>
                  </w:pPr>
                  <w:r w:rsidRPr="005B079F">
                    <w:rPr>
                      <w:b/>
                    </w:rPr>
                    <w:t>1,612</w:t>
                  </w:r>
                </w:p>
              </w:tc>
            </w:tr>
          </w:tbl>
          <w:p w14:paraId="2FA5B94B" w14:textId="77777777" w:rsidR="00E0767F" w:rsidRPr="008E7494" w:rsidRDefault="00E0767F" w:rsidP="00703AF9"/>
          <w:p w14:paraId="03C231DD" w14:textId="77777777" w:rsidR="00E0767F" w:rsidRPr="009B3406" w:rsidRDefault="00E0767F" w:rsidP="009B3406">
            <w:pPr>
              <w:pStyle w:val="Heading3"/>
            </w:pPr>
            <w:r w:rsidRPr="009B3406">
              <w:t>Cash flow statement</w:t>
            </w:r>
          </w:p>
          <w:p w14:paraId="4BFFA6ED" w14:textId="77777777" w:rsidR="00E0767F" w:rsidRPr="008E7494" w:rsidRDefault="00E0767F" w:rsidP="00703AF9">
            <w:r w:rsidRPr="008E7494">
              <w:t>The cash flow statement shows the nature and amount of the Commission’s cash inflows and outflows from all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34"/>
              <w:gridCol w:w="850"/>
              <w:gridCol w:w="989"/>
            </w:tblGrid>
            <w:tr w:rsidR="00E0767F" w:rsidRPr="008E7494" w14:paraId="59411431" w14:textId="77777777" w:rsidTr="00703AF9">
              <w:trPr>
                <w:trHeight w:val="227"/>
              </w:trPr>
              <w:tc>
                <w:tcPr>
                  <w:tcW w:w="3034"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9B3C26B" w14:textId="77777777" w:rsidR="00E0767F" w:rsidRPr="00B86060" w:rsidRDefault="00E0767F" w:rsidP="00703AF9">
                  <w:pPr>
                    <w:spacing w:after="0"/>
                    <w:rPr>
                      <w:b/>
                    </w:rPr>
                  </w:pPr>
                  <w:r w:rsidRPr="00B86060">
                    <w:rPr>
                      <w:b/>
                    </w:rPr>
                    <w:t>Cash flow statement</w:t>
                  </w:r>
                </w:p>
              </w:tc>
              <w:tc>
                <w:tcPr>
                  <w:tcW w:w="850" w:type="dxa"/>
                  <w:tcBorders>
                    <w:top w:val="single" w:sz="4" w:space="0" w:color="auto"/>
                    <w:left w:val="single" w:sz="4" w:space="0" w:color="auto"/>
                    <w:right w:val="single" w:sz="4" w:space="0" w:color="auto"/>
                  </w:tcBorders>
                  <w:tcMar>
                    <w:top w:w="80" w:type="dxa"/>
                    <w:left w:w="80" w:type="dxa"/>
                    <w:bottom w:w="80" w:type="dxa"/>
                    <w:right w:w="80" w:type="dxa"/>
                  </w:tcMar>
                </w:tcPr>
                <w:p w14:paraId="7036410F" w14:textId="77777777" w:rsidR="00E0767F" w:rsidRPr="00B86060" w:rsidRDefault="00E0767F" w:rsidP="00703AF9">
                  <w:pPr>
                    <w:spacing w:after="0" w:line="240" w:lineRule="auto"/>
                    <w:jc w:val="right"/>
                    <w:rPr>
                      <w:b/>
                    </w:rPr>
                  </w:pPr>
                  <w:r w:rsidRPr="00B86060">
                    <w:rPr>
                      <w:b/>
                    </w:rPr>
                    <w:t>30 Jun 201</w:t>
                  </w:r>
                  <w:r>
                    <w:rPr>
                      <w:b/>
                    </w:rPr>
                    <w:t>9</w:t>
                  </w:r>
                </w:p>
              </w:tc>
              <w:tc>
                <w:tcPr>
                  <w:tcW w:w="989" w:type="dxa"/>
                  <w:tcBorders>
                    <w:top w:val="single" w:sz="4" w:space="0" w:color="auto"/>
                    <w:left w:val="single" w:sz="4" w:space="0" w:color="auto"/>
                    <w:right w:val="single" w:sz="4" w:space="0" w:color="auto"/>
                  </w:tcBorders>
                  <w:tcMar>
                    <w:top w:w="80" w:type="dxa"/>
                    <w:left w:w="80" w:type="dxa"/>
                    <w:bottom w:w="80" w:type="dxa"/>
                    <w:right w:w="80" w:type="dxa"/>
                  </w:tcMar>
                </w:tcPr>
                <w:p w14:paraId="6C6AD382" w14:textId="77777777" w:rsidR="00E0767F" w:rsidRPr="00B86060" w:rsidRDefault="00E0767F" w:rsidP="00703AF9">
                  <w:pPr>
                    <w:spacing w:after="0" w:line="240" w:lineRule="auto"/>
                    <w:jc w:val="right"/>
                    <w:rPr>
                      <w:b/>
                    </w:rPr>
                  </w:pPr>
                  <w:r w:rsidRPr="00B86060">
                    <w:rPr>
                      <w:b/>
                    </w:rPr>
                    <w:t>30 Jun 201</w:t>
                  </w:r>
                  <w:r>
                    <w:rPr>
                      <w:b/>
                    </w:rPr>
                    <w:t>8</w:t>
                  </w:r>
                  <w:r w:rsidRPr="00B86060">
                    <w:rPr>
                      <w:b/>
                    </w:rPr>
                    <w:t xml:space="preserve"> </w:t>
                  </w:r>
                </w:p>
              </w:tc>
            </w:tr>
            <w:tr w:rsidR="00E0767F" w:rsidRPr="008E7494" w14:paraId="200824AC" w14:textId="77777777" w:rsidTr="00703AF9">
              <w:trPr>
                <w:trHeight w:val="227"/>
              </w:trPr>
              <w:tc>
                <w:tcPr>
                  <w:tcW w:w="3034"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0B08048" w14:textId="77777777" w:rsidR="00E0767F" w:rsidRPr="00F37F69" w:rsidRDefault="00E0767F" w:rsidP="00703AF9">
                  <w:pPr>
                    <w:spacing w:after="0"/>
                    <w:rPr>
                      <w:b/>
                    </w:rPr>
                  </w:pPr>
                </w:p>
              </w:tc>
              <w:tc>
                <w:tcPr>
                  <w:tcW w:w="850" w:type="dxa"/>
                  <w:tcBorders>
                    <w:left w:val="single" w:sz="4" w:space="0" w:color="auto"/>
                    <w:bottom w:val="single" w:sz="4" w:space="0" w:color="auto"/>
                    <w:right w:val="single" w:sz="4" w:space="0" w:color="auto"/>
                  </w:tcBorders>
                  <w:tcMar>
                    <w:top w:w="80" w:type="dxa"/>
                    <w:left w:w="80" w:type="dxa"/>
                    <w:bottom w:w="80" w:type="dxa"/>
                    <w:right w:w="80" w:type="dxa"/>
                  </w:tcMar>
                </w:tcPr>
                <w:p w14:paraId="7E3613E2" w14:textId="77777777" w:rsidR="00E0767F" w:rsidRPr="00F37F69" w:rsidRDefault="00E0767F" w:rsidP="00703AF9">
                  <w:pPr>
                    <w:spacing w:after="0" w:line="240" w:lineRule="auto"/>
                    <w:jc w:val="right"/>
                    <w:rPr>
                      <w:b/>
                    </w:rPr>
                  </w:pPr>
                  <w:r w:rsidRPr="00F37F69">
                    <w:rPr>
                      <w:b/>
                    </w:rPr>
                    <w:t>$000</w:t>
                  </w:r>
                </w:p>
              </w:tc>
              <w:tc>
                <w:tcPr>
                  <w:tcW w:w="989" w:type="dxa"/>
                  <w:tcBorders>
                    <w:left w:val="single" w:sz="4" w:space="0" w:color="auto"/>
                    <w:bottom w:val="single" w:sz="4" w:space="0" w:color="auto"/>
                    <w:right w:val="single" w:sz="4" w:space="0" w:color="auto"/>
                  </w:tcBorders>
                  <w:tcMar>
                    <w:top w:w="80" w:type="dxa"/>
                    <w:left w:w="80" w:type="dxa"/>
                    <w:bottom w:w="80" w:type="dxa"/>
                    <w:right w:w="80" w:type="dxa"/>
                  </w:tcMar>
                </w:tcPr>
                <w:p w14:paraId="7BA5BB1C" w14:textId="77777777" w:rsidR="00E0767F" w:rsidRPr="00F37F69" w:rsidRDefault="00E0767F" w:rsidP="00703AF9">
                  <w:pPr>
                    <w:spacing w:after="0" w:line="240" w:lineRule="auto"/>
                    <w:jc w:val="right"/>
                    <w:rPr>
                      <w:b/>
                    </w:rPr>
                  </w:pPr>
                  <w:r w:rsidRPr="00F37F69">
                    <w:rPr>
                      <w:b/>
                    </w:rPr>
                    <w:t>$000</w:t>
                  </w:r>
                </w:p>
              </w:tc>
            </w:tr>
            <w:tr w:rsidR="00E0767F" w:rsidRPr="008E7494" w14:paraId="0F5C4242" w14:textId="77777777" w:rsidTr="00703AF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373ABEE" w14:textId="77777777" w:rsidR="00E0767F" w:rsidRPr="008E7494" w:rsidRDefault="00E0767F" w:rsidP="00703AF9">
                  <w:pPr>
                    <w:spacing w:after="0"/>
                  </w:pPr>
                  <w:r w:rsidRPr="008E7494">
                    <w:t>Operating activities</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797B44F" w14:textId="77777777" w:rsidR="00E0767F" w:rsidRPr="00094086" w:rsidRDefault="00E0767F" w:rsidP="00703AF9">
                  <w:pPr>
                    <w:spacing w:after="0"/>
                    <w:jc w:val="right"/>
                  </w:pPr>
                  <w:r w:rsidRPr="00094086">
                    <w:t>(144)</w:t>
                  </w:r>
                </w:p>
              </w:tc>
              <w:tc>
                <w:tcPr>
                  <w:tcW w:w="98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1ED1570" w14:textId="77777777" w:rsidR="00E0767F" w:rsidRPr="008E7494" w:rsidRDefault="00E0767F" w:rsidP="00703AF9">
                  <w:pPr>
                    <w:spacing w:after="0"/>
                    <w:jc w:val="right"/>
                  </w:pPr>
                  <w:r>
                    <w:t>270</w:t>
                  </w:r>
                </w:p>
              </w:tc>
            </w:tr>
            <w:tr w:rsidR="00E0767F" w:rsidRPr="008E7494" w14:paraId="358473A4" w14:textId="77777777" w:rsidTr="00703AF9">
              <w:trPr>
                <w:trHeight w:val="60"/>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16685E9" w14:textId="77777777" w:rsidR="00E0767F" w:rsidRPr="008E7494" w:rsidRDefault="00E0767F" w:rsidP="00703AF9">
                  <w:pPr>
                    <w:spacing w:after="0"/>
                  </w:pPr>
                  <w:r w:rsidRPr="008E7494">
                    <w:t>Investing activities</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52C34BB" w14:textId="77777777" w:rsidR="00E0767F" w:rsidRPr="00094086" w:rsidRDefault="00E0767F" w:rsidP="00703AF9">
                  <w:pPr>
                    <w:spacing w:after="0"/>
                    <w:jc w:val="right"/>
                  </w:pPr>
                  <w:r w:rsidRPr="00094086">
                    <w:t>(22)</w:t>
                  </w:r>
                </w:p>
              </w:tc>
              <w:tc>
                <w:tcPr>
                  <w:tcW w:w="98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BEFB1C9" w14:textId="77777777" w:rsidR="00E0767F" w:rsidRPr="008E7494" w:rsidRDefault="00E0767F" w:rsidP="00703AF9">
                  <w:pPr>
                    <w:spacing w:after="0"/>
                    <w:jc w:val="right"/>
                  </w:pPr>
                  <w:r w:rsidRPr="008E7494">
                    <w:t>(</w:t>
                  </w:r>
                  <w:r>
                    <w:t>44</w:t>
                  </w:r>
                  <w:r w:rsidRPr="008E7494">
                    <w:t>)</w:t>
                  </w:r>
                </w:p>
              </w:tc>
            </w:tr>
            <w:tr w:rsidR="00E0767F" w:rsidRPr="008E7494" w14:paraId="2B67822C" w14:textId="77777777" w:rsidTr="00703AF9">
              <w:trPr>
                <w:trHeight w:val="60"/>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5552BBA" w14:textId="00287795" w:rsidR="00E0767F" w:rsidRPr="008E7494" w:rsidRDefault="00E0767F" w:rsidP="00703AF9">
                  <w:pPr>
                    <w:spacing w:after="0"/>
                  </w:pPr>
                  <w:r w:rsidRPr="008E7494">
                    <w:t xml:space="preserve">Net </w:t>
                  </w:r>
                  <w:r w:rsidR="00072DC2">
                    <w:t>(decrease)</w:t>
                  </w:r>
                  <w:r w:rsidRPr="008E7494">
                    <w:t>/</w:t>
                  </w:r>
                  <w:r w:rsidR="00072DC2">
                    <w:t>increase</w:t>
                  </w:r>
                  <w:r w:rsidRPr="008E7494">
                    <w:t xml:space="preserve"> in cash held</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F7B4D8C" w14:textId="77777777" w:rsidR="00E0767F" w:rsidRPr="00094086" w:rsidRDefault="00E0767F" w:rsidP="00703AF9">
                  <w:pPr>
                    <w:spacing w:after="0"/>
                    <w:jc w:val="right"/>
                  </w:pPr>
                  <w:r w:rsidRPr="00094086">
                    <w:t>(166)</w:t>
                  </w:r>
                </w:p>
              </w:tc>
              <w:tc>
                <w:tcPr>
                  <w:tcW w:w="98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85AB891" w14:textId="77777777" w:rsidR="00E0767F" w:rsidRPr="008E7494" w:rsidRDefault="00E0767F" w:rsidP="00703AF9">
                  <w:pPr>
                    <w:spacing w:after="0"/>
                    <w:jc w:val="right"/>
                  </w:pPr>
                  <w:r>
                    <w:t>226</w:t>
                  </w:r>
                </w:p>
              </w:tc>
            </w:tr>
            <w:tr w:rsidR="00E0767F" w:rsidRPr="008E7494" w14:paraId="5A80241A" w14:textId="77777777" w:rsidTr="00703AF9">
              <w:trPr>
                <w:trHeight w:val="60"/>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CF99040" w14:textId="77777777" w:rsidR="00E0767F" w:rsidRPr="008E7494" w:rsidRDefault="00E0767F" w:rsidP="00703AF9">
                  <w:pPr>
                    <w:spacing w:after="0"/>
                  </w:pPr>
                  <w:r w:rsidRPr="008E7494">
                    <w:t>Cash at beginning of financial year</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D1FBEEA" w14:textId="77777777" w:rsidR="00E0767F" w:rsidRPr="00094086" w:rsidRDefault="00E0767F" w:rsidP="00703AF9">
                  <w:pPr>
                    <w:spacing w:after="0"/>
                    <w:jc w:val="right"/>
                  </w:pPr>
                  <w:r w:rsidRPr="00094086">
                    <w:t>1,861</w:t>
                  </w:r>
                </w:p>
              </w:tc>
              <w:tc>
                <w:tcPr>
                  <w:tcW w:w="98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5EC04C7" w14:textId="77777777" w:rsidR="00E0767F" w:rsidRPr="008E7494" w:rsidRDefault="00E0767F" w:rsidP="00703AF9">
                  <w:pPr>
                    <w:spacing w:after="0"/>
                    <w:jc w:val="right"/>
                  </w:pPr>
                  <w:r>
                    <w:t>1,635</w:t>
                  </w:r>
                </w:p>
              </w:tc>
            </w:tr>
            <w:tr w:rsidR="00E0767F" w:rsidRPr="008E7494" w14:paraId="3468DAA1" w14:textId="77777777" w:rsidTr="00703AF9">
              <w:trPr>
                <w:trHeight w:val="60"/>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0F5E32C" w14:textId="77777777" w:rsidR="00E0767F" w:rsidRPr="008E7494" w:rsidRDefault="00E0767F" w:rsidP="00703AF9">
                  <w:pPr>
                    <w:spacing w:after="0"/>
                  </w:pPr>
                  <w:r w:rsidRPr="008E7494">
                    <w:t>Cash at end of financial year</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418CDC5" w14:textId="77777777" w:rsidR="00E0767F" w:rsidRPr="00094086" w:rsidRDefault="00E0767F" w:rsidP="00703AF9">
                  <w:pPr>
                    <w:spacing w:after="0"/>
                    <w:jc w:val="right"/>
                  </w:pPr>
                  <w:r w:rsidRPr="00094086">
                    <w:t>1,695</w:t>
                  </w:r>
                </w:p>
              </w:tc>
              <w:tc>
                <w:tcPr>
                  <w:tcW w:w="98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69B0702" w14:textId="77777777" w:rsidR="00E0767F" w:rsidRPr="008E7494" w:rsidRDefault="00E0767F" w:rsidP="00703AF9">
                  <w:pPr>
                    <w:spacing w:after="0"/>
                    <w:jc w:val="right"/>
                  </w:pPr>
                  <w:r>
                    <w:t>1,861</w:t>
                  </w:r>
                </w:p>
              </w:tc>
            </w:tr>
          </w:tbl>
          <w:p w14:paraId="3598128E" w14:textId="77777777" w:rsidR="00E0767F" w:rsidRPr="008E7494" w:rsidRDefault="00E0767F" w:rsidP="00703AF9">
            <w:pPr>
              <w:widowControl w:val="0"/>
              <w:autoSpaceDE w:val="0"/>
              <w:autoSpaceDN w:val="0"/>
              <w:adjustRightInd w:val="0"/>
              <w:spacing w:after="167" w:line="260" w:lineRule="atLeast"/>
              <w:rPr>
                <w:rFonts w:cs="Arial"/>
              </w:rPr>
            </w:pPr>
          </w:p>
        </w:tc>
      </w:tr>
    </w:tbl>
    <w:p w14:paraId="4B171470" w14:textId="77777777" w:rsidR="00E0767F" w:rsidRPr="008E7494" w:rsidRDefault="00E0767F" w:rsidP="00E0767F">
      <w:pPr>
        <w:rPr>
          <w:lang w:val="en-US"/>
        </w:rPr>
        <w:sectPr w:rsidR="00E0767F" w:rsidRPr="008E7494" w:rsidSect="00703AF9">
          <w:headerReference w:type="even" r:id="rId68"/>
          <w:headerReference w:type="default" r:id="rId69"/>
          <w:footerReference w:type="default" r:id="rId70"/>
          <w:headerReference w:type="first" r:id="rId71"/>
          <w:footnotePr>
            <w:numRestart w:val="eachSect"/>
          </w:footnotePr>
          <w:pgSz w:w="11906" w:h="16838"/>
          <w:pgMar w:top="1440" w:right="709" w:bottom="567" w:left="709" w:header="0" w:footer="567" w:gutter="0"/>
          <w:cols w:space="708"/>
          <w:docGrid w:linePitch="360"/>
        </w:sectPr>
      </w:pPr>
    </w:p>
    <w:p w14:paraId="55E12FB0" w14:textId="77777777" w:rsidR="00A01A41" w:rsidRPr="008E7494" w:rsidRDefault="00A01A41" w:rsidP="00500545">
      <w:pPr>
        <w:pStyle w:val="Heading2"/>
      </w:pPr>
      <w:r>
        <w:lastRenderedPageBreak/>
        <w:t>Income Management in Cape York and Doomadgee</w:t>
      </w:r>
    </w:p>
    <w:p w14:paraId="3AEF619B" w14:textId="77777777" w:rsidR="00A01A41" w:rsidRDefault="00A01A41" w:rsidP="00A01A41">
      <w:pPr>
        <w:rPr>
          <w:lang w:val="en-US"/>
        </w:rPr>
      </w:pPr>
      <w:r>
        <w:rPr>
          <w:lang w:val="en-US"/>
        </w:rPr>
        <w:t>Income management is one of the central pillars of the Welfare Reforms designed by the Institute and implemented by Commissioners of the FRC. There are a range of different income management measures operating in Australia, each with different purposes and parameters</w:t>
      </w:r>
      <w:r>
        <w:rPr>
          <w:rStyle w:val="FootnoteReference"/>
          <w:lang w:val="en-US"/>
        </w:rPr>
        <w:footnoteReference w:id="2"/>
      </w:r>
      <w:r>
        <w:rPr>
          <w:lang w:val="en-US"/>
        </w:rPr>
        <w:t xml:space="preserve">. The benefits and drawbacks of income management as a public policy approach have been well documented and debated. </w:t>
      </w:r>
      <w:r w:rsidRPr="00DF6727">
        <w:rPr>
          <w:lang w:val="en-US"/>
        </w:rPr>
        <w:t>This article is intended to</w:t>
      </w:r>
      <w:r>
        <w:rPr>
          <w:lang w:val="en-US"/>
        </w:rPr>
        <w:t xml:space="preserve"> give a brief description of the model of income management applied by the FRC, Cape York Income Management (CYIM)</w:t>
      </w:r>
      <w:r>
        <w:rPr>
          <w:rStyle w:val="FootnoteReference"/>
          <w:lang w:val="en-US"/>
        </w:rPr>
        <w:footnoteReference w:id="3"/>
      </w:r>
      <w:r>
        <w:rPr>
          <w:lang w:val="en-US"/>
        </w:rPr>
        <w:t>, explain some elements that may not be well understood, and highlight the ways it differs from other measures.</w:t>
      </w:r>
    </w:p>
    <w:p w14:paraId="0C805C04" w14:textId="77777777" w:rsidR="00A01A41" w:rsidRDefault="00A01A41" w:rsidP="00A01A41">
      <w:pPr>
        <w:rPr>
          <w:lang w:val="en-US"/>
        </w:rPr>
      </w:pPr>
      <w:r>
        <w:rPr>
          <w:lang w:val="en-US"/>
        </w:rPr>
        <w:t>Broadly, income management</w:t>
      </w:r>
      <w:r>
        <w:rPr>
          <w:rStyle w:val="FootnoteReference"/>
          <w:lang w:val="en-US"/>
        </w:rPr>
        <w:footnoteReference w:id="4"/>
      </w:r>
      <w:r>
        <w:rPr>
          <w:lang w:val="en-US"/>
        </w:rPr>
        <w:t xml:space="preserve"> refers to the quarantining of a percentage of welfare payments to be spent on priority goods and services such as food, housing and clothing. It does not reduce the amount of welfare payment a person receives; it changes the way payments are received and spent. A set proportion of a person’s payments are put on a bank card that cannot be used to buy alcohol, gambling products or withdraw cash. The remainder goes into the person’s normal bank account.</w:t>
      </w:r>
    </w:p>
    <w:p w14:paraId="3356BDBA" w14:textId="77777777" w:rsidR="00A01A41" w:rsidRDefault="00A01A41" w:rsidP="00A01A41">
      <w:pPr>
        <w:rPr>
          <w:lang w:val="en-US"/>
        </w:rPr>
      </w:pPr>
      <w:r w:rsidRPr="00DF6727">
        <w:rPr>
          <w:lang w:val="en-US"/>
        </w:rPr>
        <w:t>At a basic level</w:t>
      </w:r>
      <w:r w:rsidRPr="00EE64A5">
        <w:rPr>
          <w:lang w:val="en-US"/>
        </w:rPr>
        <w:t xml:space="preserve">, </w:t>
      </w:r>
      <w:r>
        <w:rPr>
          <w:lang w:val="en-US"/>
        </w:rPr>
        <w:t xml:space="preserve">the aim of </w:t>
      </w:r>
      <w:r w:rsidRPr="00EE64A5">
        <w:rPr>
          <w:lang w:val="en-US"/>
        </w:rPr>
        <w:t>income management</w:t>
      </w:r>
      <w:r>
        <w:rPr>
          <w:lang w:val="en-US"/>
        </w:rPr>
        <w:t xml:space="preserve"> is to reduce the amount of cash that can be spent on substance abuse and gambling, and to ensure that payments provided for the welfare of children are spent as intended. As policy on income management has developed, the objectives of different forms of income management have also changed. For example, the Cashless Debit Card trials are exploring whether reducing the amount of cash available in a community will reduce the overall harm in that location.</w:t>
      </w:r>
    </w:p>
    <w:p w14:paraId="21B94BDC" w14:textId="4DBBAD71" w:rsidR="00A01A41" w:rsidRDefault="00A01A41" w:rsidP="00A01A41">
      <w:pPr>
        <w:rPr>
          <w:lang w:val="en-US"/>
        </w:rPr>
      </w:pPr>
      <w:r>
        <w:rPr>
          <w:lang w:val="en-US"/>
        </w:rPr>
        <w:t xml:space="preserve">Both the aim and operation of </w:t>
      </w:r>
      <w:r w:rsidRPr="0058092D">
        <w:rPr>
          <w:lang w:val="en-US"/>
        </w:rPr>
        <w:t>CYIM is</w:t>
      </w:r>
      <w:r>
        <w:rPr>
          <w:lang w:val="en-US"/>
        </w:rPr>
        <w:t xml:space="preserve"> unique. CYIM is intended to address passive welfare by linking the receipt of welfare payments to an obligation to uphold social norms. If an individual is failing in their social obligations to send children to school, keep children safe, obey the law, or is committing family or domestic violence, and not abiding by housing tenancy agreements, the Commissioners can, after conferencing the person about their issues, issue them with a </w:t>
      </w:r>
      <w:r w:rsidR="006B25C1">
        <w:rPr>
          <w:lang w:val="en-US"/>
        </w:rPr>
        <w:t>C</w:t>
      </w:r>
      <w:r>
        <w:rPr>
          <w:lang w:val="en-US"/>
        </w:rPr>
        <w:t xml:space="preserve">onditional </w:t>
      </w:r>
      <w:r w:rsidR="008F4A19">
        <w:rPr>
          <w:lang w:val="en-US"/>
        </w:rPr>
        <w:t>I</w:t>
      </w:r>
      <w:r>
        <w:rPr>
          <w:lang w:val="en-US"/>
        </w:rPr>
        <w:t xml:space="preserve">ncome </w:t>
      </w:r>
      <w:r w:rsidR="008F4A19">
        <w:rPr>
          <w:lang w:val="en-US"/>
        </w:rPr>
        <w:t>M</w:t>
      </w:r>
      <w:r>
        <w:rPr>
          <w:lang w:val="en-US"/>
        </w:rPr>
        <w:t xml:space="preserve">anagement </w:t>
      </w:r>
      <w:r w:rsidR="005E4497">
        <w:rPr>
          <w:lang w:val="en-US"/>
        </w:rPr>
        <w:t xml:space="preserve">(CIM) </w:t>
      </w:r>
      <w:r>
        <w:rPr>
          <w:lang w:val="en-US"/>
        </w:rPr>
        <w:t>order.</w:t>
      </w:r>
    </w:p>
    <w:p w14:paraId="5C9FEEBE" w14:textId="77777777" w:rsidR="00A01A41" w:rsidRDefault="00A01A41" w:rsidP="00A01A41">
      <w:pPr>
        <w:spacing w:after="200" w:line="276" w:lineRule="auto"/>
        <w:rPr>
          <w:lang w:val="en-US"/>
        </w:rPr>
      </w:pPr>
      <w:r>
        <w:rPr>
          <w:lang w:val="en-US"/>
        </w:rPr>
        <w:br w:type="page"/>
      </w:r>
    </w:p>
    <w:p w14:paraId="7D960D8C" w14:textId="790DCBF5" w:rsidR="00235A8B" w:rsidRDefault="00235A8B" w:rsidP="00235A8B">
      <w:pPr>
        <w:rPr>
          <w:lang w:val="en-US"/>
        </w:rPr>
      </w:pPr>
      <w:r>
        <w:rPr>
          <w:lang w:val="en-US"/>
        </w:rPr>
        <w:lastRenderedPageBreak/>
        <w:t>The Commissioners</w:t>
      </w:r>
      <w:r w:rsidR="002D0C16">
        <w:rPr>
          <w:lang w:val="en-US"/>
        </w:rPr>
        <w:t>’</w:t>
      </w:r>
      <w:r>
        <w:rPr>
          <w:lang w:val="en-US"/>
        </w:rPr>
        <w:t xml:space="preserve"> role is primarily one of support. During conferences, Commissioners, who are respected local community members, discuss with the client the circumstances that have led them to conference and attempt to come to an agreement on the actions they will take to assume greater personal responsibility, including attending support services. However, where a client is unwilling to engage with the Commissioners, or is not taking the agreed steps, Commissioners can use income management as a tool to ensure that welfare payments are spent on necessities, </w:t>
      </w:r>
      <w:proofErr w:type="gramStart"/>
      <w:r>
        <w:rPr>
          <w:lang w:val="en-US"/>
        </w:rPr>
        <w:t>and also</w:t>
      </w:r>
      <w:proofErr w:type="gramEnd"/>
      <w:r>
        <w:rPr>
          <w:lang w:val="en-US"/>
        </w:rPr>
        <w:t xml:space="preserve"> as an incentive for the individual client and their family to engage with social supports and change </w:t>
      </w:r>
      <w:proofErr w:type="spellStart"/>
      <w:r>
        <w:rPr>
          <w:lang w:val="en-US"/>
        </w:rPr>
        <w:t>behaviour</w:t>
      </w:r>
      <w:proofErr w:type="spellEnd"/>
      <w:r>
        <w:rPr>
          <w:lang w:val="en-US"/>
        </w:rPr>
        <w:t>.</w:t>
      </w:r>
    </w:p>
    <w:p w14:paraId="7B7EE29D" w14:textId="77777777" w:rsidR="00A01A41" w:rsidRDefault="00A01A41" w:rsidP="00A01A41">
      <w:pPr>
        <w:rPr>
          <w:lang w:val="en-US"/>
        </w:rPr>
      </w:pPr>
      <w:r>
        <w:rPr>
          <w:lang w:val="en-US"/>
        </w:rPr>
        <w:t xml:space="preserve">Commissioners can issue an order that 60, 75 or 90 percent of a person’s payment is diverted onto a </w:t>
      </w:r>
      <w:proofErr w:type="spellStart"/>
      <w:r>
        <w:rPr>
          <w:lang w:val="en-US"/>
        </w:rPr>
        <w:t>BasicsCard</w:t>
      </w:r>
      <w:proofErr w:type="spellEnd"/>
      <w:r>
        <w:rPr>
          <w:lang w:val="en-US"/>
        </w:rPr>
        <w:t xml:space="preserve">. That proportion of the payment can then only be spent on essential needs like food and clothes, and cannot be used to buy alcohol, cigarettes or pornography, to gamble with or be converted to cash. Clients can arrange to have other payments such as </w:t>
      </w:r>
      <w:proofErr w:type="gramStart"/>
      <w:r>
        <w:rPr>
          <w:lang w:val="en-US"/>
        </w:rPr>
        <w:t>rent</w:t>
      </w:r>
      <w:proofErr w:type="gramEnd"/>
      <w:r>
        <w:rPr>
          <w:lang w:val="en-US"/>
        </w:rPr>
        <w:t xml:space="preserve"> and utility bills automatically paid from their income-managed accounts.</w:t>
      </w:r>
    </w:p>
    <w:p w14:paraId="4DC8AB6D" w14:textId="64076FCD" w:rsidR="00A01A41" w:rsidRDefault="00A01A41" w:rsidP="00A01A41">
      <w:pPr>
        <w:rPr>
          <w:lang w:val="en-US"/>
        </w:rPr>
      </w:pPr>
      <w:r>
        <w:rPr>
          <w:lang w:val="en-US"/>
        </w:rPr>
        <w:t xml:space="preserve">Unlike other income management models, Commissioners can </w:t>
      </w:r>
      <w:proofErr w:type="gramStart"/>
      <w:r>
        <w:rPr>
          <w:lang w:val="en-US"/>
        </w:rPr>
        <w:t>make a decision</w:t>
      </w:r>
      <w:proofErr w:type="gramEnd"/>
      <w:r>
        <w:rPr>
          <w:lang w:val="en-US"/>
        </w:rPr>
        <w:t xml:space="preserve"> to change the percentage of a person’s payment that is put on the </w:t>
      </w:r>
      <w:proofErr w:type="spellStart"/>
      <w:r>
        <w:rPr>
          <w:lang w:val="en-US"/>
        </w:rPr>
        <w:t>BasicsCard</w:t>
      </w:r>
      <w:proofErr w:type="spellEnd"/>
      <w:r>
        <w:rPr>
          <w:lang w:val="en-US"/>
        </w:rPr>
        <w:t xml:space="preserve">. For example, once a client reaches an agreed school attendance goal, the percentage can be reduced. If the client maintains the attendance goal, the </w:t>
      </w:r>
      <w:r w:rsidR="00A07A84">
        <w:rPr>
          <w:lang w:val="en-US"/>
        </w:rPr>
        <w:t>CIM</w:t>
      </w:r>
      <w:r>
        <w:rPr>
          <w:lang w:val="en-US"/>
        </w:rPr>
        <w:t xml:space="preserve"> order can be revoked. Usually, </w:t>
      </w:r>
      <w:r w:rsidR="00A07A84">
        <w:rPr>
          <w:lang w:val="en-US"/>
        </w:rPr>
        <w:t>CIM</w:t>
      </w:r>
      <w:r>
        <w:rPr>
          <w:lang w:val="en-US"/>
        </w:rPr>
        <w:t xml:space="preserve"> orders are issued for one year, and are reviewed by Commissioners at six and ten months. However, the length of orders can also be extended or reduced. Clients who are on a</w:t>
      </w:r>
      <w:r w:rsidR="00A07A84">
        <w:rPr>
          <w:lang w:val="en-US"/>
        </w:rPr>
        <w:t xml:space="preserve"> CIM </w:t>
      </w:r>
      <w:r>
        <w:rPr>
          <w:lang w:val="en-US"/>
        </w:rPr>
        <w:t>order can also apply to Commissioners to have their orders amended or ended.</w:t>
      </w:r>
    </w:p>
    <w:p w14:paraId="66CF57CD" w14:textId="024DACE8" w:rsidR="00235A8B" w:rsidRDefault="00235A8B" w:rsidP="00235A8B">
      <w:pPr>
        <w:rPr>
          <w:lang w:val="en-US"/>
        </w:rPr>
      </w:pPr>
      <w:r>
        <w:rPr>
          <w:lang w:val="en-US"/>
        </w:rPr>
        <w:t xml:space="preserve">Clients can also voluntarily enter into an agreement for income management. Clients on Voluntary Income Management (VIM) report that it is an effective money management tool which can assist them to avoid family pressures to share cash. VIM has the same flexibility as </w:t>
      </w:r>
      <w:r w:rsidR="00A07A84">
        <w:rPr>
          <w:lang w:val="en-US"/>
        </w:rPr>
        <w:t>a CIM</w:t>
      </w:r>
      <w:r>
        <w:rPr>
          <w:lang w:val="en-US"/>
        </w:rPr>
        <w:t xml:space="preserve"> order. Clients can request to have 60, 75 or 90 per cent of their payment quarantined, can seek to amend the amount of their payment going on to the </w:t>
      </w:r>
      <w:proofErr w:type="spellStart"/>
      <w:r>
        <w:rPr>
          <w:lang w:val="en-US"/>
        </w:rPr>
        <w:t>BasicsCard</w:t>
      </w:r>
      <w:proofErr w:type="spellEnd"/>
      <w:r>
        <w:rPr>
          <w:lang w:val="en-US"/>
        </w:rPr>
        <w:t>, and can seek to end the agreement at any time. While other income management measures also offer voluntary income management, they are limited to managing 50 percent of income support, and people must participate for a minimum time.</w:t>
      </w:r>
    </w:p>
    <w:p w14:paraId="1A534FC6" w14:textId="6E899143" w:rsidR="00A01A41" w:rsidRDefault="00A01A41" w:rsidP="00A01A41">
      <w:pPr>
        <w:rPr>
          <w:lang w:val="en-US"/>
        </w:rPr>
      </w:pPr>
      <w:r>
        <w:rPr>
          <w:lang w:val="en-US"/>
        </w:rPr>
        <w:t xml:space="preserve">Because </w:t>
      </w:r>
      <w:r w:rsidR="00F161DB">
        <w:rPr>
          <w:lang w:val="en-US"/>
        </w:rPr>
        <w:t>CIM</w:t>
      </w:r>
      <w:r>
        <w:rPr>
          <w:lang w:val="en-US"/>
        </w:rPr>
        <w:t xml:space="preserve"> orders are issued at the discretion of Commissioners, on a case-by-case basis, only a small number of community members within the FRC’s jurisdiction are on income management. Since the inception of the Commission, the percentage of FRC clients on </w:t>
      </w:r>
      <w:r w:rsidR="00F161DB">
        <w:rPr>
          <w:lang w:val="en-US"/>
        </w:rPr>
        <w:t>CIM</w:t>
      </w:r>
      <w:r>
        <w:rPr>
          <w:lang w:val="en-US"/>
        </w:rPr>
        <w:t xml:space="preserve"> orders has gradually decreased. A table showing the p</w:t>
      </w:r>
      <w:r w:rsidRPr="005543C6">
        <w:rPr>
          <w:rFonts w:cs="Arial"/>
          <w:bCs/>
          <w:szCs w:val="20"/>
          <w:lang w:val="en-US"/>
        </w:rPr>
        <w:t>ercentage of clients who were placed on conditional income management for each financial year 2008 to 2019</w:t>
      </w:r>
      <w:r>
        <w:rPr>
          <w:rFonts w:cs="Arial"/>
          <w:bCs/>
          <w:szCs w:val="20"/>
          <w:lang w:val="en-US"/>
        </w:rPr>
        <w:t xml:space="preserve"> can be found </w:t>
      </w:r>
      <w:r w:rsidRPr="00375B89">
        <w:rPr>
          <w:rFonts w:cs="Arial"/>
          <w:bCs/>
          <w:szCs w:val="20"/>
          <w:lang w:val="en-US"/>
        </w:rPr>
        <w:t xml:space="preserve">on </w:t>
      </w:r>
      <w:r w:rsidRPr="00F161DB">
        <w:rPr>
          <w:rFonts w:cs="Arial"/>
          <w:bCs/>
          <w:szCs w:val="20"/>
          <w:lang w:val="en-US"/>
        </w:rPr>
        <w:t xml:space="preserve">page </w:t>
      </w:r>
      <w:r w:rsidR="00E31489" w:rsidRPr="00F161DB">
        <w:rPr>
          <w:rFonts w:cs="Arial"/>
          <w:bCs/>
          <w:szCs w:val="20"/>
          <w:lang w:val="en-US"/>
        </w:rPr>
        <w:t>9</w:t>
      </w:r>
      <w:r w:rsidRPr="00F161DB">
        <w:rPr>
          <w:rFonts w:cs="Arial"/>
          <w:bCs/>
          <w:szCs w:val="20"/>
          <w:lang w:val="en-US"/>
        </w:rPr>
        <w:t xml:space="preserve">. </w:t>
      </w:r>
      <w:r w:rsidRPr="00F161DB">
        <w:t>As</w:t>
      </w:r>
      <w:r w:rsidRPr="005D104F">
        <w:t xml:space="preserve"> at 30 June 201</w:t>
      </w:r>
      <w:r>
        <w:t>9</w:t>
      </w:r>
      <w:r w:rsidRPr="005D104F">
        <w:t xml:space="preserve"> there were </w:t>
      </w:r>
      <w:r w:rsidRPr="00AE131D">
        <w:t>140</w:t>
      </w:r>
      <w:r w:rsidRPr="005D104F">
        <w:t xml:space="preserve"> clients subject to a current CIM order which equates </w:t>
      </w:r>
      <w:r w:rsidRPr="00361B09">
        <w:t>to 5.</w:t>
      </w:r>
      <w:r>
        <w:t>8</w:t>
      </w:r>
      <w:r w:rsidRPr="005D104F">
        <w:t xml:space="preserve"> percent of clients on a CIM</w:t>
      </w:r>
      <w:r w:rsidRPr="00753464">
        <w:t xml:space="preserve"> </w:t>
      </w:r>
      <w:r w:rsidRPr="005D104F">
        <w:t>order at that point in time.</w:t>
      </w:r>
    </w:p>
    <w:p w14:paraId="0C9CF9B4" w14:textId="77777777" w:rsidR="00DB04A6" w:rsidRDefault="00DB04A6">
      <w:pPr>
        <w:spacing w:after="160" w:line="259" w:lineRule="auto"/>
        <w:rPr>
          <w:lang w:val="en-US"/>
        </w:rPr>
      </w:pPr>
      <w:r>
        <w:rPr>
          <w:lang w:val="en-US"/>
        </w:rPr>
        <w:br w:type="page"/>
      </w:r>
    </w:p>
    <w:p w14:paraId="09280F43" w14:textId="06BFF169" w:rsidR="00A01A41" w:rsidRDefault="00A01A41" w:rsidP="00A01A41">
      <w:pPr>
        <w:rPr>
          <w:lang w:val="en-US"/>
        </w:rPr>
      </w:pPr>
      <w:r>
        <w:rPr>
          <w:lang w:val="en-US"/>
        </w:rPr>
        <w:lastRenderedPageBreak/>
        <w:t>These aspects of CYIM are quite different to other income management measures. For example, in some regions where the Cashless Debit Card operates</w:t>
      </w:r>
      <w:r>
        <w:rPr>
          <w:rStyle w:val="FootnoteReference"/>
          <w:lang w:val="en-US"/>
        </w:rPr>
        <w:footnoteReference w:id="5"/>
      </w:r>
      <w:r>
        <w:rPr>
          <w:lang w:val="en-US"/>
        </w:rPr>
        <w:t>, it applies to all people of working age on income support payments. Under the Cashless Debit Card system 80 percent of payments is quarantined onto the Cashless Debit Card.</w:t>
      </w:r>
    </w:p>
    <w:p w14:paraId="47EC691F" w14:textId="77777777" w:rsidR="00A01A41" w:rsidRDefault="00A01A41" w:rsidP="00A01A41">
      <w:pPr>
        <w:rPr>
          <w:lang w:val="en-US"/>
        </w:rPr>
      </w:pPr>
      <w:r>
        <w:rPr>
          <w:lang w:val="en-US"/>
        </w:rPr>
        <w:t>Further comparison can be made with the several income management measures in place in the Northern Territory. People can be referred for income management by a child protection worker, by a Centrelink social worker, or it can also be applied where people meet certain conditions based on the length of time they have received income support, or lack of engagement in study or work. The percentage of payments that are quarantined differ depending on the measure. For example, where people are referred for child safety issues, 70 percent of income support is income-managed. The measures that apply to long-term welfare recipients and disengaged youth quarantine 50 percent of payments.</w:t>
      </w:r>
    </w:p>
    <w:p w14:paraId="5389AF1D" w14:textId="77777777" w:rsidR="00A01A41" w:rsidRDefault="00A01A41" w:rsidP="00A01A41">
      <w:pPr>
        <w:rPr>
          <w:lang w:val="en-US"/>
        </w:rPr>
      </w:pPr>
      <w:r>
        <w:rPr>
          <w:lang w:val="en-US"/>
        </w:rPr>
        <w:t xml:space="preserve">As noted, each different model of income management has a different policy background and purpose. Some of the measures do incorporate elements of flexibility. For example, the long-term recipient and disengaged youth measure in the Northern Territory includes exemptions to encourage positive </w:t>
      </w:r>
      <w:proofErr w:type="spellStart"/>
      <w:r>
        <w:rPr>
          <w:lang w:val="en-US"/>
        </w:rPr>
        <w:t>behaviours</w:t>
      </w:r>
      <w:proofErr w:type="spellEnd"/>
      <w:r>
        <w:rPr>
          <w:lang w:val="en-US"/>
        </w:rPr>
        <w:t xml:space="preserve">, such as school attendance, child health checks, or participation in training or employment. In the </w:t>
      </w:r>
      <w:proofErr w:type="spellStart"/>
      <w:r>
        <w:rPr>
          <w:lang w:val="en-US"/>
        </w:rPr>
        <w:t>Ceduna</w:t>
      </w:r>
      <w:proofErr w:type="spellEnd"/>
      <w:r>
        <w:rPr>
          <w:lang w:val="en-US"/>
        </w:rPr>
        <w:t xml:space="preserve"> and East Kimberley regions, Cashless Debit Card participants can apply to a community panel to lower the percentage of payments that is quarantined. However, the approach applied in CYIM remains the model with the greatest flexibility and discretion to be applied to those who need it most, and in the most effective way.</w:t>
      </w:r>
    </w:p>
    <w:p w14:paraId="640FD81B" w14:textId="77777777" w:rsidR="00A01A41" w:rsidRDefault="00A01A41" w:rsidP="00A01A41">
      <w:pPr>
        <w:rPr>
          <w:lang w:val="en-US"/>
        </w:rPr>
      </w:pPr>
      <w:r>
        <w:rPr>
          <w:lang w:val="en-US"/>
        </w:rPr>
        <w:t>In summary, the key differences between CYIM and other, more broadly applied, forms of income management are:</w:t>
      </w:r>
    </w:p>
    <w:p w14:paraId="4EE26537" w14:textId="77777777" w:rsidR="00A01A41" w:rsidRDefault="00A01A41" w:rsidP="00A01A41">
      <w:pPr>
        <w:pStyle w:val="ListParagraph"/>
        <w:numPr>
          <w:ilvl w:val="0"/>
          <w:numId w:val="3"/>
        </w:numPr>
        <w:spacing w:after="120"/>
        <w:rPr>
          <w:rFonts w:ascii="Arial" w:hAnsi="Arial" w:cs="Arial"/>
          <w:sz w:val="20"/>
          <w:szCs w:val="20"/>
          <w:lang w:val="en-US"/>
        </w:rPr>
      </w:pPr>
      <w:r w:rsidRPr="00B253CC">
        <w:rPr>
          <w:rFonts w:ascii="Arial" w:hAnsi="Arial" w:cs="Arial"/>
          <w:sz w:val="20"/>
          <w:szCs w:val="20"/>
          <w:lang w:val="en-US"/>
        </w:rPr>
        <w:t>Local Commissioners</w:t>
      </w:r>
      <w:r>
        <w:rPr>
          <w:rFonts w:ascii="Arial" w:hAnsi="Arial" w:cs="Arial"/>
          <w:sz w:val="20"/>
          <w:szCs w:val="20"/>
          <w:lang w:val="en-US"/>
        </w:rPr>
        <w:t xml:space="preserve">, who have in-depth knowledge of community members and their families, </w:t>
      </w:r>
      <w:r w:rsidRPr="00B253CC">
        <w:rPr>
          <w:rFonts w:ascii="Arial" w:hAnsi="Arial" w:cs="Arial"/>
          <w:sz w:val="20"/>
          <w:szCs w:val="20"/>
          <w:lang w:val="en-US"/>
        </w:rPr>
        <w:t>make decisions about who should be on income management on a case-by-case basis</w:t>
      </w:r>
    </w:p>
    <w:p w14:paraId="5E51CDEA" w14:textId="77777777" w:rsidR="00A01A41" w:rsidRPr="00961808" w:rsidRDefault="00A01A41" w:rsidP="00A01A41">
      <w:pPr>
        <w:pStyle w:val="ListParagraph"/>
        <w:numPr>
          <w:ilvl w:val="0"/>
          <w:numId w:val="3"/>
        </w:numPr>
        <w:spacing w:after="120"/>
        <w:rPr>
          <w:rFonts w:ascii="Arial" w:hAnsi="Arial" w:cs="Arial"/>
          <w:sz w:val="20"/>
          <w:szCs w:val="20"/>
          <w:lang w:val="en-US"/>
        </w:rPr>
      </w:pPr>
      <w:r>
        <w:rPr>
          <w:rFonts w:ascii="Arial" w:hAnsi="Arial" w:cs="Arial"/>
          <w:sz w:val="20"/>
          <w:szCs w:val="20"/>
          <w:lang w:val="en-US"/>
        </w:rPr>
        <w:t>only a small proportion of community members are income-managed</w:t>
      </w:r>
    </w:p>
    <w:p w14:paraId="0355692C" w14:textId="77777777" w:rsidR="00A01A41" w:rsidRDefault="00A01A41" w:rsidP="00A01A41">
      <w:pPr>
        <w:pStyle w:val="ListParagraph"/>
        <w:numPr>
          <w:ilvl w:val="0"/>
          <w:numId w:val="3"/>
        </w:numPr>
        <w:spacing w:after="120"/>
        <w:rPr>
          <w:rFonts w:ascii="Arial" w:hAnsi="Arial" w:cs="Arial"/>
          <w:sz w:val="20"/>
          <w:szCs w:val="20"/>
          <w:lang w:val="en-US"/>
        </w:rPr>
      </w:pPr>
      <w:r>
        <w:rPr>
          <w:rFonts w:ascii="Arial" w:hAnsi="Arial" w:cs="Arial"/>
          <w:sz w:val="20"/>
          <w:szCs w:val="20"/>
          <w:lang w:val="en-US"/>
        </w:rPr>
        <w:t xml:space="preserve">the percentage of payments quarantined can be easily changed, and is used to </w:t>
      </w:r>
      <w:proofErr w:type="spellStart"/>
      <w:r>
        <w:rPr>
          <w:rFonts w:ascii="Arial" w:hAnsi="Arial" w:cs="Arial"/>
          <w:sz w:val="20"/>
          <w:szCs w:val="20"/>
          <w:lang w:val="en-US"/>
        </w:rPr>
        <w:t>incentivise</w:t>
      </w:r>
      <w:proofErr w:type="spellEnd"/>
      <w:r>
        <w:rPr>
          <w:rFonts w:ascii="Arial" w:hAnsi="Arial" w:cs="Arial"/>
          <w:sz w:val="20"/>
          <w:szCs w:val="20"/>
          <w:lang w:val="en-US"/>
        </w:rPr>
        <w:t xml:space="preserve"> changed </w:t>
      </w:r>
      <w:proofErr w:type="spellStart"/>
      <w:r>
        <w:rPr>
          <w:rFonts w:ascii="Arial" w:hAnsi="Arial" w:cs="Arial"/>
          <w:sz w:val="20"/>
          <w:szCs w:val="20"/>
          <w:lang w:val="en-US"/>
        </w:rPr>
        <w:t>behaviour</w:t>
      </w:r>
      <w:proofErr w:type="spellEnd"/>
    </w:p>
    <w:p w14:paraId="7EB06451" w14:textId="77777777" w:rsidR="00A01A41" w:rsidRPr="00B253CC" w:rsidRDefault="00A01A41" w:rsidP="00A01A41">
      <w:pPr>
        <w:pStyle w:val="ListParagraph"/>
        <w:numPr>
          <w:ilvl w:val="0"/>
          <w:numId w:val="3"/>
        </w:numPr>
        <w:spacing w:after="120"/>
        <w:ind w:left="714" w:hanging="357"/>
        <w:rPr>
          <w:rFonts w:ascii="Arial" w:hAnsi="Arial" w:cs="Arial"/>
          <w:sz w:val="20"/>
          <w:szCs w:val="20"/>
          <w:lang w:val="en-US"/>
        </w:rPr>
      </w:pPr>
      <w:r>
        <w:rPr>
          <w:rFonts w:ascii="Arial" w:hAnsi="Arial" w:cs="Arial"/>
          <w:sz w:val="20"/>
          <w:szCs w:val="20"/>
          <w:lang w:val="en-US"/>
        </w:rPr>
        <w:t>CYIM links the Australian Government’s welfare system with Queensland’s social service system.</w:t>
      </w:r>
    </w:p>
    <w:p w14:paraId="5005857E" w14:textId="77777777" w:rsidR="00A01A41" w:rsidRPr="002A1A38" w:rsidRDefault="00A01A41" w:rsidP="00A01A41">
      <w:pPr>
        <w:rPr>
          <w:lang w:val="en-US"/>
        </w:rPr>
      </w:pPr>
      <w:r>
        <w:rPr>
          <w:lang w:val="en-US"/>
        </w:rPr>
        <w:t xml:space="preserve">As noted elsewhere in this report, the Strategic Review </w:t>
      </w:r>
      <w:r w:rsidRPr="002A1A38">
        <w:rPr>
          <w:lang w:val="en-US"/>
        </w:rPr>
        <w:t>of C</w:t>
      </w:r>
      <w:r>
        <w:rPr>
          <w:lang w:val="en-US"/>
        </w:rPr>
        <w:t xml:space="preserve">ape </w:t>
      </w:r>
      <w:r w:rsidRPr="002A1A38">
        <w:rPr>
          <w:lang w:val="en-US"/>
        </w:rPr>
        <w:t>Y</w:t>
      </w:r>
      <w:r>
        <w:rPr>
          <w:lang w:val="en-US"/>
        </w:rPr>
        <w:t xml:space="preserve">ork </w:t>
      </w:r>
      <w:r w:rsidRPr="002A1A38">
        <w:rPr>
          <w:lang w:val="en-US"/>
        </w:rPr>
        <w:t>I</w:t>
      </w:r>
      <w:r>
        <w:rPr>
          <w:lang w:val="en-US"/>
        </w:rPr>
        <w:t xml:space="preserve">ncome </w:t>
      </w:r>
      <w:r w:rsidRPr="002A1A38">
        <w:rPr>
          <w:lang w:val="en-US"/>
        </w:rPr>
        <w:t>M</w:t>
      </w:r>
      <w:r>
        <w:rPr>
          <w:lang w:val="en-US"/>
        </w:rPr>
        <w:t xml:space="preserve">anagement released in December 2018 considered that the </w:t>
      </w:r>
      <w:r w:rsidRPr="002A1A38">
        <w:rPr>
          <w:lang w:val="en-US"/>
        </w:rPr>
        <w:t>delivery mechanism</w:t>
      </w:r>
      <w:r>
        <w:rPr>
          <w:lang w:val="en-US"/>
        </w:rPr>
        <w:t xml:space="preserve"> used in CYIM </w:t>
      </w:r>
      <w:r w:rsidRPr="002A1A38">
        <w:rPr>
          <w:lang w:val="en-US"/>
        </w:rPr>
        <w:t>could provide useful lessons for other Australian models</w:t>
      </w:r>
      <w:r>
        <w:rPr>
          <w:lang w:val="en-US"/>
        </w:rPr>
        <w:t>.</w:t>
      </w:r>
    </w:p>
    <w:p w14:paraId="7EDF0C4F" w14:textId="77777777" w:rsidR="00A01A41" w:rsidRDefault="00A01A41" w:rsidP="00A01A41">
      <w:pPr>
        <w:rPr>
          <w:rFonts w:cs="Arial"/>
          <w:szCs w:val="20"/>
        </w:rPr>
      </w:pPr>
    </w:p>
    <w:p w14:paraId="1272B6F2" w14:textId="77777777" w:rsidR="00A01A41" w:rsidRDefault="00A01A41" w:rsidP="00A01A41"/>
    <w:p w14:paraId="21D61126" w14:textId="2592F94D" w:rsidR="00A01A41" w:rsidRPr="00423555" w:rsidRDefault="00A01A41" w:rsidP="00665E52">
      <w:pPr>
        <w:rPr>
          <w:b/>
        </w:rPr>
        <w:sectPr w:rsidR="00A01A41" w:rsidRPr="00423555" w:rsidSect="005E3406">
          <w:headerReference w:type="even" r:id="rId72"/>
          <w:headerReference w:type="default" r:id="rId73"/>
          <w:headerReference w:type="first" r:id="rId74"/>
          <w:footnotePr>
            <w:numRestart w:val="eachSect"/>
          </w:footnotePr>
          <w:pgSz w:w="11906" w:h="16838"/>
          <w:pgMar w:top="2948" w:right="1134" w:bottom="567" w:left="1134" w:header="0" w:footer="567" w:gutter="0"/>
          <w:cols w:space="708"/>
          <w:docGrid w:linePitch="360"/>
        </w:sectPr>
      </w:pPr>
    </w:p>
    <w:p w14:paraId="17727B68" w14:textId="6DEA6E73" w:rsidR="007D0EDD" w:rsidRPr="00500545" w:rsidRDefault="007D0EDD" w:rsidP="00500545">
      <w:pPr>
        <w:pStyle w:val="Heading3"/>
      </w:pPr>
      <w:r w:rsidRPr="00500545">
        <w:lastRenderedPageBreak/>
        <w:t>Memorandum of Understanding</w:t>
      </w:r>
    </w:p>
    <w:p w14:paraId="1DF50B24" w14:textId="77777777" w:rsidR="007D0EDD" w:rsidRPr="008E7494" w:rsidRDefault="007D0EDD" w:rsidP="007D0EDD">
      <w:r w:rsidRPr="008E7494">
        <w:t xml:space="preserve">A </w:t>
      </w:r>
      <w:r>
        <w:t xml:space="preserve">draft </w:t>
      </w:r>
      <w:r w:rsidRPr="008E7494">
        <w:t xml:space="preserve">Memorandum of Understanding was </w:t>
      </w:r>
      <w:r>
        <w:t xml:space="preserve">presented by the Australian Government to the Queensland Government in March 2019 setting out a proposed basis for funding, administration and reporting arrangements for the operation of the FRC. The Australian Government proposed a joint commitment to continue to support the role of the Commissioners until 31 December 2021. As at 30 June 2019 this Memorandum of Understanding is still under negotiation with the Queensland Government </w:t>
      </w:r>
      <w:proofErr w:type="gramStart"/>
      <w:r>
        <w:t>in regard to</w:t>
      </w:r>
      <w:proofErr w:type="gramEnd"/>
      <w:r>
        <w:t xml:space="preserve"> the term of the agreement.</w:t>
      </w:r>
      <w:r w:rsidRPr="00C24BA8">
        <w:t xml:space="preserve"> </w:t>
      </w:r>
      <w:r>
        <w:t xml:space="preserve">The Queensland Government has </w:t>
      </w:r>
      <w:r w:rsidRPr="00075F1F">
        <w:t>announced its commitment to continu</w:t>
      </w:r>
      <w:r>
        <w:t>e</w:t>
      </w:r>
      <w:r w:rsidRPr="00075F1F">
        <w:t xml:space="preserve"> funding the Co</w:t>
      </w:r>
      <w:r>
        <w:t>m</w:t>
      </w:r>
      <w:r w:rsidRPr="00075F1F">
        <w:t>mission</w:t>
      </w:r>
      <w:r>
        <w:t xml:space="preserve"> for the 2019-20 financial year.</w:t>
      </w:r>
    </w:p>
    <w:p w14:paraId="5CB92D0F" w14:textId="77777777" w:rsidR="007D0EDD" w:rsidRPr="00500545" w:rsidRDefault="007D0EDD" w:rsidP="00500545">
      <w:pPr>
        <w:pStyle w:val="Heading3"/>
      </w:pPr>
      <w:r w:rsidRPr="00500545">
        <w:t>Cape York Income Management</w:t>
      </w:r>
    </w:p>
    <w:p w14:paraId="47026F24" w14:textId="77777777" w:rsidR="007D0EDD" w:rsidRPr="008B2724" w:rsidRDefault="007D0EDD" w:rsidP="007D0EDD">
      <w:r w:rsidRPr="008B2724">
        <w:t xml:space="preserve">In February the Senate Standing Committee on Community Affairs, Legislation Committee, invited Commissioner David Glasgow to provide a written submission addressing issues that may be of relevance to the Commission regarding the inquiry into the </w:t>
      </w:r>
      <w:r w:rsidRPr="00B75D19">
        <w:t>Social Security (Administration) Amendment (Income Management and Cashless Welfare) Bill 2019</w:t>
      </w:r>
      <w:r>
        <w:t>. The Bill a</w:t>
      </w:r>
      <w:r w:rsidRPr="00D816D5">
        <w:rPr>
          <w:lang w:val="en"/>
        </w:rPr>
        <w:t xml:space="preserve">mends the </w:t>
      </w:r>
      <w:r w:rsidRPr="00302162">
        <w:rPr>
          <w:i/>
          <w:lang w:val="en"/>
        </w:rPr>
        <w:t>Social Security (Administration) Act 1999</w:t>
      </w:r>
      <w:r w:rsidRPr="00D816D5">
        <w:rPr>
          <w:lang w:val="en"/>
        </w:rPr>
        <w:t xml:space="preserve"> to extend the cashless debit card trial in three sites, and the income management program in Cape York, to 30 June 2020</w:t>
      </w:r>
      <w:r>
        <w:rPr>
          <w:lang w:val="en"/>
        </w:rPr>
        <w:t xml:space="preserve">. </w:t>
      </w:r>
      <w:r w:rsidRPr="008B2724">
        <w:t>A written submission was presented on 26 February to the Committee. Issues of relevance brought to the Committee’s attention included:</w:t>
      </w:r>
    </w:p>
    <w:p w14:paraId="436E97FD" w14:textId="795E8106" w:rsidR="007D0EDD" w:rsidRPr="008B2724" w:rsidRDefault="007D0EDD" w:rsidP="007D0EDD">
      <w:pPr>
        <w:numPr>
          <w:ilvl w:val="0"/>
          <w:numId w:val="5"/>
        </w:numPr>
      </w:pPr>
      <w:r w:rsidRPr="008B2724">
        <w:t xml:space="preserve">Commissioners have generally taken a moderate approach to issuing CIM orders, often concentrating on those clients who would be more receptive to the benefits of financial management. The Commissioners explain to those clients the advantages of </w:t>
      </w:r>
      <w:r w:rsidR="005E7E0B">
        <w:t>i</w:t>
      </w:r>
      <w:r w:rsidRPr="008B2724">
        <w:t xml:space="preserve">ncome </w:t>
      </w:r>
      <w:r w:rsidR="005E7E0B">
        <w:t>m</w:t>
      </w:r>
      <w:r w:rsidRPr="008B2724">
        <w:t>anagement as a means of managing</w:t>
      </w:r>
      <w:r w:rsidRPr="008B2724">
        <w:rPr>
          <w:lang w:val="en"/>
        </w:rPr>
        <w:t xml:space="preserve"> their money to meet essential household needs and expenses, thereby assisting in </w:t>
      </w:r>
      <w:r w:rsidRPr="008B2724">
        <w:t>stabilising their home situation and better providing for their children. Many clients therefore commence their orders in the spirit of an agreement.</w:t>
      </w:r>
    </w:p>
    <w:p w14:paraId="04C98B92" w14:textId="77777777" w:rsidR="007D0EDD" w:rsidRPr="008B2724" w:rsidRDefault="007D0EDD" w:rsidP="007D0EDD">
      <w:pPr>
        <w:numPr>
          <w:ilvl w:val="0"/>
          <w:numId w:val="5"/>
        </w:numPr>
      </w:pPr>
      <w:r w:rsidRPr="008B2724">
        <w:t>Commissioners order CIM for clients who have demonstrated a resistance to fulfilling their responsibilities for the children in their care, or their responsibilities to their community. In this respect CIM is used as an enabler for compliance with orders.</w:t>
      </w:r>
    </w:p>
    <w:p w14:paraId="42FC1E88" w14:textId="77777777" w:rsidR="007D0EDD" w:rsidRPr="008B2724" w:rsidRDefault="007D0EDD" w:rsidP="007D0EDD">
      <w:pPr>
        <w:numPr>
          <w:ilvl w:val="0"/>
          <w:numId w:val="5"/>
        </w:numPr>
      </w:pPr>
      <w:r w:rsidRPr="008B2724">
        <w:t>CIM is used as an incentive to improve school attendance by reducing the CIM rate relative to improved school attendance.</w:t>
      </w:r>
    </w:p>
    <w:p w14:paraId="5D2C0D9D" w14:textId="77DF0F24" w:rsidR="007D0EDD" w:rsidRPr="008B2724" w:rsidRDefault="007D0EDD" w:rsidP="007D0EDD">
      <w:pPr>
        <w:numPr>
          <w:ilvl w:val="0"/>
          <w:numId w:val="5"/>
        </w:numPr>
        <w:rPr>
          <w:lang w:val="en"/>
        </w:rPr>
      </w:pPr>
      <w:r w:rsidRPr="008B2724">
        <w:rPr>
          <w:lang w:val="en"/>
        </w:rPr>
        <w:t xml:space="preserve">Commissioners continue to report that </w:t>
      </w:r>
      <w:proofErr w:type="gramStart"/>
      <w:r w:rsidRPr="008B2724">
        <w:rPr>
          <w:lang w:val="en"/>
        </w:rPr>
        <w:t>a number of</w:t>
      </w:r>
      <w:proofErr w:type="gramEnd"/>
      <w:r w:rsidRPr="008B2724">
        <w:rPr>
          <w:lang w:val="en"/>
        </w:rPr>
        <w:t xml:space="preserve"> clients are requesting CIM orders and to be placed on a </w:t>
      </w:r>
      <w:proofErr w:type="spellStart"/>
      <w:r w:rsidRPr="008B2724">
        <w:rPr>
          <w:lang w:val="en"/>
        </w:rPr>
        <w:t>BasicsCard</w:t>
      </w:r>
      <w:proofErr w:type="spellEnd"/>
      <w:r w:rsidRPr="008B2724">
        <w:rPr>
          <w:lang w:val="en"/>
        </w:rPr>
        <w:t xml:space="preserve">. These clients request that the Commission order the CIM as a means of </w:t>
      </w:r>
      <w:proofErr w:type="spellStart"/>
      <w:r w:rsidRPr="008B2724">
        <w:rPr>
          <w:lang w:val="en"/>
        </w:rPr>
        <w:t>stabilising</w:t>
      </w:r>
      <w:proofErr w:type="spellEnd"/>
      <w:r w:rsidRPr="008B2724">
        <w:rPr>
          <w:lang w:val="en"/>
        </w:rPr>
        <w:t xml:space="preserve"> the household and ensuring bills are paid and children are fed, in preference to being placed on VIM where pressure from spouses and family members can erode the intent of </w:t>
      </w:r>
      <w:r w:rsidR="00AA3BD1">
        <w:rPr>
          <w:lang w:val="en"/>
        </w:rPr>
        <w:t>i</w:t>
      </w:r>
      <w:r w:rsidRPr="008B2724">
        <w:rPr>
          <w:lang w:val="en"/>
        </w:rPr>
        <w:t xml:space="preserve">ncome </w:t>
      </w:r>
      <w:r w:rsidR="00AA3BD1">
        <w:rPr>
          <w:lang w:val="en"/>
        </w:rPr>
        <w:t>m</w:t>
      </w:r>
      <w:r w:rsidRPr="008B2724">
        <w:rPr>
          <w:lang w:val="en"/>
        </w:rPr>
        <w:t>anagement.</w:t>
      </w:r>
    </w:p>
    <w:p w14:paraId="7E132170" w14:textId="114B65FC" w:rsidR="00CA59D3" w:rsidRDefault="007D0EDD" w:rsidP="007D0EDD">
      <w:r w:rsidRPr="008B2724">
        <w:t>The majority of CIM orders relate to education notices (not sending children to school). For example, as at 25 February 2019, 90 children were in the care of 54 Aurukun clients currently on a CIM order, with 34 of these clients on a 90 percent CIM order.</w:t>
      </w:r>
    </w:p>
    <w:p w14:paraId="1494251A" w14:textId="77777777" w:rsidR="00CA59D3" w:rsidRDefault="00CA59D3">
      <w:pPr>
        <w:spacing w:after="160" w:line="259" w:lineRule="auto"/>
      </w:pPr>
      <w:r>
        <w:br w:type="page"/>
      </w:r>
    </w:p>
    <w:p w14:paraId="1CD604C9" w14:textId="78EC1FF0" w:rsidR="007D0EDD" w:rsidRPr="008B2724" w:rsidRDefault="007D0EDD" w:rsidP="007D0EDD">
      <w:r w:rsidRPr="008B2724">
        <w:lastRenderedPageBreak/>
        <w:t xml:space="preserve">Whilst the benefit of </w:t>
      </w:r>
      <w:r w:rsidR="00F3797F">
        <w:t>i</w:t>
      </w:r>
      <w:r w:rsidRPr="008B2724">
        <w:t xml:space="preserve">ncome </w:t>
      </w:r>
      <w:r w:rsidR="00F3797F">
        <w:t>m</w:t>
      </w:r>
      <w:r w:rsidRPr="008B2724">
        <w:t xml:space="preserve">anagement is in the capacity of the </w:t>
      </w:r>
      <w:proofErr w:type="spellStart"/>
      <w:r w:rsidRPr="008B2724">
        <w:t>BasicsCard</w:t>
      </w:r>
      <w:proofErr w:type="spellEnd"/>
      <w:r w:rsidRPr="008B2724">
        <w:t xml:space="preserve"> to assist people to manage their income, and the </w:t>
      </w:r>
      <w:r>
        <w:t>disadvantage</w:t>
      </w:r>
      <w:r w:rsidRPr="008B2724">
        <w:t xml:space="preserve"> is the perceived loss of choice, it is only one of the tools available to the Commissioners in restoring social responsibility in their communities. </w:t>
      </w:r>
      <w:r w:rsidR="00713BB8">
        <w:t>I</w:t>
      </w:r>
      <w:r w:rsidRPr="008B2724">
        <w:t xml:space="preserve">ncome </w:t>
      </w:r>
      <w:r w:rsidR="00F3797F">
        <w:t>m</w:t>
      </w:r>
      <w:r w:rsidRPr="008B2724">
        <w:t xml:space="preserve">anagement is used in a targeted approach, mostly as a last resort, and only a small percentage of clients are subject to a </w:t>
      </w:r>
      <w:r w:rsidR="007839A8">
        <w:t>CIM</w:t>
      </w:r>
      <w:r w:rsidRPr="008B2724">
        <w:t xml:space="preserve"> order.</w:t>
      </w:r>
    </w:p>
    <w:p w14:paraId="59824153" w14:textId="05123F84" w:rsidR="007D0EDD" w:rsidRPr="008B2724" w:rsidRDefault="007D0EDD" w:rsidP="007D0EDD">
      <w:r>
        <w:t>In</w:t>
      </w:r>
      <w:r w:rsidRPr="008B2724">
        <w:t xml:space="preserve"> March the Committee further invited Commissioner Glasgow to appear at a public hearing for the inquiry to be held on 18 March 2019. On the instructions of, and in consultation with Commissioner Glasgow, Registrar Maxine McLeod appeared via telephone link at the hearing and presented a statement on behalf of Commissioner Glasgow. In early April the </w:t>
      </w:r>
      <w:r w:rsidRPr="00B75D19">
        <w:t>Social Security (Administration) Amendment (Income Management and Cashless Welfare) Bill 2019</w:t>
      </w:r>
      <w:r w:rsidRPr="008B2724">
        <w:t xml:space="preserve"> passed both Houses, extending </w:t>
      </w:r>
      <w:r w:rsidR="0062722F">
        <w:t>CYIM</w:t>
      </w:r>
      <w:r w:rsidRPr="008B2724">
        <w:t xml:space="preserve"> to 30 June 2020.</w:t>
      </w:r>
    </w:p>
    <w:p w14:paraId="7510F0BB" w14:textId="77777777" w:rsidR="007D0EDD" w:rsidRPr="00500545" w:rsidRDefault="007D0EDD" w:rsidP="00500545">
      <w:pPr>
        <w:pStyle w:val="Heading3"/>
      </w:pPr>
      <w:r w:rsidRPr="00500545">
        <w:t>Queensland Productivity Commission Inquiry into Imprisonment and Recidivism</w:t>
      </w:r>
    </w:p>
    <w:p w14:paraId="25F01F23" w14:textId="21CBAC69" w:rsidR="007D0EDD" w:rsidRPr="004E0060" w:rsidRDefault="007D0EDD" w:rsidP="007D0EDD">
      <w:r>
        <w:t>T</w:t>
      </w:r>
      <w:r w:rsidRPr="004E0060">
        <w:t xml:space="preserve">he Queensland Government has tasked the </w:t>
      </w:r>
      <w:r>
        <w:t xml:space="preserve">QPC </w:t>
      </w:r>
      <w:r w:rsidRPr="004E0060">
        <w:t xml:space="preserve">with examining how government resources and policies can be best used to reduce imprisonment and </w:t>
      </w:r>
      <w:proofErr w:type="gramStart"/>
      <w:r w:rsidRPr="004E0060">
        <w:t>recidivism, and</w:t>
      </w:r>
      <w:proofErr w:type="gramEnd"/>
      <w:r w:rsidRPr="004E0060">
        <w:t xml:space="preserve"> improve outcomes for the community over the medium to longer term.</w:t>
      </w:r>
    </w:p>
    <w:p w14:paraId="07E73618" w14:textId="77777777" w:rsidR="007D0EDD" w:rsidRPr="0020273E" w:rsidRDefault="007D0EDD" w:rsidP="007D0EDD">
      <w:r w:rsidRPr="004E0060">
        <w:t xml:space="preserve">Commissioner David Glasgow </w:t>
      </w:r>
      <w:r>
        <w:t xml:space="preserve">and members of the Registry </w:t>
      </w:r>
      <w:r w:rsidRPr="004E0060">
        <w:t>attended public consultation</w:t>
      </w:r>
      <w:r>
        <w:t>s</w:t>
      </w:r>
      <w:r w:rsidRPr="004E0060">
        <w:t xml:space="preserve"> </w:t>
      </w:r>
      <w:r>
        <w:t>held in Townsville and Cairns</w:t>
      </w:r>
      <w:r w:rsidRPr="004E0060">
        <w:t xml:space="preserve"> </w:t>
      </w:r>
      <w:proofErr w:type="gramStart"/>
      <w:r w:rsidRPr="004E0060">
        <w:t>in regard to</w:t>
      </w:r>
      <w:proofErr w:type="gramEnd"/>
      <w:r w:rsidRPr="004E0060">
        <w:t xml:space="preserve"> this inquiry </w:t>
      </w:r>
      <w:r>
        <w:t>i</w:t>
      </w:r>
      <w:r w:rsidRPr="004E0060">
        <w:t xml:space="preserve">n October 2018. </w:t>
      </w:r>
      <w:r>
        <w:t xml:space="preserve">Commissioner Glasgow was further invited by the QPC to attend a public hearing held in Townsville on 8 May 2019. The Commissioner advised the hearing that </w:t>
      </w:r>
      <w:r w:rsidRPr="0020273E">
        <w:t xml:space="preserve">issues surrounding imprisonment and recidivism affect </w:t>
      </w:r>
      <w:r>
        <w:t>the remote Indigenous</w:t>
      </w:r>
      <w:r w:rsidRPr="0020273E">
        <w:t xml:space="preserve"> communities in many and profound ways. These issues </w:t>
      </w:r>
      <w:r>
        <w:t>include</w:t>
      </w:r>
      <w:r w:rsidRPr="0020273E">
        <w:t>:</w:t>
      </w:r>
    </w:p>
    <w:p w14:paraId="4C12E8EC" w14:textId="77777777" w:rsidR="007D0EDD" w:rsidRPr="0020273E" w:rsidRDefault="007D0EDD" w:rsidP="007D0EDD">
      <w:pPr>
        <w:numPr>
          <w:ilvl w:val="0"/>
          <w:numId w:val="5"/>
        </w:numPr>
      </w:pPr>
      <w:r w:rsidRPr="0020273E">
        <w:t>gaps in support for both offenders and victims on release from prison</w:t>
      </w:r>
    </w:p>
    <w:p w14:paraId="0C7E740A" w14:textId="77777777" w:rsidR="007D0EDD" w:rsidRPr="0020273E" w:rsidRDefault="007D0EDD" w:rsidP="007D0EDD">
      <w:pPr>
        <w:numPr>
          <w:ilvl w:val="0"/>
          <w:numId w:val="5"/>
        </w:numPr>
      </w:pPr>
      <w:r w:rsidRPr="0020273E">
        <w:t>lack of meaningful employment available in community</w:t>
      </w:r>
    </w:p>
    <w:p w14:paraId="6A364FFD" w14:textId="77777777" w:rsidR="007D0EDD" w:rsidRPr="0020273E" w:rsidRDefault="007D0EDD" w:rsidP="007D0EDD">
      <w:pPr>
        <w:numPr>
          <w:ilvl w:val="0"/>
          <w:numId w:val="5"/>
        </w:numPr>
      </w:pPr>
      <w:r w:rsidRPr="0020273E">
        <w:t>prison being a rite of passage rather than a deterrent</w:t>
      </w:r>
    </w:p>
    <w:p w14:paraId="40A78B21" w14:textId="77777777" w:rsidR="007D0EDD" w:rsidRPr="0020273E" w:rsidRDefault="007D0EDD" w:rsidP="007D0EDD">
      <w:pPr>
        <w:numPr>
          <w:ilvl w:val="0"/>
          <w:numId w:val="5"/>
        </w:numPr>
      </w:pPr>
      <w:r w:rsidRPr="0020273E">
        <w:t>lack of diversionary options</w:t>
      </w:r>
    </w:p>
    <w:p w14:paraId="7691523E" w14:textId="77777777" w:rsidR="007D0EDD" w:rsidRPr="0020273E" w:rsidRDefault="007D0EDD" w:rsidP="007D0EDD">
      <w:pPr>
        <w:numPr>
          <w:ilvl w:val="0"/>
          <w:numId w:val="5"/>
        </w:numPr>
      </w:pPr>
      <w:r w:rsidRPr="0020273E">
        <w:t>disconnection from family and consequent impacts</w:t>
      </w:r>
      <w:r>
        <w:t>.</w:t>
      </w:r>
    </w:p>
    <w:p w14:paraId="400D0BE2" w14:textId="6BEF555B" w:rsidR="007D0EDD" w:rsidRPr="0020273E" w:rsidRDefault="007D0EDD" w:rsidP="007D0EDD">
      <w:r w:rsidRPr="0020273E">
        <w:t xml:space="preserve">Of significance in </w:t>
      </w:r>
      <w:r>
        <w:t xml:space="preserve">the </w:t>
      </w:r>
      <w:r w:rsidR="00E84693">
        <w:t>w</w:t>
      </w:r>
      <w:r>
        <w:t xml:space="preserve">elfare </w:t>
      </w:r>
      <w:r w:rsidR="00E84693">
        <w:t>r</w:t>
      </w:r>
      <w:r>
        <w:t>eform</w:t>
      </w:r>
      <w:r w:rsidRPr="0020273E">
        <w:t xml:space="preserve"> communities are the unintended consequences of the blanket application of strong criminal sanctions. </w:t>
      </w:r>
      <w:r>
        <w:t>The Commissioner noted that</w:t>
      </w:r>
      <w:r w:rsidRPr="0020273E">
        <w:t xml:space="preserve"> domestic violence orders and breaches being inflexibly applied </w:t>
      </w:r>
      <w:r>
        <w:t>can often</w:t>
      </w:r>
      <w:r w:rsidRPr="0020273E">
        <w:t xml:space="preserve"> result in disproportionate incarceration rates</w:t>
      </w:r>
      <w:r>
        <w:t xml:space="preserve"> in remote Indigenous communities</w:t>
      </w:r>
      <w:r w:rsidRPr="0020273E">
        <w:t>. High incidence of convictions relating to drug and alcohol and public nuisance charges also prevent community members from obtaining blue cards and limit employment opportunities.</w:t>
      </w:r>
    </w:p>
    <w:p w14:paraId="4F8DC494" w14:textId="57AA7FEA" w:rsidR="007D0EDD" w:rsidRPr="0020273E" w:rsidRDefault="007D0EDD" w:rsidP="007D0EDD">
      <w:r>
        <w:t>The Commission supported the recommendations</w:t>
      </w:r>
      <w:r w:rsidRPr="0020273E">
        <w:t xml:space="preserve"> outlined in the draft report to reduce the scope of criminal offences, and to expand diversionary options including exploring orders to attend mediation. As </w:t>
      </w:r>
      <w:r>
        <w:t>an example,</w:t>
      </w:r>
      <w:r w:rsidRPr="0020273E">
        <w:t xml:space="preserve"> domestic violence matters which occur between siblings and other family members would often be better dealt with by Indigenous mediators, or in a setting such as FRC conferences. These options are either not canvassed by </w:t>
      </w:r>
      <w:r w:rsidR="00E84693">
        <w:t>p</w:t>
      </w:r>
      <w:r w:rsidRPr="0020273E">
        <w:t>olice or not available as a referral mechanism to the courts.</w:t>
      </w:r>
    </w:p>
    <w:p w14:paraId="0D7445DA" w14:textId="77777777" w:rsidR="00CA59D3" w:rsidRDefault="00CA59D3">
      <w:pPr>
        <w:spacing w:after="160" w:line="259" w:lineRule="auto"/>
      </w:pPr>
      <w:r>
        <w:br w:type="page"/>
      </w:r>
    </w:p>
    <w:p w14:paraId="05076533" w14:textId="126024E6" w:rsidR="007D0EDD" w:rsidRPr="0020273E" w:rsidRDefault="007D0EDD" w:rsidP="007D0EDD">
      <w:r w:rsidRPr="0020273E">
        <w:lastRenderedPageBreak/>
        <w:t xml:space="preserve">The </w:t>
      </w:r>
      <w:r>
        <w:t xml:space="preserve">Commission </w:t>
      </w:r>
      <w:r w:rsidRPr="0020273E">
        <w:t>also strongly support</w:t>
      </w:r>
      <w:r>
        <w:t>ed</w:t>
      </w:r>
      <w:r w:rsidRPr="0020273E">
        <w:t xml:space="preserve"> the recommendation to include victim focussed restitution and restoration. The FRC’s model of Local Commissioners conferencing community members who have </w:t>
      </w:r>
      <w:r>
        <w:t>been referred to it</w:t>
      </w:r>
      <w:r w:rsidRPr="0020273E">
        <w:t xml:space="preserve"> provides a forum to hold people accountable for their actions in a culturally appropriate and effective way.</w:t>
      </w:r>
    </w:p>
    <w:p w14:paraId="07C21B37" w14:textId="77777777" w:rsidR="007D0EDD" w:rsidRPr="0020273E" w:rsidRDefault="007D0EDD" w:rsidP="007D0EDD">
      <w:r w:rsidRPr="0020273E">
        <w:t xml:space="preserve">As the Queensland Government considers the future of the FRC, it seems there is significant opportunity to evolve and refresh the FRC model to incorporate alternative justice strategies more suited to the needs of Aboriginal and Torres Strait Islander people. </w:t>
      </w:r>
      <w:r>
        <w:t>L</w:t>
      </w:r>
      <w:r w:rsidRPr="0020273E">
        <w:t xml:space="preserve">ocal Commissioners are established and respected local </w:t>
      </w:r>
      <w:r>
        <w:t>E</w:t>
      </w:r>
      <w:r w:rsidRPr="0020273E">
        <w:t>lder authority groups that now have 1</w:t>
      </w:r>
      <w:r>
        <w:t>1</w:t>
      </w:r>
      <w:r w:rsidRPr="0020273E">
        <w:t xml:space="preserve"> years’ standing in each community. They are an invaluable resource.</w:t>
      </w:r>
    </w:p>
    <w:p w14:paraId="3C9ABD9C" w14:textId="77777777" w:rsidR="007D0EDD" w:rsidRPr="0020273E" w:rsidRDefault="007D0EDD" w:rsidP="007D0EDD">
      <w:r>
        <w:t xml:space="preserve">Local </w:t>
      </w:r>
      <w:r w:rsidRPr="0020273E">
        <w:t xml:space="preserve">Commissioners have </w:t>
      </w:r>
      <w:r>
        <w:t>first-hand</w:t>
      </w:r>
      <w:r w:rsidRPr="0020273E">
        <w:t xml:space="preserve"> knowledge of the drivers of over</w:t>
      </w:r>
      <w:r>
        <w:t>-</w:t>
      </w:r>
      <w:r w:rsidRPr="0020273E">
        <w:t>representation in the criminal justice system in each of their communities.</w:t>
      </w:r>
      <w:r>
        <w:t xml:space="preserve"> Approaches such as restorative justice conferencing and justice reinvestment would seem to fit well with the existing FRC conferencing structure.</w:t>
      </w:r>
      <w:r w:rsidRPr="0020273E">
        <w:t xml:space="preserve"> </w:t>
      </w:r>
    </w:p>
    <w:p w14:paraId="1768DF18" w14:textId="77777777" w:rsidR="007D0EDD" w:rsidRPr="00AD7F89" w:rsidRDefault="007D0EDD" w:rsidP="007D0EDD">
      <w:r w:rsidRPr="0020273E">
        <w:t>There are a range of options available to use the FRC to continue to make real change and contribute to improvements in imprisonment and recidivism in Indigenous communities. It will be up to the Queensland Government to recognise and embrace these opportunities.</w:t>
      </w:r>
    </w:p>
    <w:p w14:paraId="2D4351E5" w14:textId="77777777" w:rsidR="001F1B84" w:rsidRDefault="001F1B84" w:rsidP="003E09C0">
      <w:pPr>
        <w:rPr>
          <w:rFonts w:cs="Arial"/>
          <w:szCs w:val="20"/>
          <w:lang w:val="en-US" w:eastAsia="en-AU"/>
        </w:rPr>
      </w:pPr>
    </w:p>
    <w:p w14:paraId="0AA97E2F" w14:textId="77777777" w:rsidR="007D0EDD" w:rsidRDefault="007D0EDD" w:rsidP="003E09C0">
      <w:pPr>
        <w:rPr>
          <w:rFonts w:cs="Arial"/>
          <w:szCs w:val="20"/>
          <w:lang w:val="en-US" w:eastAsia="en-AU"/>
        </w:rPr>
        <w:sectPr w:rsidR="007D0EDD" w:rsidSect="00CA59D3">
          <w:headerReference w:type="default" r:id="rId75"/>
          <w:footnotePr>
            <w:numRestart w:val="eachSect"/>
          </w:footnotePr>
          <w:pgSz w:w="11906" w:h="16838"/>
          <w:pgMar w:top="2948" w:right="1701" w:bottom="567" w:left="1701" w:header="0" w:footer="567" w:gutter="0"/>
          <w:cols w:space="708"/>
          <w:docGrid w:linePitch="360"/>
        </w:sectPr>
      </w:pPr>
    </w:p>
    <w:p w14:paraId="0771ABC6" w14:textId="77777777" w:rsidR="0060361C" w:rsidRPr="00EA54DF" w:rsidRDefault="0060361C" w:rsidP="00EA54DF">
      <w:pPr>
        <w:pStyle w:val="Heading3"/>
      </w:pPr>
      <w:r w:rsidRPr="00EA54DF">
        <w:lastRenderedPageBreak/>
        <w:t>Family Responsibilities Board</w:t>
      </w:r>
    </w:p>
    <w:p w14:paraId="2ED77B56" w14:textId="77777777" w:rsidR="0060361C" w:rsidRPr="008E7494" w:rsidRDefault="0060361C" w:rsidP="0060361C">
      <w:r w:rsidRPr="008E7494">
        <w:t xml:space="preserve">Part 12 of the FRC Act provides for the establishment of the Family Responsibilities Board (FR Board). Under section 117 of the FRC Act, the FR Board has a mandate to: give advice and make recommendations to the </w:t>
      </w:r>
      <w:r>
        <w:t xml:space="preserve">State </w:t>
      </w:r>
      <w:r w:rsidRPr="008E7494">
        <w:t xml:space="preserve">Minister about the operation of the Commission; give advice and make recommendations to the Commissioner about the performance of the Commission’s functions; and consider the reports submitted by the Commission. Section 118 of the FRC Act provides for the membership of the FR Board which is endorsed by the Queensland Governor in Council. The FR Board consists of one person nominated by the </w:t>
      </w:r>
      <w:r>
        <w:t xml:space="preserve">State </w:t>
      </w:r>
      <w:r w:rsidRPr="008E7494">
        <w:t>Minister (chairperson of the FR Board), one person nominated by the Australian Government and one person nominated by the Institute. Board members are appointed by the Governor in Council for the term stated in the member’s instrument of appointment.</w:t>
      </w:r>
    </w:p>
    <w:p w14:paraId="1BA352C2" w14:textId="093D1D08" w:rsidR="0060361C" w:rsidRPr="008E7494" w:rsidRDefault="0060361C" w:rsidP="00200F97">
      <w:r w:rsidRPr="008E7494">
        <w:t xml:space="preserve">Section 123 of the FRC Act states that the FR Board must meet every six months. The meeting may be held by using any technology available which will allow for efficient and effective communication, however, the Board members must meet in person at least once a year. A quorum for the Board is comprised of two members. A full description of the meetings of the FR Board can be found </w:t>
      </w:r>
      <w:r w:rsidRPr="009A13C4">
        <w:t xml:space="preserve">at page </w:t>
      </w:r>
      <w:r w:rsidR="00CA3C23" w:rsidRPr="009A13C4">
        <w:t>10</w:t>
      </w:r>
      <w:r w:rsidR="00E31489" w:rsidRPr="009A13C4">
        <w:t>7</w:t>
      </w:r>
      <w:r w:rsidRPr="009A13C4">
        <w:t>.</w:t>
      </w:r>
    </w:p>
    <w:p w14:paraId="63AA9F03" w14:textId="77777777" w:rsidR="0060361C" w:rsidRPr="00EA54DF" w:rsidRDefault="0060361C" w:rsidP="00EA54DF">
      <w:pPr>
        <w:pStyle w:val="Heading3"/>
      </w:pPr>
      <w:r w:rsidRPr="00EA54DF">
        <w:t>Composition of the Board</w:t>
      </w:r>
    </w:p>
    <w:p w14:paraId="23A31B52" w14:textId="77777777" w:rsidR="0060361C" w:rsidRPr="008E7494" w:rsidRDefault="0060361C" w:rsidP="0060361C">
      <w:r w:rsidRPr="008E7494">
        <w:t>The FR Board members as at 30 June 201</w:t>
      </w:r>
      <w:r>
        <w:t>9</w:t>
      </w:r>
      <w:r w:rsidRPr="008E7494">
        <w:t xml:space="preserve"> were:</w:t>
      </w:r>
    </w:p>
    <w:p w14:paraId="435BDB7A" w14:textId="77777777" w:rsidR="0060361C" w:rsidRPr="008E7494" w:rsidRDefault="0060361C" w:rsidP="0060361C">
      <w:pPr>
        <w:tabs>
          <w:tab w:val="left" w:pos="2127"/>
        </w:tabs>
        <w:ind w:left="2127" w:hanging="2127"/>
      </w:pPr>
      <w:r>
        <w:t xml:space="preserve">Dr Chris </w:t>
      </w:r>
      <w:proofErr w:type="spellStart"/>
      <w:r>
        <w:t>Sarra</w:t>
      </w:r>
      <w:proofErr w:type="spellEnd"/>
      <w:r w:rsidRPr="008E7494">
        <w:tab/>
        <w:t>Director-General, Department of Aboriginal and Torres Strait Islander Partnerships as the Chair</w:t>
      </w:r>
    </w:p>
    <w:p w14:paraId="35FFA41F" w14:textId="2081699A" w:rsidR="0060361C" w:rsidRPr="008E7494" w:rsidRDefault="0060361C" w:rsidP="0060361C">
      <w:pPr>
        <w:tabs>
          <w:tab w:val="left" w:pos="2127"/>
        </w:tabs>
        <w:ind w:left="2127" w:hanging="2127"/>
      </w:pPr>
      <w:r w:rsidRPr="008E7494">
        <w:t xml:space="preserve">Mr Troy Sloan </w:t>
      </w:r>
      <w:r w:rsidRPr="008E7494">
        <w:tab/>
        <w:t xml:space="preserve">First Assistant Secretary, </w:t>
      </w:r>
      <w:r>
        <w:t>Legal, Employment</w:t>
      </w:r>
      <w:r w:rsidR="00C8085E">
        <w:t>, Environment</w:t>
      </w:r>
      <w:r>
        <w:t xml:space="preserve"> </w:t>
      </w:r>
      <w:r w:rsidRPr="008E7494">
        <w:t>and Evaluation Division, Department of the Prime Minister and Cabinet</w:t>
      </w:r>
    </w:p>
    <w:p w14:paraId="2B481A12" w14:textId="77777777" w:rsidR="0060361C" w:rsidRDefault="0060361C" w:rsidP="0060361C">
      <w:pPr>
        <w:tabs>
          <w:tab w:val="left" w:pos="2127"/>
        </w:tabs>
        <w:ind w:left="2127" w:hanging="2127"/>
      </w:pPr>
      <w:r w:rsidRPr="008E7494">
        <w:t xml:space="preserve">Mr Noel Pearson </w:t>
      </w:r>
      <w:r w:rsidRPr="008E7494">
        <w:tab/>
        <w:t>Founder, Cape York Partnership representing the Cape York Institute.</w:t>
      </w:r>
    </w:p>
    <w:p w14:paraId="081CF218" w14:textId="77777777" w:rsidR="0060361C" w:rsidRPr="00EA54DF" w:rsidRDefault="0060361C" w:rsidP="00EA54DF">
      <w:pPr>
        <w:pStyle w:val="Heading3"/>
      </w:pPr>
      <w:r w:rsidRPr="00EA54DF">
        <w:t>Executive Management Team</w:t>
      </w:r>
    </w:p>
    <w:p w14:paraId="5980361E" w14:textId="509D3E39" w:rsidR="0060361C" w:rsidRPr="008E7494" w:rsidRDefault="0060361C" w:rsidP="0060361C">
      <w:r w:rsidRPr="008E7494">
        <w:t xml:space="preserve">The Commission’s Executive Management Team (EMT) is comprised of the Commissioner, the Registrar, the Client Manager and the </w:t>
      </w:r>
      <w:r w:rsidR="00E2337B">
        <w:t>Executive Officer (</w:t>
      </w:r>
      <w:r w:rsidRPr="008E7494">
        <w:t>Finance</w:t>
      </w:r>
      <w:r w:rsidR="00E2337B">
        <w:t>)</w:t>
      </w:r>
      <w:r w:rsidRPr="008E7494">
        <w:t>. The EMT plays a critical role in the corporate governance and service delivery of the Commission by:</w:t>
      </w:r>
    </w:p>
    <w:p w14:paraId="26A90DF8" w14:textId="77777777" w:rsidR="0060361C" w:rsidRPr="008E7494" w:rsidRDefault="0060361C" w:rsidP="0060361C">
      <w:pPr>
        <w:pStyle w:val="ListBullet2"/>
      </w:pPr>
      <w:r w:rsidRPr="008E7494">
        <w:t>providing value-based leadership whilst being a role model for innovation, teamwork and problem solving</w:t>
      </w:r>
    </w:p>
    <w:p w14:paraId="3E899A3E" w14:textId="77777777" w:rsidR="0060361C" w:rsidRPr="008E7494" w:rsidRDefault="0060361C" w:rsidP="0060361C">
      <w:pPr>
        <w:pStyle w:val="ListBullet2"/>
      </w:pPr>
      <w:r w:rsidRPr="008E7494">
        <w:t>demonstrating and incorporating high standards of integrity and ethical behaviour</w:t>
      </w:r>
    </w:p>
    <w:p w14:paraId="3FEF0A60" w14:textId="77777777" w:rsidR="0060361C" w:rsidRPr="008E7494" w:rsidRDefault="0060361C" w:rsidP="0060361C">
      <w:pPr>
        <w:pStyle w:val="ListBullet2"/>
      </w:pPr>
      <w:r w:rsidRPr="008E7494">
        <w:t>ensuring transparency and accountability through effective decision-making and communication with employees and service providers</w:t>
      </w:r>
    </w:p>
    <w:p w14:paraId="506DD426" w14:textId="77777777" w:rsidR="0060361C" w:rsidRPr="008E7494" w:rsidRDefault="0060361C" w:rsidP="0060361C">
      <w:pPr>
        <w:pStyle w:val="ListBullet2"/>
      </w:pPr>
      <w:r w:rsidRPr="008E7494">
        <w:t>providing a clear future direction for the Commission and</w:t>
      </w:r>
    </w:p>
    <w:p w14:paraId="20709664" w14:textId="77777777" w:rsidR="0060361C" w:rsidRPr="008E7494" w:rsidRDefault="0060361C" w:rsidP="0060361C">
      <w:pPr>
        <w:pStyle w:val="ListBullet2"/>
      </w:pPr>
      <w:r w:rsidRPr="008E7494">
        <w:t>providing leadership and direction on:</w:t>
      </w:r>
    </w:p>
    <w:p w14:paraId="1A4632FA" w14:textId="77777777" w:rsidR="0060361C" w:rsidRPr="008E7494" w:rsidRDefault="0060361C" w:rsidP="0060361C">
      <w:pPr>
        <w:pStyle w:val="ListBullet4"/>
        <w:contextualSpacing w:val="0"/>
      </w:pPr>
      <w:r w:rsidRPr="008E7494">
        <w:t>issues relating to the ongoing financial and non-financial operations of the Commission and the performance of its governance structure and</w:t>
      </w:r>
    </w:p>
    <w:p w14:paraId="121E6096" w14:textId="77777777" w:rsidR="0060361C" w:rsidRPr="008E7494" w:rsidRDefault="0060361C" w:rsidP="0060361C">
      <w:pPr>
        <w:pStyle w:val="ListBullet4"/>
        <w:contextualSpacing w:val="0"/>
      </w:pPr>
      <w:r w:rsidRPr="008E7494">
        <w:t xml:space="preserve">the operation, performance and reporting of the Commission </w:t>
      </w:r>
      <w:proofErr w:type="gramStart"/>
      <w:r w:rsidRPr="008E7494">
        <w:t>with regard to</w:t>
      </w:r>
      <w:proofErr w:type="gramEnd"/>
      <w:r w:rsidRPr="008E7494">
        <w:t xml:space="preserve"> its obligations under the FRC Act and other relevant legislation.</w:t>
      </w:r>
    </w:p>
    <w:p w14:paraId="326C2413" w14:textId="77777777" w:rsidR="0060361C" w:rsidRPr="008E7494" w:rsidRDefault="0060361C" w:rsidP="0060361C">
      <w:r w:rsidRPr="008E7494">
        <w:t xml:space="preserve">Due to the small size of the Commission, the role of the EMT also encompasses the corporate stewardship functions associated with the Commission’s operational performance. In </w:t>
      </w:r>
      <w:proofErr w:type="gramStart"/>
      <w:r w:rsidRPr="008E7494">
        <w:t>addition</w:t>
      </w:r>
      <w:proofErr w:type="gramEnd"/>
      <w:r w:rsidRPr="008E7494">
        <w:t xml:space="preserve"> the EMT oversees the operations of finance, information management, human resources and </w:t>
      </w:r>
      <w:r w:rsidRPr="008E7494">
        <w:lastRenderedPageBreak/>
        <w:t>planning, audit, risk management, systems review and workload and performance management. The EMT met on a regular basis throughout the 201</w:t>
      </w:r>
      <w:r>
        <w:t>8</w:t>
      </w:r>
      <w:r w:rsidRPr="008E7494">
        <w:t>-1</w:t>
      </w:r>
      <w:r>
        <w:t>9</w:t>
      </w:r>
      <w:r w:rsidRPr="008E7494">
        <w:t xml:space="preserve"> year.</w:t>
      </w:r>
    </w:p>
    <w:p w14:paraId="79B0AE9C" w14:textId="77777777" w:rsidR="0060361C" w:rsidRPr="00EA54DF" w:rsidRDefault="0060361C" w:rsidP="00EA54DF">
      <w:pPr>
        <w:pStyle w:val="Heading3"/>
      </w:pPr>
      <w:r w:rsidRPr="00EA54DF">
        <w:t>Corporate structure</w:t>
      </w:r>
    </w:p>
    <w:p w14:paraId="0A27A258" w14:textId="77777777" w:rsidR="0060361C" w:rsidRPr="008E7494" w:rsidRDefault="0060361C" w:rsidP="0060361C">
      <w:r w:rsidRPr="008E7494">
        <w:t xml:space="preserve">The Commission’s organisational structure includes a central registry office based in Cairns and a remote office in each of the welfare reform communities of Aurukun, Coen, Doomadgee, Hope Vale and Mossman Gorge. Each of the Commission’s remote </w:t>
      </w:r>
      <w:proofErr w:type="gramStart"/>
      <w:r w:rsidRPr="008E7494">
        <w:t>community based</w:t>
      </w:r>
      <w:proofErr w:type="gramEnd"/>
      <w:r w:rsidRPr="008E7494">
        <w:t xml:space="preserve"> offices has a Local Coordinator appointed to provide strategic, operational and administrative support to the Local Commissioners.</w:t>
      </w:r>
    </w:p>
    <w:p w14:paraId="2D8BAD43" w14:textId="77777777" w:rsidR="0060361C" w:rsidRPr="008E7494" w:rsidRDefault="0060361C" w:rsidP="0060361C">
      <w:r>
        <w:t>The Deputy Commissioner’s appointment ceased on 31 December 2018. The Queensland Government has not extended the appointment and as at 30 June 2019 the Deputy Commissioner position remained vacant.</w:t>
      </w:r>
    </w:p>
    <w:p w14:paraId="6282AC05" w14:textId="77777777" w:rsidR="0060361C" w:rsidRPr="008E7494" w:rsidRDefault="0060361C" w:rsidP="0060361C"/>
    <w:p w14:paraId="4A0E1D00" w14:textId="7F808F1C" w:rsidR="0060361C" w:rsidRPr="008E7494" w:rsidRDefault="005133C8" w:rsidP="0060361C">
      <w:pPr>
        <w:spacing w:after="200" w:line="276" w:lineRule="auto"/>
        <w:rPr>
          <w:rFonts w:ascii="Calibri" w:eastAsia="Calibri" w:hAnsi="Calibri"/>
          <w:sz w:val="22"/>
        </w:rPr>
      </w:pPr>
      <w:r w:rsidRPr="002C7A97">
        <w:rPr>
          <w:b/>
        </w:rPr>
        <w:t>Family Responsibilities Commission – Organisational Chart</w:t>
      </w:r>
    </w:p>
    <w:p w14:paraId="1A7B5308" w14:textId="77777777" w:rsidR="0060361C" w:rsidRPr="00EA54DF" w:rsidRDefault="0060361C" w:rsidP="00EA54DF">
      <w:pPr>
        <w:pStyle w:val="Heading3"/>
      </w:pPr>
      <w:r w:rsidRPr="008E7494">
        <w:br w:type="page"/>
      </w:r>
      <w:r w:rsidRPr="00EA54DF">
        <w:lastRenderedPageBreak/>
        <w:t>Planning</w:t>
      </w:r>
    </w:p>
    <w:p w14:paraId="082D1F12" w14:textId="7F552F6E" w:rsidR="0060361C" w:rsidRPr="008E7494" w:rsidRDefault="0060361C" w:rsidP="0060361C">
      <w:r w:rsidRPr="008E7494">
        <w:t xml:space="preserve">The Commission has adopted a strategic plan which clearly defines the strategic outcomes sought by the Commission, the strategic objectives which are specifically tied to these outcomes and the strategies it will employ to achieve its objectives. The strategic outcomes of improved community wellbeing and improved community responsibility set out what the Commission wishes to achieve. The strategic </w:t>
      </w:r>
      <w:r w:rsidRPr="008E7494">
        <w:rPr>
          <w:lang w:val="en"/>
        </w:rPr>
        <w:t>objectives</w:t>
      </w:r>
      <w:r w:rsidRPr="008E7494">
        <w:rPr>
          <w:i/>
          <w:iCs/>
          <w:lang w:val="en-US"/>
        </w:rPr>
        <w:t xml:space="preserve"> </w:t>
      </w:r>
      <w:r w:rsidRPr="008E7494">
        <w:rPr>
          <w:lang w:val="en-US"/>
        </w:rPr>
        <w:t>relate to specific targets and processes by which the Commission seeks to achieve its outcomes</w:t>
      </w:r>
      <w:r w:rsidRPr="008E7494">
        <w:rPr>
          <w:lang w:val="en"/>
        </w:rPr>
        <w:t xml:space="preserve">. </w:t>
      </w:r>
      <w:r w:rsidRPr="008E7494">
        <w:t xml:space="preserve">The Commission’s direction is consistent </w:t>
      </w:r>
      <w:proofErr w:type="gramStart"/>
      <w:r w:rsidRPr="008E7494">
        <w:t>with, and</w:t>
      </w:r>
      <w:proofErr w:type="gramEnd"/>
      <w:r w:rsidRPr="008E7494">
        <w:t xml:space="preserve"> guided by current whole-of-government priorities, including targets set by COAG under NIRA and other key financial, socio-economic and demographic challenges identified through research and consultation. The strategic plan is reviewed on an annual basis to ensure currency of performance measures and that objectives adequately reflect the Commission’s vision and purpose. A copy of the Strategic Plan can be found on </w:t>
      </w:r>
      <w:r w:rsidRPr="00E7004D">
        <w:t>page 1</w:t>
      </w:r>
      <w:r w:rsidR="00E31489" w:rsidRPr="00E7004D">
        <w:t>9</w:t>
      </w:r>
      <w:r w:rsidRPr="00E7004D">
        <w:t>.</w:t>
      </w:r>
    </w:p>
    <w:p w14:paraId="460D9BC1" w14:textId="77777777" w:rsidR="0060361C" w:rsidRPr="00EA54DF" w:rsidRDefault="0060361C" w:rsidP="00EA54DF">
      <w:pPr>
        <w:pStyle w:val="Heading3"/>
      </w:pPr>
      <w:r w:rsidRPr="00EA54DF">
        <w:t>Participation in external governance groups</w:t>
      </w:r>
    </w:p>
    <w:p w14:paraId="131D0705" w14:textId="77777777" w:rsidR="0060361C" w:rsidRPr="008E7494" w:rsidRDefault="0060361C" w:rsidP="0060361C">
      <w:r w:rsidRPr="008E7494">
        <w:t xml:space="preserve">In addition to the internal governance arrangements of the Commission, the Commissioner and other delegated employees participate regularly in interagency meetings and governance groups. </w:t>
      </w:r>
      <w:proofErr w:type="gramStart"/>
      <w:r w:rsidRPr="008E7494">
        <w:t>In particular regular</w:t>
      </w:r>
      <w:proofErr w:type="gramEnd"/>
      <w:r w:rsidRPr="008E7494">
        <w:t xml:space="preserve"> individual meetings are conducted separately between the Commission, and its strategic partners DATSIP, CYP and DPMC. These meetings enhance interagency collaboration and focus on common goals.</w:t>
      </w:r>
    </w:p>
    <w:p w14:paraId="5BA2FE5E" w14:textId="77777777" w:rsidR="0060361C" w:rsidRPr="008E7494" w:rsidRDefault="0060361C" w:rsidP="0060361C">
      <w:r w:rsidRPr="008E7494">
        <w:t>In addition, regular meetings are held between the Commission and community service providers to focus on seamless service provision for Commission clients, to fill in gaps where they occur and to maintain up-to-date knowledge on agency services, ensuring responsiveness to both client and community needs.</w:t>
      </w:r>
    </w:p>
    <w:p w14:paraId="170534CB" w14:textId="77777777" w:rsidR="0060361C" w:rsidRPr="00EA54DF" w:rsidRDefault="0060361C" w:rsidP="00EA54DF">
      <w:pPr>
        <w:pStyle w:val="Heading3"/>
      </w:pPr>
      <w:r w:rsidRPr="00EA54DF">
        <w:t>Human resource management</w:t>
      </w:r>
    </w:p>
    <w:p w14:paraId="3DC6FEA7" w14:textId="7717D6FD" w:rsidR="0060361C" w:rsidRPr="008E7494" w:rsidRDefault="0060361C" w:rsidP="0060361C">
      <w:r w:rsidRPr="008E7494">
        <w:t>At 30 June 201</w:t>
      </w:r>
      <w:r>
        <w:t>9</w:t>
      </w:r>
      <w:r w:rsidRPr="008E7494">
        <w:t xml:space="preserve"> the Commission had an employee establishment </w:t>
      </w:r>
      <w:r w:rsidRPr="000B5AB4">
        <w:t xml:space="preserve">of </w:t>
      </w:r>
      <w:r>
        <w:t xml:space="preserve">16 positions occupied by </w:t>
      </w:r>
      <w:r w:rsidRPr="000B5AB4">
        <w:t>14.4</w:t>
      </w:r>
      <w:r w:rsidRPr="008E7494">
        <w:t xml:space="preserve"> FTE </w:t>
      </w:r>
      <w:r>
        <w:t>staff members</w:t>
      </w:r>
      <w:r w:rsidRPr="008E7494">
        <w:t>, including positions servicing the regional communities. Regional positions include one Local Coordinator based in Aurukun</w:t>
      </w:r>
      <w:r>
        <w:t xml:space="preserve"> </w:t>
      </w:r>
      <w:r w:rsidRPr="008E7494">
        <w:t>and one Local Coordinator based in Doomadgee. The Deputy Commissioner and Local Commissioners are employed on a fee for service basis.</w:t>
      </w:r>
    </w:p>
    <w:tbl>
      <w:tblPr>
        <w:tblStyle w:val="TableGrid"/>
        <w:tblW w:w="0" w:type="auto"/>
        <w:tblInd w:w="108" w:type="dxa"/>
        <w:tblLook w:val="04A0" w:firstRow="1" w:lastRow="0" w:firstColumn="1" w:lastColumn="0" w:noHBand="0" w:noVBand="1"/>
      </w:tblPr>
      <w:tblGrid>
        <w:gridCol w:w="8222"/>
      </w:tblGrid>
      <w:tr w:rsidR="0060361C" w:rsidRPr="008E7494" w14:paraId="0236EE4D" w14:textId="77777777" w:rsidTr="00066DE4">
        <w:tc>
          <w:tcPr>
            <w:tcW w:w="8222" w:type="dxa"/>
          </w:tcPr>
          <w:p w14:paraId="16241B45" w14:textId="77777777" w:rsidR="0060361C" w:rsidRPr="008E7494" w:rsidRDefault="0060361C" w:rsidP="00066DE4">
            <w:pPr>
              <w:spacing w:before="120"/>
            </w:pPr>
            <w:r w:rsidRPr="008E7494">
              <w:t>Workforce Profile</w:t>
            </w:r>
          </w:p>
        </w:tc>
      </w:tr>
      <w:tr w:rsidR="0060361C" w:rsidRPr="008E7494" w14:paraId="69668DB9" w14:textId="77777777" w:rsidTr="00066DE4">
        <w:tc>
          <w:tcPr>
            <w:tcW w:w="8222" w:type="dxa"/>
          </w:tcPr>
          <w:p w14:paraId="1060B759" w14:textId="77777777" w:rsidR="0060361C" w:rsidRPr="008E7494" w:rsidRDefault="0060361C" w:rsidP="0060361C">
            <w:pPr>
              <w:pStyle w:val="ListParagraph"/>
              <w:numPr>
                <w:ilvl w:val="0"/>
                <w:numId w:val="10"/>
              </w:numPr>
              <w:spacing w:before="120" w:after="120" w:line="260" w:lineRule="exact"/>
              <w:ind w:left="714" w:hanging="357"/>
              <w:rPr>
                <w:rFonts w:ascii="Arial" w:hAnsi="Arial" w:cs="Arial"/>
                <w:sz w:val="20"/>
              </w:rPr>
            </w:pPr>
            <w:r w:rsidRPr="003A7395">
              <w:rPr>
                <w:rFonts w:ascii="Arial" w:hAnsi="Arial" w:cs="Arial"/>
                <w:sz w:val="20"/>
              </w:rPr>
              <w:t xml:space="preserve">Of the 14.4 FTEs, 12 </w:t>
            </w:r>
            <w:r>
              <w:rPr>
                <w:rFonts w:ascii="Arial" w:hAnsi="Arial" w:cs="Arial"/>
                <w:sz w:val="20"/>
              </w:rPr>
              <w:t xml:space="preserve">(11.5 FTE) </w:t>
            </w:r>
            <w:r w:rsidRPr="003A7395">
              <w:rPr>
                <w:rFonts w:ascii="Arial" w:hAnsi="Arial" w:cs="Arial"/>
                <w:sz w:val="20"/>
              </w:rPr>
              <w:t xml:space="preserve">are permanent staff, 2 are temporary staff and 1 </w:t>
            </w:r>
            <w:r>
              <w:rPr>
                <w:rFonts w:ascii="Arial" w:hAnsi="Arial" w:cs="Arial"/>
                <w:sz w:val="20"/>
              </w:rPr>
              <w:t xml:space="preserve">(0.9 FTE) </w:t>
            </w:r>
            <w:r w:rsidRPr="003A7395">
              <w:rPr>
                <w:rFonts w:ascii="Arial" w:hAnsi="Arial" w:cs="Arial"/>
                <w:sz w:val="20"/>
              </w:rPr>
              <w:t>is on a set contract term (FRC Commissioner’s tenure is set by the Governor in Council)</w:t>
            </w:r>
          </w:p>
        </w:tc>
      </w:tr>
      <w:tr w:rsidR="0060361C" w:rsidRPr="008E7494" w14:paraId="2EFE57B0" w14:textId="77777777" w:rsidTr="00066DE4">
        <w:tc>
          <w:tcPr>
            <w:tcW w:w="8222" w:type="dxa"/>
          </w:tcPr>
          <w:p w14:paraId="1E57F27D" w14:textId="77777777" w:rsidR="0060361C" w:rsidRPr="008E7494" w:rsidRDefault="0060361C" w:rsidP="0060361C">
            <w:pPr>
              <w:pStyle w:val="ListParagraph"/>
              <w:numPr>
                <w:ilvl w:val="0"/>
                <w:numId w:val="10"/>
              </w:numPr>
              <w:spacing w:before="120" w:after="120" w:line="260" w:lineRule="exact"/>
              <w:ind w:left="714" w:hanging="357"/>
              <w:rPr>
                <w:rFonts w:ascii="Arial" w:hAnsi="Arial" w:cs="Arial"/>
                <w:sz w:val="20"/>
              </w:rPr>
            </w:pPr>
            <w:r w:rsidRPr="00124FF0">
              <w:rPr>
                <w:rFonts w:ascii="Arial" w:hAnsi="Arial" w:cs="Arial"/>
                <w:sz w:val="20"/>
              </w:rPr>
              <w:t>13.</w:t>
            </w:r>
            <w:r>
              <w:rPr>
                <w:rFonts w:ascii="Arial" w:hAnsi="Arial" w:cs="Arial"/>
                <w:sz w:val="20"/>
              </w:rPr>
              <w:t>9</w:t>
            </w:r>
            <w:r w:rsidRPr="008E7494">
              <w:rPr>
                <w:rFonts w:ascii="Arial" w:hAnsi="Arial" w:cs="Arial"/>
                <w:sz w:val="20"/>
              </w:rPr>
              <w:t xml:space="preserve"> percent of our workforce is Aboriginal or Torres Strait Islander</w:t>
            </w:r>
          </w:p>
        </w:tc>
      </w:tr>
      <w:tr w:rsidR="0060361C" w:rsidRPr="008E7494" w14:paraId="5F1E4FDA" w14:textId="77777777" w:rsidTr="00066DE4">
        <w:tc>
          <w:tcPr>
            <w:tcW w:w="8222" w:type="dxa"/>
          </w:tcPr>
          <w:p w14:paraId="6E76D034" w14:textId="77777777" w:rsidR="0060361C" w:rsidRPr="008E7494" w:rsidRDefault="0060361C" w:rsidP="0060361C">
            <w:pPr>
              <w:pStyle w:val="ListParagraph"/>
              <w:numPr>
                <w:ilvl w:val="0"/>
                <w:numId w:val="10"/>
              </w:numPr>
              <w:spacing w:before="120" w:after="120" w:line="260" w:lineRule="exact"/>
              <w:ind w:left="714" w:hanging="357"/>
              <w:rPr>
                <w:rFonts w:ascii="Arial" w:hAnsi="Arial" w:cs="Arial"/>
                <w:sz w:val="20"/>
              </w:rPr>
            </w:pPr>
            <w:r w:rsidRPr="00124FF0">
              <w:rPr>
                <w:rFonts w:ascii="Arial" w:hAnsi="Arial" w:cs="Arial"/>
                <w:sz w:val="20"/>
              </w:rPr>
              <w:t>66</w:t>
            </w:r>
            <w:r>
              <w:rPr>
                <w:rFonts w:ascii="Arial" w:hAnsi="Arial" w:cs="Arial"/>
                <w:sz w:val="20"/>
              </w:rPr>
              <w:t>.0</w:t>
            </w:r>
            <w:r w:rsidRPr="008E7494">
              <w:rPr>
                <w:rFonts w:ascii="Arial" w:hAnsi="Arial" w:cs="Arial"/>
                <w:sz w:val="20"/>
              </w:rPr>
              <w:t xml:space="preserve"> percent of our workforce are women</w:t>
            </w:r>
          </w:p>
        </w:tc>
      </w:tr>
      <w:tr w:rsidR="0060361C" w:rsidRPr="008E7494" w14:paraId="3F939EFD" w14:textId="77777777" w:rsidTr="00066DE4">
        <w:tc>
          <w:tcPr>
            <w:tcW w:w="8222" w:type="dxa"/>
          </w:tcPr>
          <w:p w14:paraId="28EA4CDE" w14:textId="77777777" w:rsidR="0060361C" w:rsidRPr="008E7494" w:rsidRDefault="0060361C" w:rsidP="0060361C">
            <w:pPr>
              <w:pStyle w:val="ListParagraph"/>
              <w:numPr>
                <w:ilvl w:val="0"/>
                <w:numId w:val="10"/>
              </w:numPr>
              <w:spacing w:before="120" w:after="120" w:line="260" w:lineRule="exact"/>
              <w:ind w:left="714" w:hanging="357"/>
              <w:rPr>
                <w:rFonts w:ascii="Arial" w:hAnsi="Arial" w:cs="Arial"/>
                <w:sz w:val="20"/>
              </w:rPr>
            </w:pPr>
            <w:r w:rsidRPr="00D7661C">
              <w:rPr>
                <w:rFonts w:ascii="Arial" w:hAnsi="Arial" w:cs="Arial"/>
                <w:sz w:val="20"/>
              </w:rPr>
              <w:t>13.</w:t>
            </w:r>
            <w:r>
              <w:rPr>
                <w:rFonts w:ascii="Arial" w:hAnsi="Arial" w:cs="Arial"/>
                <w:sz w:val="20"/>
              </w:rPr>
              <w:t>9</w:t>
            </w:r>
            <w:r w:rsidRPr="008E7494">
              <w:rPr>
                <w:rFonts w:ascii="Arial" w:hAnsi="Arial" w:cs="Arial"/>
                <w:sz w:val="20"/>
              </w:rPr>
              <w:t xml:space="preserve"> percent of our workforce reside in remote communities</w:t>
            </w:r>
          </w:p>
        </w:tc>
      </w:tr>
    </w:tbl>
    <w:p w14:paraId="1D472E8C" w14:textId="77777777" w:rsidR="0060361C" w:rsidRPr="008E7494" w:rsidRDefault="0060361C" w:rsidP="0060361C"/>
    <w:p w14:paraId="4ED17425" w14:textId="77777777" w:rsidR="0060361C" w:rsidRPr="008E7494" w:rsidRDefault="0060361C" w:rsidP="0060361C">
      <w:r w:rsidRPr="008E7494">
        <w:t xml:space="preserve">Since the establishment of the Commission employee and job classification levels have altered from time to time </w:t>
      </w:r>
      <w:proofErr w:type="gramStart"/>
      <w:r w:rsidRPr="008E7494">
        <w:t>as a result of</w:t>
      </w:r>
      <w:proofErr w:type="gramEnd"/>
      <w:r w:rsidRPr="008E7494">
        <w:t xml:space="preserve"> operational reviews. During this financial year the Commission has experienced a permanent separation rate of </w:t>
      </w:r>
      <w:r>
        <w:t>eight</w:t>
      </w:r>
      <w:r w:rsidRPr="008E7494">
        <w:t xml:space="preserve"> percent.</w:t>
      </w:r>
    </w:p>
    <w:p w14:paraId="54618DA0" w14:textId="77777777" w:rsidR="0060361C" w:rsidRPr="008E7494" w:rsidRDefault="0060361C" w:rsidP="0060361C">
      <w:r w:rsidRPr="008E7494">
        <w:lastRenderedPageBreak/>
        <w:t xml:space="preserve">The Commission promotes policies and activities to support a healthy work-life balance. Flexible work arrangements are actively </w:t>
      </w:r>
      <w:proofErr w:type="gramStart"/>
      <w:r w:rsidRPr="008E7494">
        <w:t>accessed</w:t>
      </w:r>
      <w:proofErr w:type="gramEnd"/>
      <w:r w:rsidRPr="008E7494">
        <w:t xml:space="preserve"> and employees are provided the opportunity to work from home where appropriate. Part-time or job share work opportunities exist, and hours of work arrangements including the opportunity for purchased leave are available. These flexible arrangements are also offered </w:t>
      </w:r>
      <w:proofErr w:type="gramStart"/>
      <w:r w:rsidRPr="008E7494">
        <w:t>in order to</w:t>
      </w:r>
      <w:proofErr w:type="gramEnd"/>
      <w:r w:rsidRPr="008E7494">
        <w:t xml:space="preserve"> assist in balancing work and carer roles where required. Employees are also encouraged to use their annual leave.</w:t>
      </w:r>
    </w:p>
    <w:p w14:paraId="3D831954" w14:textId="77777777" w:rsidR="0060361C" w:rsidRPr="008E7494" w:rsidRDefault="0060361C" w:rsidP="0060361C">
      <w:r w:rsidRPr="008E7494">
        <w:t>To prevent the onset of desk-related neck, back, shoulder, elbow and wrist injuries, and to manage symptoms which may already exist, the Commission offers employees access to ergonomic specialist services.</w:t>
      </w:r>
    </w:p>
    <w:p w14:paraId="696F7C10" w14:textId="77777777" w:rsidR="0060361C" w:rsidRPr="008E7494" w:rsidRDefault="0060361C" w:rsidP="0060361C">
      <w:r w:rsidRPr="008E7494">
        <w:t>There were no formal complaints of bullying or harassment during the financial year. Quarterly reports on complaints and investigations are provided to the Public Service Commission</w:t>
      </w:r>
      <w:r w:rsidR="000E7D7C">
        <w:t xml:space="preserve"> (PSC)</w:t>
      </w:r>
      <w:r w:rsidRPr="008E7494">
        <w:t xml:space="preserve"> as part of the whole-of-government reporting requirements.</w:t>
      </w:r>
    </w:p>
    <w:p w14:paraId="74F755C4" w14:textId="77777777" w:rsidR="0060361C" w:rsidRPr="00EA54DF" w:rsidRDefault="0060361C" w:rsidP="00EA54DF">
      <w:pPr>
        <w:pStyle w:val="Heading3"/>
      </w:pPr>
      <w:r w:rsidRPr="00EA54DF">
        <w:t>Recruitment, selection and retention of employees</w:t>
      </w:r>
    </w:p>
    <w:p w14:paraId="4FA225E1" w14:textId="42F50ECA" w:rsidR="0060361C" w:rsidRPr="008E7494" w:rsidRDefault="0060361C" w:rsidP="0060361C">
      <w:r w:rsidRPr="008E7494">
        <w:t xml:space="preserve">The Commission conducts all recruitment and selection processes in accordance with the requirements of the </w:t>
      </w:r>
      <w:r w:rsidRPr="008E7494">
        <w:rPr>
          <w:i/>
        </w:rPr>
        <w:t xml:space="preserve">Public Service Act 2008 </w:t>
      </w:r>
      <w:r w:rsidRPr="008E7494">
        <w:t xml:space="preserve">and relevant </w:t>
      </w:r>
      <w:r w:rsidR="0020270B">
        <w:t>PSC</w:t>
      </w:r>
      <w:r w:rsidRPr="008E7494">
        <w:t xml:space="preserve"> policies and directives. New employees are welcomed through the Commission’s online induction process which provides information </w:t>
      </w:r>
      <w:proofErr w:type="gramStart"/>
      <w:r w:rsidRPr="008E7494">
        <w:t>in regard to</w:t>
      </w:r>
      <w:proofErr w:type="gramEnd"/>
      <w:r w:rsidRPr="008E7494">
        <w:t xml:space="preserve"> the Commission and links to all human resource policies. Each is mentored by a staff member to assist them to become familiar with the Commission and what is expected of them in their role.</w:t>
      </w:r>
    </w:p>
    <w:p w14:paraId="1A941550" w14:textId="689FA078" w:rsidR="0060361C" w:rsidRPr="008E7494" w:rsidRDefault="0060361C" w:rsidP="0060361C">
      <w:r w:rsidRPr="008E7494">
        <w:t xml:space="preserve">In 2014 the </w:t>
      </w:r>
      <w:r w:rsidR="00E378D3" w:rsidRPr="00E378D3">
        <w:t>FRC Act</w:t>
      </w:r>
      <w:r w:rsidRPr="008E7494">
        <w:t xml:space="preserve"> was amended to remove the sunset clause which provided that the FRC Act would cease on a specified date. </w:t>
      </w:r>
      <w:proofErr w:type="gramStart"/>
      <w:r w:rsidRPr="008E7494">
        <w:t>Subsequent to</w:t>
      </w:r>
      <w:proofErr w:type="gramEnd"/>
      <w:r w:rsidRPr="008E7494">
        <w:t xml:space="preserve"> the removal of the sunset clause, and to comply with the provisions of s149 of the </w:t>
      </w:r>
      <w:r w:rsidRPr="008E7494">
        <w:rPr>
          <w:i/>
        </w:rPr>
        <w:t>Public Service Act 2008</w:t>
      </w:r>
      <w:r w:rsidRPr="008E7494">
        <w:t xml:space="preserve"> and Queensland </w:t>
      </w:r>
      <w:r w:rsidR="006377D5">
        <w:t>PSC</w:t>
      </w:r>
      <w:r w:rsidRPr="008E7494">
        <w:t xml:space="preserve"> Directives, employees occupying ongoing and funded positions have been transitioned to tenure after having cleared the employees requiring placement pool. </w:t>
      </w:r>
    </w:p>
    <w:p w14:paraId="3E02591B" w14:textId="77777777" w:rsidR="0060361C" w:rsidRPr="008E7494" w:rsidRDefault="0060361C" w:rsidP="0060361C">
      <w:r w:rsidRPr="008E7494">
        <w:t>During the period 1 July 201</w:t>
      </w:r>
      <w:r>
        <w:t>8</w:t>
      </w:r>
      <w:r w:rsidRPr="008E7494">
        <w:t xml:space="preserve"> to 30 June 201</w:t>
      </w:r>
      <w:r>
        <w:t>9</w:t>
      </w:r>
      <w:r w:rsidRPr="008E7494">
        <w:t xml:space="preserve"> </w:t>
      </w:r>
      <w:r w:rsidRPr="0062771A">
        <w:t>no</w:t>
      </w:r>
      <w:r w:rsidRPr="008E7494">
        <w:t xml:space="preserve"> redundancy, early retirement or retrenchment packages were paid.</w:t>
      </w:r>
    </w:p>
    <w:p w14:paraId="7B213FBD" w14:textId="77777777" w:rsidR="0060361C" w:rsidRPr="00EA54DF" w:rsidRDefault="0060361C" w:rsidP="00EA54DF">
      <w:pPr>
        <w:pStyle w:val="Heading3"/>
      </w:pPr>
      <w:r w:rsidRPr="00EA54DF">
        <w:t>Professional development</w:t>
      </w:r>
    </w:p>
    <w:p w14:paraId="45973B2F" w14:textId="77777777" w:rsidR="0060361C" w:rsidRPr="008E7494" w:rsidRDefault="0060361C" w:rsidP="0060361C">
      <w:pPr>
        <w:tabs>
          <w:tab w:val="num" w:pos="720"/>
        </w:tabs>
      </w:pPr>
      <w:r w:rsidRPr="008E7494">
        <w:t xml:space="preserve">The Commission is committed to providing professional development to the Local Commissioners on a continual basis to ensure it actively works to restore local authority. Part of this professional development involves enhancing and expanding upon relationships with other Indigenous organisations, service providers, government departments and agencies. The Local Commissioners attended their annual development week in Cairns commencing on </w:t>
      </w:r>
      <w:r>
        <w:t>11</w:t>
      </w:r>
      <w:r w:rsidRPr="008E7494">
        <w:t xml:space="preserve"> </w:t>
      </w:r>
      <w:r>
        <w:t>June</w:t>
      </w:r>
      <w:r w:rsidRPr="008E7494">
        <w:t xml:space="preserve"> 201</w:t>
      </w:r>
      <w:r>
        <w:t>9</w:t>
      </w:r>
      <w:r w:rsidRPr="008E7494">
        <w:t xml:space="preserve"> </w:t>
      </w:r>
      <w:r w:rsidRPr="00BC5660">
        <w:t>during which they met with senior staff from several organisations including DATSIP, DPMC and CYP</w:t>
      </w:r>
      <w:r w:rsidR="00C63832">
        <w:t xml:space="preserve"> representing the Institute</w:t>
      </w:r>
      <w:r w:rsidRPr="00BC5660">
        <w:t>.</w:t>
      </w:r>
    </w:p>
    <w:p w14:paraId="55C647EC" w14:textId="01987043" w:rsidR="0060361C" w:rsidRPr="008E7494" w:rsidRDefault="0060361C" w:rsidP="0060361C">
      <w:r w:rsidRPr="008E7494">
        <w:t xml:space="preserve">Participation in the week-long conference allowed the Local Commissioners to tackle common issues, review strategies and source </w:t>
      </w:r>
      <w:r w:rsidRPr="00100A80">
        <w:t>solutions. A comprehensive summary of the development week can be found in this annual report entitled Local Commissioner Development Week.</w:t>
      </w:r>
    </w:p>
    <w:p w14:paraId="32C21E5F" w14:textId="77777777" w:rsidR="0060361C" w:rsidRPr="008E7494" w:rsidRDefault="0060361C" w:rsidP="0060361C">
      <w:r w:rsidRPr="008E7494">
        <w:t xml:space="preserve">The broader focus of the Commission’s professional development program for employees is on skills development, career enhancement, and supporting a culture of ongoing learning through participation in internal workshops, on the job training and courses conducted by specialist external training providers. All Commission employees have been registered for the online </w:t>
      </w:r>
      <w:proofErr w:type="spellStart"/>
      <w:r w:rsidRPr="008E7494">
        <w:t>iLearning</w:t>
      </w:r>
      <w:proofErr w:type="spellEnd"/>
      <w:r w:rsidRPr="008E7494">
        <w:t xml:space="preserve"> courses provided by DCSYW. This online learning service provides training in Ethical Decision-Making, executive development online courses including webinars for team leaders, supervisors and managers on a range of topics, a mentoring program for senior officers and managers, finance and procurement fundamentals and a </w:t>
      </w:r>
      <w:proofErr w:type="spellStart"/>
      <w:r w:rsidRPr="008E7494">
        <w:t>Lead.Perform</w:t>
      </w:r>
      <w:proofErr w:type="spellEnd"/>
      <w:r w:rsidRPr="008E7494">
        <w:t xml:space="preserve"> Hub. </w:t>
      </w:r>
      <w:r w:rsidRPr="008E7494">
        <w:rPr>
          <w:lang w:val="en"/>
        </w:rPr>
        <w:t xml:space="preserve">The </w:t>
      </w:r>
      <w:proofErr w:type="spellStart"/>
      <w:r w:rsidRPr="008E7494">
        <w:rPr>
          <w:lang w:val="en"/>
        </w:rPr>
        <w:t>Lead.Perform</w:t>
      </w:r>
      <w:proofErr w:type="spellEnd"/>
      <w:r w:rsidRPr="008E7494">
        <w:rPr>
          <w:lang w:val="en"/>
        </w:rPr>
        <w:t xml:space="preserve"> </w:t>
      </w:r>
      <w:r w:rsidRPr="008E7494">
        <w:rPr>
          <w:lang w:val="en"/>
        </w:rPr>
        <w:lastRenderedPageBreak/>
        <w:t xml:space="preserve">Hub provides leadership and performance development information, resources and learning opportunities for emerging leaders, operational leaders and senior leaders. The hub is designed to enable collaboration and learning where employees can access learning activities, videos and program information to develop leadership and supervision practice, knowledge and skills. </w:t>
      </w:r>
      <w:r>
        <w:rPr>
          <w:lang w:val="en"/>
        </w:rPr>
        <w:t xml:space="preserve">Commission employees complete the following online courses with </w:t>
      </w:r>
      <w:proofErr w:type="spellStart"/>
      <w:r>
        <w:rPr>
          <w:lang w:val="en"/>
        </w:rPr>
        <w:t>iLearn</w:t>
      </w:r>
      <w:proofErr w:type="spellEnd"/>
      <w:r>
        <w:rPr>
          <w:lang w:val="en"/>
        </w:rPr>
        <w:t xml:space="preserve"> on an annual basis: Ethical Decision-Making; </w:t>
      </w:r>
      <w:proofErr w:type="spellStart"/>
      <w:r>
        <w:rPr>
          <w:lang w:val="en"/>
        </w:rPr>
        <w:t>Recognise</w:t>
      </w:r>
      <w:proofErr w:type="spellEnd"/>
      <w:r>
        <w:rPr>
          <w:lang w:val="en"/>
        </w:rPr>
        <w:t>, Respond, Refer – Domestic and Family Violence; Fraud and Corruption Control; and Information Privacy</w:t>
      </w:r>
      <w:r w:rsidRPr="008E7494">
        <w:rPr>
          <w:lang w:val="en"/>
        </w:rPr>
        <w:t>.</w:t>
      </w:r>
      <w:r w:rsidRPr="008E7494" w:rsidDel="007328FA">
        <w:t xml:space="preserve"> </w:t>
      </w:r>
      <w:r w:rsidRPr="008E7494">
        <w:t>These are but a few of the training opportunities offered.</w:t>
      </w:r>
    </w:p>
    <w:p w14:paraId="5C140318" w14:textId="77777777" w:rsidR="0060361C" w:rsidRPr="008E7494" w:rsidRDefault="0060361C" w:rsidP="0060361C">
      <w:r w:rsidRPr="008E7494">
        <w:t xml:space="preserve">To facilitate employees’ development, each employee together with their manager signs a Performance and Development Agreement. The agreement sets out identified learning activities, supports the development of competencies, professional skills and personal attributes, and is designed to identify and record knowledge and skills gaps together with learning objectives. The plans link in with the Commission’s strategic objectives and are reviewed on a </w:t>
      </w:r>
      <w:proofErr w:type="gramStart"/>
      <w:r w:rsidRPr="008E7494">
        <w:t>six monthly</w:t>
      </w:r>
      <w:proofErr w:type="gramEnd"/>
      <w:r w:rsidRPr="008E7494">
        <w:t xml:space="preserve"> basis. During 201</w:t>
      </w:r>
      <w:r>
        <w:t>8</w:t>
      </w:r>
      <w:r w:rsidRPr="008E7494">
        <w:t>-1</w:t>
      </w:r>
      <w:r>
        <w:t>9</w:t>
      </w:r>
      <w:r w:rsidRPr="008E7494">
        <w:t xml:space="preserve"> employee professional development, training, and workshops cost $</w:t>
      </w:r>
      <w:r>
        <w:t>14,784</w:t>
      </w:r>
      <w:r w:rsidRPr="008E7494">
        <w:rPr>
          <w:bCs/>
        </w:rPr>
        <w:t xml:space="preserve"> </w:t>
      </w:r>
      <w:r w:rsidRPr="008E7494">
        <w:t>excluding travel costs. This investment provides a platform for the Commission to foster the development of new skills and to improve business processes within the Commission.</w:t>
      </w:r>
    </w:p>
    <w:p w14:paraId="06C78EBB" w14:textId="77777777" w:rsidR="0060361C" w:rsidRPr="008E7494" w:rsidRDefault="0060361C" w:rsidP="0060361C">
      <w:r w:rsidRPr="008E7494">
        <w:t>During 201</w:t>
      </w:r>
      <w:r>
        <w:t>8</w:t>
      </w:r>
      <w:r w:rsidRPr="008E7494">
        <w:t>-1</w:t>
      </w:r>
      <w:r>
        <w:t>9</w:t>
      </w:r>
      <w:r w:rsidRPr="008E7494">
        <w:t xml:space="preserve"> the Commission organised </w:t>
      </w:r>
      <w:proofErr w:type="gramStart"/>
      <w:r w:rsidRPr="008E7494">
        <w:t>a number of</w:t>
      </w:r>
      <w:proofErr w:type="gramEnd"/>
      <w:r w:rsidRPr="008E7494">
        <w:t xml:space="preserve"> training programs and workshops to monitor, evaluate and continuously improve operations, internal administration and service delivery of the Commission. Training programs covered the key areas of:</w:t>
      </w:r>
    </w:p>
    <w:p w14:paraId="30BB5BB3" w14:textId="77777777" w:rsidR="0060361C" w:rsidRDefault="0060361C" w:rsidP="0060361C">
      <w:pPr>
        <w:pStyle w:val="ListBullet2"/>
      </w:pPr>
      <w:r w:rsidRPr="005F52DF">
        <w:t>Good Decisions</w:t>
      </w:r>
    </w:p>
    <w:p w14:paraId="1EB9AB9C" w14:textId="77777777" w:rsidR="0060361C" w:rsidRDefault="0060361C" w:rsidP="0060361C">
      <w:pPr>
        <w:pStyle w:val="ListBullet2"/>
      </w:pPr>
      <w:r>
        <w:t>Public Interest Disclosure training modules 1 to 3</w:t>
      </w:r>
    </w:p>
    <w:p w14:paraId="53F94162" w14:textId="77777777" w:rsidR="0060361C" w:rsidRDefault="0060361C" w:rsidP="0060361C">
      <w:pPr>
        <w:pStyle w:val="ListBullet2"/>
      </w:pPr>
      <w:r>
        <w:t>Project Management Fundamentals</w:t>
      </w:r>
    </w:p>
    <w:p w14:paraId="1C4E31E8" w14:textId="77777777" w:rsidR="0060361C" w:rsidRDefault="0060361C" w:rsidP="0060361C">
      <w:pPr>
        <w:pStyle w:val="ListBullet2"/>
      </w:pPr>
      <w:r>
        <w:t>Risk Management</w:t>
      </w:r>
    </w:p>
    <w:p w14:paraId="7EDD5AEF" w14:textId="77777777" w:rsidR="0060361C" w:rsidRDefault="0060361C" w:rsidP="0060361C">
      <w:pPr>
        <w:pStyle w:val="ListBullet2"/>
      </w:pPr>
      <w:r>
        <w:t>Microsoft Certification</w:t>
      </w:r>
    </w:p>
    <w:p w14:paraId="0CF671DF" w14:textId="77777777" w:rsidR="0060361C" w:rsidRDefault="0060361C" w:rsidP="0060361C">
      <w:pPr>
        <w:pStyle w:val="ListBullet2"/>
      </w:pPr>
      <w:r>
        <w:t>ISMS Implementation</w:t>
      </w:r>
    </w:p>
    <w:p w14:paraId="657B32FA" w14:textId="77777777" w:rsidR="0060361C" w:rsidRDefault="0060361C" w:rsidP="0060361C">
      <w:pPr>
        <w:pStyle w:val="ListBullet2"/>
      </w:pPr>
      <w:r>
        <w:t>Microsoft Ignite (Azure)</w:t>
      </w:r>
    </w:p>
    <w:p w14:paraId="425F9F26" w14:textId="77777777" w:rsidR="0060361C" w:rsidRDefault="0060361C" w:rsidP="0060361C">
      <w:pPr>
        <w:pStyle w:val="ListBullet2"/>
      </w:pPr>
      <w:r>
        <w:t>Aboriginal and Torres Strait Islander Mental Health First Aid</w:t>
      </w:r>
    </w:p>
    <w:p w14:paraId="69695815" w14:textId="77777777" w:rsidR="0060361C" w:rsidRDefault="0060361C" w:rsidP="0060361C">
      <w:pPr>
        <w:pStyle w:val="ListBullet2"/>
      </w:pPr>
      <w:r>
        <w:t>Applied Suicide Intervention Skills</w:t>
      </w:r>
    </w:p>
    <w:p w14:paraId="09651152" w14:textId="77777777" w:rsidR="0060361C" w:rsidRDefault="0060361C" w:rsidP="0060361C">
      <w:pPr>
        <w:pStyle w:val="ListBullet2"/>
      </w:pPr>
      <w:r>
        <w:t>Creating a Safe and Respectful Workplace</w:t>
      </w:r>
    </w:p>
    <w:p w14:paraId="05563BA7" w14:textId="77777777" w:rsidR="0060361C" w:rsidRPr="005F52DF" w:rsidRDefault="0060361C" w:rsidP="0060361C">
      <w:pPr>
        <w:pStyle w:val="ListBullet2"/>
      </w:pPr>
      <w:r>
        <w:t>Public Sector Service Delivery and Communication</w:t>
      </w:r>
    </w:p>
    <w:p w14:paraId="583B265F" w14:textId="77777777" w:rsidR="0060361C" w:rsidRPr="005F52DF" w:rsidRDefault="0060361C" w:rsidP="0060361C">
      <w:pPr>
        <w:pStyle w:val="ListBullet2"/>
      </w:pPr>
      <w:r w:rsidRPr="005F52DF">
        <w:t xml:space="preserve">National Indigenous Social and Emotional Wellbeing </w:t>
      </w:r>
    </w:p>
    <w:p w14:paraId="703BE6E5" w14:textId="77777777" w:rsidR="0060361C" w:rsidRDefault="0060361C" w:rsidP="0060361C">
      <w:pPr>
        <w:pStyle w:val="ListBullet2"/>
      </w:pPr>
      <w:r>
        <w:t>Accounting and Financial Reporting</w:t>
      </w:r>
    </w:p>
    <w:p w14:paraId="4515DDF8" w14:textId="77777777" w:rsidR="0060361C" w:rsidRPr="00213556" w:rsidRDefault="0060361C" w:rsidP="0060361C">
      <w:pPr>
        <w:pStyle w:val="ListBullet2"/>
      </w:pPr>
      <w:r w:rsidRPr="00213556">
        <w:t xml:space="preserve">taxation and payroll </w:t>
      </w:r>
    </w:p>
    <w:p w14:paraId="72F159D1" w14:textId="77777777" w:rsidR="0060361C" w:rsidRPr="00444A91" w:rsidRDefault="0060361C" w:rsidP="0060361C">
      <w:pPr>
        <w:pStyle w:val="ListBullet2"/>
      </w:pPr>
      <w:r w:rsidRPr="00444A91">
        <w:t>fire warden and trial evacuation</w:t>
      </w:r>
    </w:p>
    <w:p w14:paraId="300FA841" w14:textId="77777777" w:rsidR="0060361C" w:rsidRPr="00444A91" w:rsidRDefault="0060361C" w:rsidP="0060361C">
      <w:pPr>
        <w:pStyle w:val="ListBullet2"/>
      </w:pPr>
      <w:r w:rsidRPr="00444A91">
        <w:t>first-aid and cardiopulmonary resuscitation including defibrillation</w:t>
      </w:r>
    </w:p>
    <w:p w14:paraId="63B68CDE" w14:textId="77777777" w:rsidR="0060361C" w:rsidRPr="00444A91" w:rsidRDefault="0060361C" w:rsidP="0060361C">
      <w:pPr>
        <w:pStyle w:val="ListBullet2"/>
      </w:pPr>
      <w:r w:rsidRPr="00444A91">
        <w:t>fraud and corruption in the workplace</w:t>
      </w:r>
    </w:p>
    <w:p w14:paraId="6D4716E2" w14:textId="77777777" w:rsidR="0060361C" w:rsidRPr="00444A91" w:rsidRDefault="0060361C" w:rsidP="0060361C">
      <w:pPr>
        <w:pStyle w:val="ListBullet2"/>
      </w:pPr>
      <w:r w:rsidRPr="00444A91">
        <w:t>Queensland Public Service Code of Conduct and Ethical Decision-Making.</w:t>
      </w:r>
    </w:p>
    <w:p w14:paraId="5B45CE11" w14:textId="77777777" w:rsidR="0060361C" w:rsidRPr="008E7494" w:rsidRDefault="0060361C" w:rsidP="0060361C">
      <w:r w:rsidRPr="008E7494">
        <w:lastRenderedPageBreak/>
        <w:t>The Commission is also committed to providing support to employees who undertake further education and to providing flexible work practices to enable employees to study whilst continuing to meet operational and client needs.</w:t>
      </w:r>
    </w:p>
    <w:p w14:paraId="1FFF46A8" w14:textId="68E4A3AA" w:rsidR="0060361C" w:rsidRPr="008E7494" w:rsidRDefault="0060361C" w:rsidP="0060361C">
      <w:r w:rsidRPr="008E7494">
        <w:t>Under the Commission’s Study and Research Assistance Scheme financial assistance and leave arrangements are administered subject to Directive 9/1</w:t>
      </w:r>
      <w:r w:rsidR="00996F93">
        <w:t>8</w:t>
      </w:r>
      <w:r w:rsidRPr="008E7494">
        <w:t xml:space="preserve"> </w:t>
      </w:r>
      <w:r w:rsidR="00996F93">
        <w:t>Study and Examination</w:t>
      </w:r>
      <w:r w:rsidR="00996F93" w:rsidRPr="008E7494">
        <w:t xml:space="preserve"> </w:t>
      </w:r>
      <w:r w:rsidRPr="008E7494">
        <w:t>Leave in an equitable manner, ensuring effective us</w:t>
      </w:r>
      <w:r>
        <w:t>e</w:t>
      </w:r>
      <w:r w:rsidRPr="008E7494">
        <w:t xml:space="preserve"> of learning and organisational development funds, and taking into consideration available resources.</w:t>
      </w:r>
      <w:r w:rsidRPr="008E7494">
        <w:rPr>
          <w:rFonts w:cs="Arial"/>
          <w:sz w:val="22"/>
          <w:lang w:eastAsia="en-AU"/>
        </w:rPr>
        <w:t xml:space="preserve"> </w:t>
      </w:r>
      <w:r w:rsidRPr="00721A3E">
        <w:t>During this fiscal year</w:t>
      </w:r>
      <w:r>
        <w:t xml:space="preserve"> there were</w:t>
      </w:r>
      <w:r w:rsidRPr="008E7494">
        <w:t xml:space="preserve"> </w:t>
      </w:r>
      <w:r>
        <w:t>two</w:t>
      </w:r>
      <w:r w:rsidRPr="008E7494">
        <w:t xml:space="preserve"> employees enrolled </w:t>
      </w:r>
      <w:r>
        <w:t>with academic institutions</w:t>
      </w:r>
      <w:r w:rsidRPr="008E7494">
        <w:t xml:space="preserve"> to study the following:</w:t>
      </w:r>
    </w:p>
    <w:p w14:paraId="1F4664C3" w14:textId="77777777" w:rsidR="0060361C" w:rsidRPr="008E7494" w:rsidRDefault="0060361C" w:rsidP="0060361C">
      <w:pPr>
        <w:pStyle w:val="ListBullet2"/>
      </w:pPr>
      <w:r w:rsidRPr="008E7494">
        <w:t>Bachelor of Social Work</w:t>
      </w:r>
    </w:p>
    <w:p w14:paraId="6A945C7D" w14:textId="77777777" w:rsidR="0060361C" w:rsidRPr="008E7494" w:rsidRDefault="0060361C" w:rsidP="0060361C">
      <w:pPr>
        <w:pStyle w:val="ListBullet2"/>
      </w:pPr>
      <w:r w:rsidRPr="008E7494">
        <w:t>Certificate IV Leadership and Management</w:t>
      </w:r>
      <w:r>
        <w:t>.</w:t>
      </w:r>
    </w:p>
    <w:p w14:paraId="58AD0478" w14:textId="77777777" w:rsidR="0060361C" w:rsidRPr="008E7494" w:rsidRDefault="0060361C" w:rsidP="0060361C">
      <w:r w:rsidRPr="008E7494">
        <w:t>Through the provision of high quality and targeted professional development the Commission seeks to not only enhance the skills and competencies of its employees and Local Commissioners, but to also provide effective and efficient client service.</w:t>
      </w:r>
    </w:p>
    <w:p w14:paraId="0091605D" w14:textId="77777777" w:rsidR="0060361C" w:rsidRPr="00EA54DF" w:rsidRDefault="0060361C" w:rsidP="00EA54DF">
      <w:pPr>
        <w:pStyle w:val="Heading3"/>
      </w:pPr>
      <w:r w:rsidRPr="00EA54DF">
        <w:t>Information and communication technology</w:t>
      </w:r>
    </w:p>
    <w:p w14:paraId="642A916C" w14:textId="77777777" w:rsidR="0060361C" w:rsidRPr="008E7494" w:rsidRDefault="0060361C" w:rsidP="0060361C">
      <w:r w:rsidRPr="008E7494">
        <w:t xml:space="preserve">Coinciding with the establishment of the Commission in July 2008 a service level agreement was </w:t>
      </w:r>
      <w:proofErr w:type="gramStart"/>
      <w:r w:rsidRPr="008E7494">
        <w:t>entered into</w:t>
      </w:r>
      <w:proofErr w:type="gramEnd"/>
      <w:r w:rsidRPr="008E7494">
        <w:t xml:space="preserve"> with the Corporate Administration Agency (CAA) for information and communication technology services. This agreement ensures that the Commission complies with the </w:t>
      </w:r>
      <w:r w:rsidRPr="008E7494">
        <w:rPr>
          <w:i/>
        </w:rPr>
        <w:t>Information Privacy Act 2009</w:t>
      </w:r>
      <w:r w:rsidRPr="008E7494">
        <w:t>, whilst providing</w:t>
      </w:r>
      <w:r w:rsidRPr="008E7494">
        <w:rPr>
          <w:i/>
        </w:rPr>
        <w:t xml:space="preserve"> </w:t>
      </w:r>
      <w:r w:rsidRPr="008E7494">
        <w:t>a high level of security and support.</w:t>
      </w:r>
    </w:p>
    <w:p w14:paraId="5019BA92" w14:textId="77777777" w:rsidR="0060361C" w:rsidRDefault="0060361C" w:rsidP="0060361C">
      <w:r w:rsidRPr="008E7494">
        <w:t xml:space="preserve">The Commission’s Information and Communications Technology (ICT) system plays a vital role in supporting employees both in the Cairns registry office and regional offices. The Commission, in conjunction with CAA, has policies and network protocols in place to ensure all employees have a clear understanding of their responsibilities regarding ethical information access, transference, usage and management. These systems capture and retain information, preserve the integrity of information </w:t>
      </w:r>
      <w:proofErr w:type="gramStart"/>
      <w:r w:rsidRPr="008E7494">
        <w:t>and also</w:t>
      </w:r>
      <w:proofErr w:type="gramEnd"/>
      <w:r w:rsidRPr="008E7494">
        <w:t xml:space="preserve"> provide a high level of security and confidentiality.</w:t>
      </w:r>
    </w:p>
    <w:p w14:paraId="06174C48" w14:textId="77777777" w:rsidR="0060361C" w:rsidRPr="00D434D4" w:rsidRDefault="0060361C" w:rsidP="0060361C">
      <w:r w:rsidRPr="00D434D4">
        <w:t>The Registry has work</w:t>
      </w:r>
      <w:r>
        <w:t>ed</w:t>
      </w:r>
      <w:r w:rsidRPr="00D434D4">
        <w:t xml:space="preserve"> on </w:t>
      </w:r>
      <w:proofErr w:type="gramStart"/>
      <w:r w:rsidRPr="00D434D4">
        <w:t>a number of</w:t>
      </w:r>
      <w:proofErr w:type="gramEnd"/>
      <w:r w:rsidRPr="00D434D4">
        <w:t xml:space="preserve"> mandatory ICT projects this year which have consumed substantial resource and time allocations. The Commission is only a small organisation, and therefore projects as detailed below affect not only those directly involved, but also at some point in time every staff member in the Registry in one capacity or another.</w:t>
      </w:r>
    </w:p>
    <w:p w14:paraId="46D62672" w14:textId="77777777" w:rsidR="0060361C" w:rsidRPr="00D434D4" w:rsidRDefault="0060361C" w:rsidP="0060361C">
      <w:pPr>
        <w:numPr>
          <w:ilvl w:val="0"/>
          <w:numId w:val="8"/>
        </w:numPr>
      </w:pPr>
      <w:r w:rsidRPr="00D434D4">
        <w:t xml:space="preserve">The Commission’s Virtual Desktop Infrastructure (VDI) Server is the centralised server used to deliver its operations. The Commission was advised by CAA in August 2017 that effective from 30 June 2018, after seven years of service, this server will </w:t>
      </w:r>
      <w:r>
        <w:t xml:space="preserve">have </w:t>
      </w:r>
      <w:r w:rsidRPr="00D434D4">
        <w:t>reach</w:t>
      </w:r>
      <w:r>
        <w:t>ed</w:t>
      </w:r>
      <w:r w:rsidRPr="00D434D4">
        <w:t xml:space="preserve"> the end of its life. </w:t>
      </w:r>
      <w:r>
        <w:t>A project</w:t>
      </w:r>
      <w:r w:rsidRPr="00D434D4">
        <w:t xml:space="preserve"> was initially implemented to extend the server’s warranty for another year</w:t>
      </w:r>
      <w:r>
        <w:t>,</w:t>
      </w:r>
      <w:r w:rsidRPr="00D434D4">
        <w:t xml:space="preserve"> however</w:t>
      </w:r>
      <w:r>
        <w:t>,</w:t>
      </w:r>
      <w:r w:rsidRPr="00D434D4">
        <w:t xml:space="preserve"> in December 2018 after further deliberation and review of the server’s </w:t>
      </w:r>
      <w:r>
        <w:t>ability</w:t>
      </w:r>
      <w:r w:rsidRPr="00D434D4">
        <w:t xml:space="preserve"> to support the Commission, the option to purchase a new server was taken. This project has allowed </w:t>
      </w:r>
      <w:r>
        <w:t>an</w:t>
      </w:r>
      <w:r w:rsidRPr="00D434D4">
        <w:t xml:space="preserve"> upgrade to Windows 10 and Office 2016 which provide</w:t>
      </w:r>
      <w:r>
        <w:t>s</w:t>
      </w:r>
      <w:r w:rsidRPr="00D434D4">
        <w:t xml:space="preserve"> a more efficient, productive and secure system for the Commission. The project was completed in February 2019.</w:t>
      </w:r>
    </w:p>
    <w:p w14:paraId="208DB769" w14:textId="4620D7D3" w:rsidR="0060361C" w:rsidRPr="00D434D4" w:rsidRDefault="0060361C" w:rsidP="0060361C">
      <w:pPr>
        <w:numPr>
          <w:ilvl w:val="0"/>
          <w:numId w:val="8"/>
        </w:numPr>
      </w:pPr>
      <w:r w:rsidRPr="00D434D4">
        <w:t xml:space="preserve">Cyber Security has been one of the main </w:t>
      </w:r>
      <w:r>
        <w:t>concerns</w:t>
      </w:r>
      <w:r w:rsidRPr="00D434D4">
        <w:t xml:space="preserve"> of the Queensland Government Chief Information Office (QGCIO) during the past year. In October 2018, the QGCIO released an Information Security Policy (IS18:2018) for all Queensland Government departments and relevant agencies. The policy seeks to ensure all agencies apply a consistent, risk-based approach to the implementation of information security to maintain confidentiality, integrity and availability, using Information Security Management Systems (ISMS). To comply with the policy the Commission commenced the implementation of an ISMS in October 2018. The Commission’s ICT Administrator </w:t>
      </w:r>
      <w:r w:rsidRPr="00D434D4">
        <w:lastRenderedPageBreak/>
        <w:t xml:space="preserve">and </w:t>
      </w:r>
      <w:r w:rsidR="00ED6CF5">
        <w:t>Executive Officer (</w:t>
      </w:r>
      <w:r w:rsidRPr="00D434D4">
        <w:t>Finance</w:t>
      </w:r>
      <w:r w:rsidR="00ED6CF5">
        <w:t>)</w:t>
      </w:r>
      <w:r w:rsidRPr="00D434D4">
        <w:t xml:space="preserve"> attended an ISMS Implementation Workshop conducted by the QGCIO in Brisbane </w:t>
      </w:r>
      <w:r>
        <w:t>in</w:t>
      </w:r>
      <w:r w:rsidRPr="00D434D4">
        <w:t xml:space="preserve"> November 2018 to assist with the implementation. </w:t>
      </w:r>
      <w:r>
        <w:t>T</w:t>
      </w:r>
      <w:r w:rsidRPr="00D434D4">
        <w:t xml:space="preserve">he ICT Administrator </w:t>
      </w:r>
      <w:r>
        <w:t xml:space="preserve">has also </w:t>
      </w:r>
      <w:r w:rsidRPr="00D434D4">
        <w:t xml:space="preserve">completed online courses relevant to </w:t>
      </w:r>
      <w:r>
        <w:t>c</w:t>
      </w:r>
      <w:r w:rsidRPr="00D434D4">
        <w:t xml:space="preserve">yber </w:t>
      </w:r>
      <w:r>
        <w:t>s</w:t>
      </w:r>
      <w:r w:rsidRPr="00D434D4">
        <w:t xml:space="preserve">ecurity and a </w:t>
      </w:r>
      <w:r>
        <w:t>c</w:t>
      </w:r>
      <w:r w:rsidRPr="00D434D4">
        <w:t xml:space="preserve">yber </w:t>
      </w:r>
      <w:r>
        <w:t>s</w:t>
      </w:r>
      <w:r w:rsidRPr="00D434D4">
        <w:t xml:space="preserve">ecurity session was presented by CAA on 5 June 2019 to all staff. The Commission joins the Queensland Government in taking </w:t>
      </w:r>
      <w:r>
        <w:t>c</w:t>
      </w:r>
      <w:r w:rsidRPr="00D434D4">
        <w:t xml:space="preserve">yber </w:t>
      </w:r>
      <w:r>
        <w:t>s</w:t>
      </w:r>
      <w:r w:rsidRPr="00D434D4">
        <w:t>ecurity seriously and will comply with this mandate.</w:t>
      </w:r>
    </w:p>
    <w:p w14:paraId="77C2025F" w14:textId="4B3C3EB6" w:rsidR="0060361C" w:rsidRPr="008E7494" w:rsidRDefault="0060361C" w:rsidP="0060361C">
      <w:r w:rsidRPr="008E7494">
        <w:t xml:space="preserve">Moving forward, the Commission will continually aim to implement innovative and technology driven solutions to work more efficiently whilst complying with best practice principles. A priority of the Commission is to increase its ability to work in a more </w:t>
      </w:r>
      <w:r w:rsidRPr="00DC6324">
        <w:t xml:space="preserve">sustainable </w:t>
      </w:r>
      <w:r w:rsidRPr="003651A0">
        <w:t>paper free</w:t>
      </w:r>
      <w:r w:rsidRPr="008E7494">
        <w:t xml:space="preserve"> environment.</w:t>
      </w:r>
      <w:r>
        <w:t xml:space="preserve"> The finance section of the Registry successfully transitioned to a paperless environment in January 2019, markedly increasing efficiencies in time management, and streamlining accounts payable and payroll processes.</w:t>
      </w:r>
    </w:p>
    <w:p w14:paraId="68E1DE6F" w14:textId="77777777" w:rsidR="0060361C" w:rsidRPr="008E7494" w:rsidRDefault="0060361C" w:rsidP="0060361C">
      <w:r w:rsidRPr="008E7494">
        <w:t>The Commission can report that no breaches of information security have occurred to date, and no records have been lost due to disaster or other occurrences.</w:t>
      </w:r>
    </w:p>
    <w:p w14:paraId="3C1F4621" w14:textId="06D29577" w:rsidR="0060361C" w:rsidRPr="008E7494" w:rsidRDefault="0060361C" w:rsidP="0060361C">
      <w:r w:rsidRPr="008E7494">
        <w:t xml:space="preserve">The Commission complies with recordkeeping practices in accordance with section 141 of the FRC Act, the </w:t>
      </w:r>
      <w:r w:rsidRPr="008E7494">
        <w:rPr>
          <w:i/>
        </w:rPr>
        <w:t>Public Records Act 2002</w:t>
      </w:r>
      <w:r w:rsidRPr="008E7494">
        <w:t xml:space="preserve"> </w:t>
      </w:r>
      <w:r>
        <w:t xml:space="preserve">and Queensland State Archives’ Records Governance Policy. </w:t>
      </w:r>
      <w:r w:rsidRPr="008E7494">
        <w:t>Approximately 90 percent of Commission records are held in digital format.</w:t>
      </w:r>
    </w:p>
    <w:p w14:paraId="16D238DB" w14:textId="77777777" w:rsidR="0060361C" w:rsidRPr="00EA54DF" w:rsidRDefault="0060361C" w:rsidP="00EA54DF">
      <w:pPr>
        <w:pStyle w:val="Heading3"/>
      </w:pPr>
      <w:r w:rsidRPr="00EA54DF">
        <w:rPr>
          <w:i/>
        </w:rPr>
        <w:t>Public Sector Ethics Act 1994</w:t>
      </w:r>
      <w:r w:rsidRPr="00EA54DF">
        <w:t xml:space="preserve"> and Code of Conduct</w:t>
      </w:r>
    </w:p>
    <w:p w14:paraId="19DBED5F" w14:textId="77777777" w:rsidR="0060361C" w:rsidRPr="008E7494" w:rsidRDefault="0060361C" w:rsidP="0060361C">
      <w:r w:rsidRPr="008E7494">
        <w:t xml:space="preserve">All employees of the Commission, </w:t>
      </w:r>
      <w:proofErr w:type="gramStart"/>
      <w:r w:rsidRPr="008E7494">
        <w:t>with the exception of</w:t>
      </w:r>
      <w:proofErr w:type="gramEnd"/>
      <w:r w:rsidRPr="008E7494">
        <w:t xml:space="preserve"> the Family Responsibilities Commissioner, the Deputy Commissioner and the Local Commissioners are employed under the </w:t>
      </w:r>
      <w:r w:rsidRPr="008E7494">
        <w:rPr>
          <w:i/>
        </w:rPr>
        <w:t>Public Service Act 2008</w:t>
      </w:r>
      <w:r w:rsidRPr="008E7494">
        <w:t>.</w:t>
      </w:r>
    </w:p>
    <w:p w14:paraId="252E17C0" w14:textId="77777777" w:rsidR="0060361C" w:rsidRPr="008E7494" w:rsidRDefault="0060361C" w:rsidP="0060361C">
      <w:r w:rsidRPr="008E7494">
        <w:t xml:space="preserve">Commission employees have completed their annual Code of Conduct training via the DCSYW </w:t>
      </w:r>
      <w:proofErr w:type="spellStart"/>
      <w:r w:rsidRPr="008E7494">
        <w:t>iLearn</w:t>
      </w:r>
      <w:proofErr w:type="spellEnd"/>
      <w:r w:rsidRPr="008E7494">
        <w:t xml:space="preserve"> site. The training incorporates the four ethics principles together with their associated values of integrity and impartiality, promoting the public good, commitment to the system of government and accountability and transparency. The Local Coordinators for the communities of Aurukun, Coen, Doomadgee, Hope Vale and Mossman Gorge have also facilitated training for each Local Commissioner. New employees are provided with Code of Conduct and ethics training upon induction, and refresher training is conducted annually for all Commission employees.</w:t>
      </w:r>
    </w:p>
    <w:p w14:paraId="7451EA1A" w14:textId="541093F6" w:rsidR="0060361C" w:rsidRPr="008E7494" w:rsidRDefault="0060361C" w:rsidP="0060361C">
      <w:r w:rsidRPr="008E7494">
        <w:t>To f</w:t>
      </w:r>
      <w:r w:rsidRPr="003651A0">
        <w:t>urther assist Commission employees with ethical decision-making and in understanding the Code of Conduct, the Commission has a supplementary policy document titled Workplace Policy</w:t>
      </w:r>
      <w:r w:rsidRPr="008E7494">
        <w:t xml:space="preserve">. This policy presents a broad framework for ethical behaviour, supports the Code and is consistent with the requirements of the </w:t>
      </w:r>
      <w:r w:rsidRPr="008E7494">
        <w:rPr>
          <w:i/>
        </w:rPr>
        <w:t>Public Service Act 2008</w:t>
      </w:r>
      <w:r w:rsidRPr="008E7494">
        <w:t xml:space="preserve">, the </w:t>
      </w:r>
      <w:r w:rsidRPr="008E7494">
        <w:rPr>
          <w:i/>
        </w:rPr>
        <w:t>Public Sector Ethics Act 1994</w:t>
      </w:r>
      <w:r w:rsidRPr="008E7494">
        <w:t xml:space="preserve">, the FRC Act and relevant </w:t>
      </w:r>
      <w:r w:rsidR="00ED6CF5">
        <w:t>PSC</w:t>
      </w:r>
      <w:r w:rsidRPr="008E7494">
        <w:t xml:space="preserve"> policies and directives. The Code of Conduct and Workplace Policy are both available in hard copy at all Commission premises.</w:t>
      </w:r>
    </w:p>
    <w:p w14:paraId="058EE0FC" w14:textId="77777777" w:rsidR="0060361C" w:rsidRPr="008E7494" w:rsidRDefault="0060361C" w:rsidP="0060361C">
      <w:r w:rsidRPr="008E7494">
        <w:t>Alignment with the ethics principles is further achieved through the Commission’s Strategic Plan which incorporates objectives based on enhancing and strengthening socially responsible standards of behaviour both within the Commission and in the five welfare reform communities. These objectives then form the basis for employee Performance and Development Agreements to link ethics priorities with service delivery.</w:t>
      </w:r>
    </w:p>
    <w:p w14:paraId="5559C8A3" w14:textId="77777777" w:rsidR="0060361C" w:rsidRPr="008E7494" w:rsidRDefault="0060361C" w:rsidP="0060361C">
      <w:pPr>
        <w:spacing w:after="0" w:line="240" w:lineRule="auto"/>
        <w:rPr>
          <w:rFonts w:cs="Arial"/>
          <w:bCs/>
          <w:sz w:val="24"/>
        </w:rPr>
      </w:pPr>
    </w:p>
    <w:p w14:paraId="7072EBAE" w14:textId="77777777" w:rsidR="0060361C" w:rsidRPr="004E2D49" w:rsidRDefault="0060361C" w:rsidP="0060361C">
      <w:pPr>
        <w:spacing w:after="0" w:line="240" w:lineRule="auto"/>
        <w:rPr>
          <w:rFonts w:cs="Arial"/>
          <w:bCs/>
          <w:sz w:val="24"/>
        </w:rPr>
      </w:pPr>
      <w:r>
        <w:rPr>
          <w:rFonts w:cs="Arial"/>
          <w:color w:val="446E82"/>
          <w:sz w:val="24"/>
        </w:rPr>
        <w:br w:type="page"/>
      </w:r>
    </w:p>
    <w:p w14:paraId="03C86395" w14:textId="77777777" w:rsidR="0060361C" w:rsidRPr="00C67902" w:rsidRDefault="0060361C" w:rsidP="00C67902">
      <w:pPr>
        <w:pStyle w:val="Heading3"/>
      </w:pPr>
      <w:r w:rsidRPr="00C67902">
        <w:lastRenderedPageBreak/>
        <w:t>Public sector values</w:t>
      </w:r>
    </w:p>
    <w:tbl>
      <w:tblPr>
        <w:tblStyle w:val="TableGrid"/>
        <w:tblW w:w="0" w:type="auto"/>
        <w:tblLook w:val="04A0" w:firstRow="1" w:lastRow="0" w:firstColumn="1" w:lastColumn="0" w:noHBand="0" w:noVBand="1"/>
      </w:tblPr>
      <w:tblGrid>
        <w:gridCol w:w="4247"/>
        <w:gridCol w:w="4247"/>
      </w:tblGrid>
      <w:tr w:rsidR="0060361C" w:rsidRPr="008E7494" w14:paraId="4D633BC8" w14:textId="77777777" w:rsidTr="00066DE4">
        <w:tc>
          <w:tcPr>
            <w:tcW w:w="4261" w:type="dxa"/>
          </w:tcPr>
          <w:p w14:paraId="39A0F7DD" w14:textId="77777777" w:rsidR="0060361C" w:rsidRPr="008E7494" w:rsidRDefault="0060361C" w:rsidP="00066DE4">
            <w:pPr>
              <w:spacing w:before="240" w:after="240" w:line="240" w:lineRule="auto"/>
              <w:textAlignment w:val="baseline"/>
              <w:rPr>
                <w:rFonts w:cs="Arial"/>
                <w:b/>
                <w:bCs/>
                <w:sz w:val="24"/>
                <w:lang w:val="en"/>
              </w:rPr>
            </w:pPr>
            <w:r w:rsidRPr="008E7494">
              <w:rPr>
                <w:rFonts w:cs="Arial"/>
                <w:b/>
                <w:bCs/>
                <w:sz w:val="24"/>
                <w:lang w:val="en"/>
              </w:rPr>
              <w:t>Customers first</w:t>
            </w:r>
          </w:p>
          <w:p w14:paraId="6F519D9E" w14:textId="40E7A495" w:rsidR="0060361C" w:rsidRPr="008E7494" w:rsidRDefault="0060361C" w:rsidP="00066DE4">
            <w:pPr>
              <w:spacing w:before="240" w:after="240" w:line="240" w:lineRule="auto"/>
              <w:textAlignment w:val="baseline"/>
              <w:rPr>
                <w:rFonts w:ascii="Helvetica" w:hAnsi="Helvetica" w:cs="Helvetica"/>
                <w:sz w:val="24"/>
                <w:lang w:val="en"/>
              </w:rPr>
            </w:pPr>
          </w:p>
          <w:p w14:paraId="2918A96A" w14:textId="77777777" w:rsidR="0060361C" w:rsidRPr="008E7494" w:rsidRDefault="0060361C" w:rsidP="0060361C">
            <w:pPr>
              <w:pStyle w:val="ListParagraph"/>
              <w:numPr>
                <w:ilvl w:val="0"/>
                <w:numId w:val="9"/>
              </w:numPr>
              <w:spacing w:after="60" w:line="260" w:lineRule="exact"/>
              <w:ind w:left="714" w:hanging="357"/>
              <w:rPr>
                <w:rFonts w:ascii="Arial" w:hAnsi="Arial" w:cs="Arial"/>
                <w:sz w:val="20"/>
              </w:rPr>
            </w:pPr>
            <w:r w:rsidRPr="008E7494">
              <w:rPr>
                <w:rFonts w:ascii="Arial" w:hAnsi="Arial" w:cs="Arial"/>
                <w:sz w:val="20"/>
              </w:rPr>
              <w:t>Know your customers</w:t>
            </w:r>
          </w:p>
          <w:p w14:paraId="32281A74" w14:textId="77777777" w:rsidR="0060361C" w:rsidRPr="008E7494" w:rsidRDefault="0060361C" w:rsidP="0060361C">
            <w:pPr>
              <w:pStyle w:val="ListParagraph"/>
              <w:numPr>
                <w:ilvl w:val="0"/>
                <w:numId w:val="9"/>
              </w:numPr>
              <w:spacing w:after="60" w:line="260" w:lineRule="exact"/>
              <w:ind w:left="714" w:hanging="357"/>
              <w:rPr>
                <w:rFonts w:ascii="Arial" w:hAnsi="Arial" w:cs="Arial"/>
                <w:sz w:val="20"/>
              </w:rPr>
            </w:pPr>
            <w:r w:rsidRPr="008E7494">
              <w:rPr>
                <w:rFonts w:ascii="Arial" w:hAnsi="Arial" w:cs="Arial"/>
                <w:sz w:val="20"/>
              </w:rPr>
              <w:t>Deliver what matters</w:t>
            </w:r>
          </w:p>
          <w:p w14:paraId="478BB0E7" w14:textId="77777777" w:rsidR="0060361C" w:rsidRPr="008E7494" w:rsidRDefault="0060361C" w:rsidP="0060361C">
            <w:pPr>
              <w:pStyle w:val="ListParagraph"/>
              <w:numPr>
                <w:ilvl w:val="0"/>
                <w:numId w:val="9"/>
              </w:numPr>
              <w:spacing w:after="60" w:line="260" w:lineRule="exact"/>
              <w:ind w:left="714" w:hanging="357"/>
              <w:rPr>
                <w:rFonts w:ascii="Arial" w:hAnsi="Arial" w:cs="Arial"/>
                <w:sz w:val="20"/>
              </w:rPr>
            </w:pPr>
            <w:r w:rsidRPr="008E7494">
              <w:rPr>
                <w:rFonts w:ascii="Arial" w:hAnsi="Arial" w:cs="Arial"/>
                <w:sz w:val="20"/>
              </w:rPr>
              <w:t>Make decisions with empathy</w:t>
            </w:r>
          </w:p>
        </w:tc>
        <w:tc>
          <w:tcPr>
            <w:tcW w:w="4261" w:type="dxa"/>
          </w:tcPr>
          <w:p w14:paraId="550E62D0" w14:textId="77777777" w:rsidR="0060361C" w:rsidRPr="008E7494" w:rsidRDefault="0060361C" w:rsidP="00066DE4">
            <w:pPr>
              <w:spacing w:before="240" w:after="240" w:line="240" w:lineRule="auto"/>
              <w:textAlignment w:val="baseline"/>
              <w:rPr>
                <w:rFonts w:cs="Arial"/>
                <w:b/>
                <w:bCs/>
                <w:sz w:val="24"/>
                <w:lang w:val="en"/>
              </w:rPr>
            </w:pPr>
            <w:r w:rsidRPr="008E7494">
              <w:rPr>
                <w:rFonts w:cs="Arial"/>
                <w:b/>
                <w:bCs/>
                <w:sz w:val="24"/>
                <w:lang w:val="en"/>
              </w:rPr>
              <w:t>Be courageous</w:t>
            </w:r>
          </w:p>
          <w:p w14:paraId="23F197B0" w14:textId="11A1D155" w:rsidR="0060361C" w:rsidRPr="008E7494" w:rsidRDefault="0060361C" w:rsidP="00066DE4">
            <w:pPr>
              <w:spacing w:before="240" w:after="240" w:line="240" w:lineRule="auto"/>
              <w:textAlignment w:val="baseline"/>
              <w:rPr>
                <w:rFonts w:ascii="Helvetica" w:hAnsi="Helvetica" w:cs="Helvetica"/>
                <w:sz w:val="24"/>
                <w:lang w:val="en"/>
              </w:rPr>
            </w:pPr>
          </w:p>
          <w:p w14:paraId="0654F16A" w14:textId="77777777" w:rsidR="0060361C" w:rsidRPr="008E7494" w:rsidRDefault="0060361C" w:rsidP="0060361C">
            <w:pPr>
              <w:pStyle w:val="ListParagraph"/>
              <w:numPr>
                <w:ilvl w:val="0"/>
                <w:numId w:val="9"/>
              </w:numPr>
              <w:spacing w:after="60" w:line="260" w:lineRule="exact"/>
              <w:ind w:left="714" w:hanging="357"/>
              <w:rPr>
                <w:rFonts w:ascii="Arial" w:hAnsi="Arial" w:cs="Arial"/>
                <w:sz w:val="20"/>
              </w:rPr>
            </w:pPr>
            <w:r w:rsidRPr="008E7494">
              <w:rPr>
                <w:rFonts w:ascii="Arial" w:hAnsi="Arial" w:cs="Arial"/>
                <w:sz w:val="20"/>
              </w:rPr>
              <w:t>Own your actions, successes and mistakes</w:t>
            </w:r>
          </w:p>
          <w:p w14:paraId="03BE2503" w14:textId="77777777" w:rsidR="0060361C" w:rsidRPr="008E7494" w:rsidRDefault="0060361C" w:rsidP="0060361C">
            <w:pPr>
              <w:pStyle w:val="ListParagraph"/>
              <w:numPr>
                <w:ilvl w:val="0"/>
                <w:numId w:val="9"/>
              </w:numPr>
              <w:spacing w:after="60" w:line="260" w:lineRule="exact"/>
              <w:ind w:left="714" w:hanging="357"/>
              <w:rPr>
                <w:rFonts w:ascii="Arial" w:hAnsi="Arial" w:cs="Arial"/>
                <w:sz w:val="20"/>
              </w:rPr>
            </w:pPr>
            <w:r w:rsidRPr="008E7494">
              <w:rPr>
                <w:rFonts w:ascii="Arial" w:hAnsi="Arial" w:cs="Arial"/>
                <w:sz w:val="20"/>
              </w:rPr>
              <w:t>Take calculated risks</w:t>
            </w:r>
          </w:p>
          <w:p w14:paraId="309E8BBA" w14:textId="77777777" w:rsidR="0060361C" w:rsidRPr="008E7494" w:rsidRDefault="0060361C" w:rsidP="0060361C">
            <w:pPr>
              <w:pStyle w:val="ListParagraph"/>
              <w:numPr>
                <w:ilvl w:val="0"/>
                <w:numId w:val="9"/>
              </w:numPr>
              <w:spacing w:after="60" w:line="260" w:lineRule="exact"/>
              <w:ind w:left="714" w:hanging="357"/>
              <w:rPr>
                <w:rFonts w:ascii="Arial" w:hAnsi="Arial" w:cs="Arial"/>
                <w:sz w:val="20"/>
              </w:rPr>
            </w:pPr>
            <w:r w:rsidRPr="008E7494">
              <w:rPr>
                <w:rFonts w:ascii="Arial" w:hAnsi="Arial" w:cs="Arial"/>
                <w:sz w:val="20"/>
              </w:rPr>
              <w:t>Act with transparency</w:t>
            </w:r>
          </w:p>
        </w:tc>
      </w:tr>
      <w:tr w:rsidR="0060361C" w:rsidRPr="008E7494" w14:paraId="3D7CF6E1" w14:textId="77777777" w:rsidTr="00066DE4">
        <w:tc>
          <w:tcPr>
            <w:tcW w:w="4261" w:type="dxa"/>
          </w:tcPr>
          <w:p w14:paraId="72F93FFE" w14:textId="77777777" w:rsidR="0060361C" w:rsidRPr="008E7494" w:rsidRDefault="0060361C" w:rsidP="00066DE4">
            <w:pPr>
              <w:spacing w:before="240" w:after="240" w:line="240" w:lineRule="auto"/>
              <w:textAlignment w:val="baseline"/>
              <w:rPr>
                <w:rFonts w:cs="Arial"/>
                <w:b/>
                <w:bCs/>
                <w:sz w:val="24"/>
                <w:lang w:val="en"/>
              </w:rPr>
            </w:pPr>
            <w:r w:rsidRPr="008E7494">
              <w:rPr>
                <w:rFonts w:cs="Arial"/>
                <w:b/>
                <w:bCs/>
                <w:sz w:val="24"/>
                <w:lang w:val="en"/>
              </w:rPr>
              <w:t>Ideas into action</w:t>
            </w:r>
          </w:p>
          <w:p w14:paraId="5F18F965" w14:textId="07E85E42" w:rsidR="0060361C" w:rsidRPr="008E7494" w:rsidRDefault="0060361C" w:rsidP="00066DE4">
            <w:pPr>
              <w:spacing w:before="240" w:after="240" w:line="240" w:lineRule="auto"/>
              <w:textAlignment w:val="baseline"/>
              <w:rPr>
                <w:rFonts w:ascii="Helvetica" w:hAnsi="Helvetica" w:cs="Helvetica"/>
                <w:sz w:val="24"/>
                <w:lang w:val="en"/>
              </w:rPr>
            </w:pPr>
          </w:p>
          <w:p w14:paraId="5C2476ED" w14:textId="77777777" w:rsidR="0060361C" w:rsidRPr="008E7494" w:rsidRDefault="0060361C" w:rsidP="0060361C">
            <w:pPr>
              <w:pStyle w:val="ListParagraph"/>
              <w:numPr>
                <w:ilvl w:val="0"/>
                <w:numId w:val="9"/>
              </w:numPr>
              <w:spacing w:after="60" w:line="260" w:lineRule="exact"/>
              <w:ind w:left="714" w:hanging="357"/>
              <w:rPr>
                <w:rFonts w:ascii="Arial" w:hAnsi="Arial" w:cs="Arial"/>
                <w:sz w:val="20"/>
              </w:rPr>
            </w:pPr>
            <w:r w:rsidRPr="008E7494">
              <w:rPr>
                <w:rFonts w:ascii="Arial" w:hAnsi="Arial" w:cs="Arial"/>
                <w:sz w:val="20"/>
              </w:rPr>
              <w:t>Challenge the norm and suggest solutions</w:t>
            </w:r>
          </w:p>
          <w:p w14:paraId="7DF336C3" w14:textId="77777777" w:rsidR="0060361C" w:rsidRPr="008E7494" w:rsidRDefault="0060361C" w:rsidP="0060361C">
            <w:pPr>
              <w:pStyle w:val="ListParagraph"/>
              <w:numPr>
                <w:ilvl w:val="0"/>
                <w:numId w:val="9"/>
              </w:numPr>
              <w:spacing w:after="60" w:line="260" w:lineRule="exact"/>
              <w:ind w:left="714" w:hanging="357"/>
              <w:rPr>
                <w:rFonts w:ascii="Arial" w:hAnsi="Arial" w:cs="Arial"/>
                <w:sz w:val="20"/>
              </w:rPr>
            </w:pPr>
            <w:r w:rsidRPr="008E7494">
              <w:rPr>
                <w:rFonts w:ascii="Arial" w:hAnsi="Arial" w:cs="Arial"/>
                <w:sz w:val="20"/>
              </w:rPr>
              <w:t>Encourage and embrace new ideas</w:t>
            </w:r>
          </w:p>
          <w:p w14:paraId="7688E0C8" w14:textId="77777777" w:rsidR="0060361C" w:rsidRPr="008E7494" w:rsidRDefault="0060361C" w:rsidP="0060361C">
            <w:pPr>
              <w:pStyle w:val="ListParagraph"/>
              <w:numPr>
                <w:ilvl w:val="0"/>
                <w:numId w:val="9"/>
              </w:numPr>
              <w:spacing w:after="60" w:line="260" w:lineRule="exact"/>
              <w:ind w:left="714" w:hanging="357"/>
              <w:rPr>
                <w:rFonts w:ascii="Arial" w:hAnsi="Arial" w:cs="Arial"/>
                <w:sz w:val="20"/>
              </w:rPr>
            </w:pPr>
            <w:r w:rsidRPr="008E7494">
              <w:rPr>
                <w:rFonts w:ascii="Arial" w:hAnsi="Arial" w:cs="Arial"/>
                <w:sz w:val="20"/>
              </w:rPr>
              <w:t>Work across boundaries</w:t>
            </w:r>
          </w:p>
        </w:tc>
        <w:tc>
          <w:tcPr>
            <w:tcW w:w="4261" w:type="dxa"/>
          </w:tcPr>
          <w:p w14:paraId="7C2441ED" w14:textId="77777777" w:rsidR="0060361C" w:rsidRPr="008E7494" w:rsidRDefault="0060361C" w:rsidP="00066DE4">
            <w:pPr>
              <w:spacing w:before="240" w:after="240" w:line="240" w:lineRule="auto"/>
              <w:textAlignment w:val="baseline"/>
              <w:rPr>
                <w:rFonts w:cs="Arial"/>
                <w:b/>
                <w:bCs/>
                <w:sz w:val="24"/>
                <w:lang w:val="en"/>
              </w:rPr>
            </w:pPr>
            <w:r w:rsidRPr="008E7494">
              <w:rPr>
                <w:rFonts w:cs="Arial"/>
                <w:b/>
                <w:bCs/>
                <w:sz w:val="24"/>
                <w:lang w:val="en"/>
              </w:rPr>
              <w:t>Empower people</w:t>
            </w:r>
          </w:p>
          <w:p w14:paraId="1602293F" w14:textId="7874BC2D" w:rsidR="0060361C" w:rsidRPr="008E7494" w:rsidRDefault="0060361C" w:rsidP="00066DE4">
            <w:pPr>
              <w:spacing w:before="240" w:after="240" w:line="240" w:lineRule="auto"/>
              <w:textAlignment w:val="baseline"/>
              <w:rPr>
                <w:rFonts w:ascii="Helvetica" w:hAnsi="Helvetica" w:cs="Helvetica"/>
                <w:sz w:val="24"/>
                <w:lang w:val="en"/>
              </w:rPr>
            </w:pPr>
          </w:p>
          <w:p w14:paraId="6BF50B02" w14:textId="77777777" w:rsidR="0060361C" w:rsidRPr="008E7494" w:rsidRDefault="0060361C" w:rsidP="0060361C">
            <w:pPr>
              <w:pStyle w:val="ListParagraph"/>
              <w:numPr>
                <w:ilvl w:val="0"/>
                <w:numId w:val="9"/>
              </w:numPr>
              <w:spacing w:after="60" w:line="260" w:lineRule="exact"/>
              <w:ind w:left="714" w:hanging="357"/>
              <w:rPr>
                <w:rFonts w:ascii="Arial" w:hAnsi="Arial" w:cs="Arial"/>
                <w:sz w:val="20"/>
              </w:rPr>
            </w:pPr>
            <w:proofErr w:type="gramStart"/>
            <w:r w:rsidRPr="008E7494">
              <w:rPr>
                <w:rFonts w:ascii="Arial" w:hAnsi="Arial" w:cs="Arial"/>
                <w:sz w:val="20"/>
              </w:rPr>
              <w:t>Lead,</w:t>
            </w:r>
            <w:proofErr w:type="gramEnd"/>
            <w:r w:rsidRPr="008E7494">
              <w:rPr>
                <w:rFonts w:ascii="Arial" w:hAnsi="Arial" w:cs="Arial"/>
                <w:sz w:val="20"/>
              </w:rPr>
              <w:t xml:space="preserve"> empower and trust</w:t>
            </w:r>
          </w:p>
          <w:p w14:paraId="32B4439D" w14:textId="77777777" w:rsidR="0060361C" w:rsidRPr="008E7494" w:rsidRDefault="0060361C" w:rsidP="0060361C">
            <w:pPr>
              <w:pStyle w:val="ListParagraph"/>
              <w:numPr>
                <w:ilvl w:val="0"/>
                <w:numId w:val="9"/>
              </w:numPr>
              <w:spacing w:after="60" w:line="260" w:lineRule="exact"/>
              <w:ind w:left="714" w:hanging="357"/>
              <w:rPr>
                <w:rFonts w:ascii="Arial" w:hAnsi="Arial" w:cs="Arial"/>
                <w:sz w:val="20"/>
              </w:rPr>
            </w:pPr>
            <w:r w:rsidRPr="008E7494">
              <w:rPr>
                <w:rFonts w:ascii="Arial" w:hAnsi="Arial" w:cs="Arial"/>
                <w:sz w:val="20"/>
              </w:rPr>
              <w:t>Play to everyone's strengths</w:t>
            </w:r>
          </w:p>
          <w:p w14:paraId="4892A97D" w14:textId="77777777" w:rsidR="0060361C" w:rsidRPr="008E7494" w:rsidRDefault="0060361C" w:rsidP="0060361C">
            <w:pPr>
              <w:pStyle w:val="ListParagraph"/>
              <w:numPr>
                <w:ilvl w:val="0"/>
                <w:numId w:val="9"/>
              </w:numPr>
              <w:spacing w:after="60" w:line="260" w:lineRule="exact"/>
              <w:ind w:left="714" w:hanging="357"/>
              <w:rPr>
                <w:rFonts w:ascii="Arial" w:hAnsi="Arial" w:cs="Arial"/>
                <w:sz w:val="20"/>
              </w:rPr>
            </w:pPr>
            <w:r w:rsidRPr="008E7494">
              <w:rPr>
                <w:rFonts w:ascii="Arial" w:hAnsi="Arial" w:cs="Arial"/>
                <w:sz w:val="20"/>
              </w:rPr>
              <w:t>Develop yourself and those around you</w:t>
            </w:r>
          </w:p>
        </w:tc>
      </w:tr>
      <w:tr w:rsidR="0060361C" w:rsidRPr="008E7494" w14:paraId="27F55F52" w14:textId="77777777" w:rsidTr="00066DE4">
        <w:tc>
          <w:tcPr>
            <w:tcW w:w="4261" w:type="dxa"/>
          </w:tcPr>
          <w:p w14:paraId="7E17E0BD" w14:textId="77777777" w:rsidR="0060361C" w:rsidRPr="008E7494" w:rsidRDefault="0060361C" w:rsidP="00066DE4">
            <w:pPr>
              <w:spacing w:before="240" w:after="240" w:line="240" w:lineRule="auto"/>
              <w:textAlignment w:val="baseline"/>
              <w:rPr>
                <w:rFonts w:cs="Arial"/>
                <w:b/>
                <w:bCs/>
                <w:sz w:val="24"/>
                <w:lang w:val="en"/>
              </w:rPr>
            </w:pPr>
            <w:r w:rsidRPr="008E7494">
              <w:rPr>
                <w:rFonts w:cs="Arial"/>
                <w:b/>
                <w:bCs/>
                <w:sz w:val="24"/>
                <w:lang w:val="en"/>
              </w:rPr>
              <w:t>Unleash potential</w:t>
            </w:r>
          </w:p>
          <w:p w14:paraId="7515AC0B" w14:textId="3163FF03" w:rsidR="0060361C" w:rsidRPr="008E7494" w:rsidRDefault="0060361C" w:rsidP="00066DE4">
            <w:pPr>
              <w:spacing w:before="240" w:after="240" w:line="240" w:lineRule="auto"/>
              <w:textAlignment w:val="baseline"/>
              <w:rPr>
                <w:rFonts w:ascii="Helvetica" w:hAnsi="Helvetica" w:cs="Helvetica"/>
                <w:sz w:val="24"/>
                <w:lang w:val="en"/>
              </w:rPr>
            </w:pPr>
          </w:p>
          <w:p w14:paraId="5B7605B9" w14:textId="77777777" w:rsidR="0060361C" w:rsidRPr="008E7494" w:rsidRDefault="0060361C" w:rsidP="0060361C">
            <w:pPr>
              <w:pStyle w:val="ListParagraph"/>
              <w:numPr>
                <w:ilvl w:val="0"/>
                <w:numId w:val="9"/>
              </w:numPr>
              <w:spacing w:after="60" w:line="260" w:lineRule="exact"/>
              <w:ind w:left="714" w:hanging="357"/>
              <w:rPr>
                <w:rFonts w:ascii="Arial" w:hAnsi="Arial" w:cs="Arial"/>
                <w:sz w:val="20"/>
              </w:rPr>
            </w:pPr>
            <w:r w:rsidRPr="008E7494">
              <w:rPr>
                <w:rFonts w:ascii="Arial" w:hAnsi="Arial" w:cs="Arial"/>
                <w:sz w:val="20"/>
              </w:rPr>
              <w:t>Expect greatness</w:t>
            </w:r>
          </w:p>
          <w:p w14:paraId="59C6816B" w14:textId="77777777" w:rsidR="0060361C" w:rsidRPr="008E7494" w:rsidRDefault="0060361C" w:rsidP="0060361C">
            <w:pPr>
              <w:pStyle w:val="ListParagraph"/>
              <w:numPr>
                <w:ilvl w:val="0"/>
                <w:numId w:val="9"/>
              </w:numPr>
              <w:spacing w:after="60" w:line="260" w:lineRule="exact"/>
              <w:ind w:left="714" w:hanging="357"/>
              <w:rPr>
                <w:rFonts w:ascii="Arial" w:hAnsi="Arial" w:cs="Arial"/>
                <w:sz w:val="20"/>
              </w:rPr>
            </w:pPr>
            <w:r w:rsidRPr="008E7494">
              <w:rPr>
                <w:rFonts w:ascii="Arial" w:hAnsi="Arial" w:cs="Arial"/>
                <w:sz w:val="20"/>
              </w:rPr>
              <w:t>Lead and set clear expectations</w:t>
            </w:r>
          </w:p>
          <w:p w14:paraId="2F5FBF56" w14:textId="77777777" w:rsidR="0060361C" w:rsidRPr="008E7494" w:rsidRDefault="0060361C" w:rsidP="0060361C">
            <w:pPr>
              <w:pStyle w:val="ListParagraph"/>
              <w:numPr>
                <w:ilvl w:val="0"/>
                <w:numId w:val="9"/>
              </w:numPr>
              <w:spacing w:after="60" w:line="260" w:lineRule="exact"/>
              <w:ind w:left="714" w:hanging="357"/>
              <w:rPr>
                <w:rFonts w:ascii="Arial" w:hAnsi="Arial" w:cs="Arial"/>
                <w:sz w:val="20"/>
              </w:rPr>
            </w:pPr>
            <w:r w:rsidRPr="008E7494">
              <w:rPr>
                <w:rFonts w:ascii="Arial" w:hAnsi="Arial" w:cs="Arial"/>
                <w:sz w:val="20"/>
              </w:rPr>
              <w:t>Seek, provide and act on feedback</w:t>
            </w:r>
          </w:p>
        </w:tc>
        <w:tc>
          <w:tcPr>
            <w:tcW w:w="4261" w:type="dxa"/>
          </w:tcPr>
          <w:p w14:paraId="073C1B70" w14:textId="77777777" w:rsidR="0060361C" w:rsidRPr="008E7494" w:rsidRDefault="0060361C" w:rsidP="00066DE4">
            <w:pPr>
              <w:spacing w:before="240" w:after="240" w:line="240" w:lineRule="auto"/>
              <w:textAlignment w:val="baseline"/>
              <w:rPr>
                <w:rFonts w:cs="Arial"/>
                <w:sz w:val="24"/>
                <w:lang w:val="en"/>
              </w:rPr>
            </w:pPr>
          </w:p>
        </w:tc>
      </w:tr>
    </w:tbl>
    <w:p w14:paraId="0B569925" w14:textId="77777777" w:rsidR="0060361C" w:rsidRPr="008E7494" w:rsidRDefault="0060361C" w:rsidP="0060361C"/>
    <w:p w14:paraId="143DD771" w14:textId="77777777" w:rsidR="0060361C" w:rsidRPr="008E7494" w:rsidRDefault="0060361C" w:rsidP="0060361C">
      <w:r w:rsidRPr="008E7494">
        <w:t>The Commission continues to structure its operations in accordance with the objects and principles of the FRC Act and the Queensland Public Service Values of: customers first, ideas into action, unleash potential, be courageous and empower people. The Commission’s Service Charter pledges the best service we can provide and to deliver outputs for the Queensland and Australian Governments that achieve the outcomes sought for the welfare reform communities. In doing so the Commission nurtures a spirit of inquiry and innovation. Our Local Commissioners are well acquainted with their communit</w:t>
      </w:r>
      <w:r>
        <w:t>ies</w:t>
      </w:r>
      <w:r w:rsidRPr="008E7494">
        <w:t xml:space="preserve"> and the ancestry and family history of their community members. Decisions are made with an understanding of where each client comes from and what has influenced their behaviour. The exercise of their authority under the FRC Act is governed by this understanding. They are challenging the negative social norms in their communities every day, encouraging clients to cross the boundaries of their inappropriate social behaviours. To do so requires courage from the Local Commissioners and from Commission clients. The Local Commissioners are leading by example, trusting where their intuition demands consideration of the challenges faced by each individual and at times demanding action by imposing restrictions. With each decision they take a calculated risk on the strength and capacity of their community members, whilst empowering them to be responsible to themselves, their families and their community.</w:t>
      </w:r>
    </w:p>
    <w:p w14:paraId="237EC9F7" w14:textId="77777777" w:rsidR="0060361C" w:rsidRPr="00C67902" w:rsidRDefault="0060361C" w:rsidP="00C67902">
      <w:pPr>
        <w:pStyle w:val="Heading3"/>
      </w:pPr>
      <w:r w:rsidRPr="00C67902">
        <w:lastRenderedPageBreak/>
        <w:t>Risk management</w:t>
      </w:r>
    </w:p>
    <w:p w14:paraId="5216E03F" w14:textId="77777777" w:rsidR="0060361C" w:rsidRPr="008E7494" w:rsidRDefault="0060361C" w:rsidP="0060361C">
      <w:r w:rsidRPr="008E7494">
        <w:t xml:space="preserve">The Commission’s risk management framework establishes a mechanism to identify, assess and manage real or potential risks. The framework supports a positive risk minimisation and management culture within the Commission which focuses on strategic risks (risks which present as challenges to the Commission’s strategic direction and vision), and operational risks (risks which present as challenges to the daily activities of the Commission in delivering its services). In applying the risk management </w:t>
      </w:r>
      <w:proofErr w:type="gramStart"/>
      <w:r w:rsidRPr="008E7494">
        <w:t>principles</w:t>
      </w:r>
      <w:proofErr w:type="gramEnd"/>
      <w:r w:rsidRPr="008E7494">
        <w:t xml:space="preserve"> the Commission has a Business Continuity Plan (BCP). The framework of this plan incorporates five key elements – prevention, preparedness, response, recovery and review, and consists of a risk management and contingency plan, business impact analysis, incident response table and recovery plan. The plan states a shared legal responsibility and accountability between, and a commitment by, all employees to implement the BCP. Employees are individually responsible for contributing to the BCP and to the health and safety of others by reporting workplace injury, incidents, illness and hazards. Employees are also responsible for seeking to reduce the vulnerability of the Commission to internal and external events and influences that may impede achieving the goals of the Commission.</w:t>
      </w:r>
    </w:p>
    <w:p w14:paraId="52A5B0B8" w14:textId="77777777" w:rsidR="0060361C" w:rsidRPr="008E7494" w:rsidRDefault="0060361C" w:rsidP="0060361C">
      <w:r w:rsidRPr="008E7494">
        <w:t xml:space="preserve">The Commission’s BCP </w:t>
      </w:r>
      <w:r>
        <w:t>commences with</w:t>
      </w:r>
      <w:r w:rsidRPr="008E7494">
        <w:t xml:space="preserve"> an integrated approach to managing all risks that impact on the achievement of the Commission’s strategic and business </w:t>
      </w:r>
      <w:proofErr w:type="gramStart"/>
      <w:r w:rsidRPr="008E7494">
        <w:t>objectives</w:t>
      </w:r>
      <w:r>
        <w:t>,</w:t>
      </w:r>
      <w:r w:rsidRPr="008E7494">
        <w:t xml:space="preserve"> </w:t>
      </w:r>
      <w:r>
        <w:t>and</w:t>
      </w:r>
      <w:proofErr w:type="gramEnd"/>
      <w:r>
        <w:t xml:space="preserve"> moves </w:t>
      </w:r>
      <w:r w:rsidRPr="008E7494">
        <w:t xml:space="preserve">to reviewing and re-evaluating identified risks and reporting </w:t>
      </w:r>
      <w:r>
        <w:t xml:space="preserve">on processes and recommendations </w:t>
      </w:r>
      <w:r w:rsidRPr="008E7494">
        <w:t>to the EMT.</w:t>
      </w:r>
    </w:p>
    <w:p w14:paraId="397968E6" w14:textId="77777777" w:rsidR="0060361C" w:rsidRPr="00C67902" w:rsidRDefault="0060361C" w:rsidP="00C67902">
      <w:pPr>
        <w:pStyle w:val="Heading3"/>
      </w:pPr>
      <w:r w:rsidRPr="00C67902">
        <w:t>External scrutiny</w:t>
      </w:r>
    </w:p>
    <w:p w14:paraId="01BA022C" w14:textId="77777777" w:rsidR="0060361C" w:rsidRPr="00D821AC" w:rsidRDefault="0060361C" w:rsidP="0060361C">
      <w:r w:rsidRPr="00D821AC">
        <w:t>For the period 1 July 201</w:t>
      </w:r>
      <w:r>
        <w:t>8</w:t>
      </w:r>
      <w:r w:rsidRPr="00D821AC">
        <w:t xml:space="preserve"> to 30 June 201</w:t>
      </w:r>
      <w:r>
        <w:t>9</w:t>
      </w:r>
      <w:r w:rsidRPr="00D821AC">
        <w:t xml:space="preserve"> the </w:t>
      </w:r>
      <w:r w:rsidRPr="008E7494">
        <w:t xml:space="preserve">Economics and Governance Committee </w:t>
      </w:r>
      <w:r w:rsidRPr="00D821AC">
        <w:t xml:space="preserve">had oversight responsibility for the Commission under the </w:t>
      </w:r>
      <w:r w:rsidRPr="00D821AC">
        <w:rPr>
          <w:i/>
        </w:rPr>
        <w:t>Parliament of Queensland Act 2001</w:t>
      </w:r>
      <w:r w:rsidRPr="00D821AC">
        <w:t xml:space="preserve">. The committee is responsible for examining Bills to consider policy, examining estimates, assessing the Commission’s accounts </w:t>
      </w:r>
      <w:proofErr w:type="gramStart"/>
      <w:r w:rsidRPr="00D821AC">
        <w:t>in regard to</w:t>
      </w:r>
      <w:proofErr w:type="gramEnd"/>
      <w:r w:rsidRPr="00D821AC">
        <w:t xml:space="preserve"> integrity, economy, efficiency and effectiveness of financial management and assessing whether the Commission is performing its legislative functions and meeting its obligations as a statutory body. The committee is set to conduct estimates hearings in July 201</w:t>
      </w:r>
      <w:r>
        <w:t>9</w:t>
      </w:r>
      <w:r w:rsidRPr="00D821AC">
        <w:t>.</w:t>
      </w:r>
    </w:p>
    <w:p w14:paraId="57F1F174" w14:textId="0924C546" w:rsidR="0060361C" w:rsidRPr="008E7494" w:rsidRDefault="0060361C" w:rsidP="0060361C">
      <w:r>
        <w:t xml:space="preserve">The Commission is jointly funded by the Australian and Queensland Governments. As such the Commission is also subject to review from Federal bodies. During the reporting period </w:t>
      </w:r>
      <w:r w:rsidR="00955E47">
        <w:t>DSS</w:t>
      </w:r>
      <w:r>
        <w:t xml:space="preserve"> engaged QUT to undertake a review of </w:t>
      </w:r>
      <w:r w:rsidR="0091558A">
        <w:t>CYIM</w:t>
      </w:r>
      <w:r>
        <w:t xml:space="preserve">. </w:t>
      </w:r>
      <w:r>
        <w:rPr>
          <w:lang w:val="en"/>
        </w:rPr>
        <w:t>The Strategic Review of Cape York Income Management Final Report dated November 2018</w:t>
      </w:r>
      <w:r w:rsidR="00955E47">
        <w:rPr>
          <w:lang w:val="en"/>
        </w:rPr>
        <w:t xml:space="preserve"> </w:t>
      </w:r>
      <w:r w:rsidR="00A33BB2">
        <w:rPr>
          <w:lang w:val="en"/>
        </w:rPr>
        <w:t xml:space="preserve">was </w:t>
      </w:r>
      <w:r w:rsidR="00955E47">
        <w:rPr>
          <w:lang w:val="en"/>
        </w:rPr>
        <w:t>released in December 2018</w:t>
      </w:r>
      <w:r w:rsidR="00A33BB2">
        <w:rPr>
          <w:lang w:val="en"/>
        </w:rPr>
        <w:t>.</w:t>
      </w:r>
      <w:r w:rsidRPr="00241A0E">
        <w:rPr>
          <w:lang w:val="en"/>
        </w:rPr>
        <w:t xml:space="preserve"> The </w:t>
      </w:r>
      <w:r>
        <w:rPr>
          <w:lang w:val="en"/>
        </w:rPr>
        <w:t>r</w:t>
      </w:r>
      <w:r w:rsidRPr="00241A0E">
        <w:rPr>
          <w:lang w:val="en"/>
        </w:rPr>
        <w:t>eview provide</w:t>
      </w:r>
      <w:r>
        <w:rPr>
          <w:lang w:val="en"/>
        </w:rPr>
        <w:t>d</w:t>
      </w:r>
      <w:r w:rsidRPr="00241A0E">
        <w:rPr>
          <w:lang w:val="en"/>
        </w:rPr>
        <w:t xml:space="preserve"> an analysis of the data </w:t>
      </w:r>
      <w:r>
        <w:rPr>
          <w:lang w:val="en"/>
        </w:rPr>
        <w:t>obtained from Commission records</w:t>
      </w:r>
      <w:r w:rsidRPr="00241A0E">
        <w:rPr>
          <w:lang w:val="en"/>
        </w:rPr>
        <w:t>, assess</w:t>
      </w:r>
      <w:r>
        <w:rPr>
          <w:lang w:val="en"/>
        </w:rPr>
        <w:t>ed</w:t>
      </w:r>
      <w:r w:rsidRPr="00241A0E">
        <w:rPr>
          <w:lang w:val="en"/>
        </w:rPr>
        <w:t xml:space="preserve"> the strengths and weaknesses of the model, and inform</w:t>
      </w:r>
      <w:r>
        <w:rPr>
          <w:lang w:val="en"/>
        </w:rPr>
        <w:t>ed</w:t>
      </w:r>
      <w:r w:rsidRPr="00241A0E">
        <w:rPr>
          <w:lang w:val="en"/>
        </w:rPr>
        <w:t xml:space="preserve"> how it could be used in the future, subject to a review of </w:t>
      </w:r>
      <w:r w:rsidR="00704B00">
        <w:rPr>
          <w:lang w:val="en"/>
        </w:rPr>
        <w:t>CYWR</w:t>
      </w:r>
      <w:r>
        <w:rPr>
          <w:lang w:val="en"/>
        </w:rPr>
        <w:t xml:space="preserve">. Further details </w:t>
      </w:r>
      <w:proofErr w:type="gramStart"/>
      <w:r>
        <w:rPr>
          <w:lang w:val="en"/>
        </w:rPr>
        <w:t>in regard to</w:t>
      </w:r>
      <w:proofErr w:type="gramEnd"/>
      <w:r>
        <w:rPr>
          <w:lang w:val="en"/>
        </w:rPr>
        <w:t xml:space="preserve"> the review can be found in the Registrar’s </w:t>
      </w:r>
      <w:r w:rsidR="00FE3318">
        <w:rPr>
          <w:lang w:val="en"/>
        </w:rPr>
        <w:t>y</w:t>
      </w:r>
      <w:r>
        <w:rPr>
          <w:lang w:val="en"/>
        </w:rPr>
        <w:t xml:space="preserve">ear in </w:t>
      </w:r>
      <w:r w:rsidR="00FE3318">
        <w:rPr>
          <w:lang w:val="en"/>
        </w:rPr>
        <w:t>r</w:t>
      </w:r>
      <w:r>
        <w:rPr>
          <w:lang w:val="en"/>
        </w:rPr>
        <w:t xml:space="preserve">eview </w:t>
      </w:r>
      <w:r w:rsidRPr="002435B7">
        <w:rPr>
          <w:lang w:val="en"/>
        </w:rPr>
        <w:t xml:space="preserve">on page </w:t>
      </w:r>
      <w:r w:rsidR="00CA3C23" w:rsidRPr="002435B7">
        <w:rPr>
          <w:lang w:val="en"/>
        </w:rPr>
        <w:t>4</w:t>
      </w:r>
      <w:r w:rsidR="00E31489" w:rsidRPr="002435B7">
        <w:rPr>
          <w:lang w:val="en"/>
        </w:rPr>
        <w:t>6</w:t>
      </w:r>
      <w:r w:rsidR="00CA3C23" w:rsidRPr="002435B7">
        <w:rPr>
          <w:lang w:val="en"/>
        </w:rPr>
        <w:t>.</w:t>
      </w:r>
    </w:p>
    <w:p w14:paraId="77C8D411" w14:textId="77777777" w:rsidR="0060361C" w:rsidRPr="00C67902" w:rsidRDefault="0060361C" w:rsidP="00C67902">
      <w:pPr>
        <w:pStyle w:val="Heading3"/>
      </w:pPr>
      <w:r w:rsidRPr="00C67902">
        <w:t>Professional conduct</w:t>
      </w:r>
    </w:p>
    <w:p w14:paraId="6E7C9AB7" w14:textId="77777777" w:rsidR="0060361C" w:rsidRDefault="0060361C" w:rsidP="0060361C">
      <w:r w:rsidRPr="008E7494">
        <w:t xml:space="preserve">All employees of the Commission are required to adhere to the values of the Commission and undertake their duties with professionalism, respect for diversity and courtesy whilst utilising ethics in all decision-making. Employees are made aware of their ongoing responsibilities, duty of care and requirements under the core legislation governing the Commission as published through Commission policies, protocols and guidelines which are readily available to employees on the intranet. </w:t>
      </w:r>
    </w:p>
    <w:p w14:paraId="3D485923" w14:textId="77777777" w:rsidR="0060361C" w:rsidRDefault="0060361C" w:rsidP="0060361C">
      <w:r>
        <w:t xml:space="preserve">Online fraud and corruption training </w:t>
      </w:r>
      <w:proofErr w:type="gramStart"/>
      <w:r>
        <w:t>was</w:t>
      </w:r>
      <w:proofErr w:type="gramEnd"/>
      <w:r>
        <w:t xml:space="preserve"> completed by all Commission employees in this reporting period, and the Local Commissioner Code of Conduct training was amended to </w:t>
      </w:r>
      <w:r>
        <w:lastRenderedPageBreak/>
        <w:t>include a section on the dangers of engaging in social media, emphasising how our personal activity online must be of a standard that is appropriate and proper to not reflect seriously and adversely in relation to our conduct at work.</w:t>
      </w:r>
    </w:p>
    <w:p w14:paraId="1B907AE5" w14:textId="77777777" w:rsidR="0060361C" w:rsidRPr="008E7494" w:rsidRDefault="0060361C" w:rsidP="0060361C">
      <w:r w:rsidRPr="008E7494">
        <w:t>During the year the Commission has continued refining its strategies and processes to ensure its operations are effective and the strategic direction is maintained. The following policies and guidelines were revised to ensure efficiencies of process:</w:t>
      </w:r>
    </w:p>
    <w:p w14:paraId="10C75B3E" w14:textId="77777777" w:rsidR="0060361C" w:rsidRPr="008E7494" w:rsidRDefault="0060361C" w:rsidP="0060361C">
      <w:pPr>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843"/>
      </w:tblGrid>
      <w:tr w:rsidR="0060361C" w:rsidRPr="008E7494" w14:paraId="21E7A150" w14:textId="77777777" w:rsidTr="00066DE4">
        <w:tc>
          <w:tcPr>
            <w:tcW w:w="6521" w:type="dxa"/>
            <w:shd w:val="clear" w:color="auto" w:fill="auto"/>
          </w:tcPr>
          <w:p w14:paraId="4B0407E7" w14:textId="77777777" w:rsidR="0060361C" w:rsidRPr="008E7494" w:rsidRDefault="0060361C" w:rsidP="00066DE4">
            <w:pPr>
              <w:rPr>
                <w:b/>
              </w:rPr>
            </w:pPr>
            <w:r w:rsidRPr="008E7494">
              <w:rPr>
                <w:b/>
              </w:rPr>
              <w:t>Policy</w:t>
            </w:r>
          </w:p>
        </w:tc>
        <w:tc>
          <w:tcPr>
            <w:tcW w:w="1843" w:type="dxa"/>
            <w:shd w:val="clear" w:color="auto" w:fill="auto"/>
          </w:tcPr>
          <w:p w14:paraId="74B01377" w14:textId="77777777" w:rsidR="0060361C" w:rsidRPr="008E7494" w:rsidRDefault="0060361C" w:rsidP="00066DE4">
            <w:pPr>
              <w:rPr>
                <w:b/>
              </w:rPr>
            </w:pPr>
            <w:r w:rsidRPr="008E7494">
              <w:rPr>
                <w:b/>
              </w:rPr>
              <w:t>Revision Date</w:t>
            </w:r>
          </w:p>
        </w:tc>
      </w:tr>
      <w:tr w:rsidR="0060361C" w:rsidRPr="008E7494" w14:paraId="52C4A242" w14:textId="77777777" w:rsidTr="00066DE4">
        <w:tc>
          <w:tcPr>
            <w:tcW w:w="6521" w:type="dxa"/>
            <w:shd w:val="clear" w:color="auto" w:fill="auto"/>
          </w:tcPr>
          <w:p w14:paraId="4E242EE3" w14:textId="77777777" w:rsidR="0060361C" w:rsidRPr="008E7494" w:rsidRDefault="0060361C" w:rsidP="00066DE4">
            <w:r>
              <w:t>Travel Policy</w:t>
            </w:r>
          </w:p>
        </w:tc>
        <w:tc>
          <w:tcPr>
            <w:tcW w:w="1843" w:type="dxa"/>
            <w:shd w:val="clear" w:color="auto" w:fill="auto"/>
          </w:tcPr>
          <w:p w14:paraId="5D27967A" w14:textId="77777777" w:rsidR="0060361C" w:rsidRPr="008E7494" w:rsidRDefault="0060361C" w:rsidP="00066DE4">
            <w:r>
              <w:t>July</w:t>
            </w:r>
            <w:r w:rsidRPr="008E7494">
              <w:t xml:space="preserve"> 201</w:t>
            </w:r>
            <w:r>
              <w:t>8</w:t>
            </w:r>
          </w:p>
        </w:tc>
      </w:tr>
      <w:tr w:rsidR="0060361C" w:rsidRPr="008E7494" w14:paraId="5B482A14" w14:textId="77777777" w:rsidTr="00066DE4">
        <w:tc>
          <w:tcPr>
            <w:tcW w:w="6521" w:type="dxa"/>
            <w:shd w:val="clear" w:color="auto" w:fill="auto"/>
          </w:tcPr>
          <w:p w14:paraId="5C9192F2" w14:textId="77777777" w:rsidR="0060361C" w:rsidRDefault="0060361C" w:rsidP="00066DE4">
            <w:r>
              <w:t>Complaints Involving Corrupt Conduct by the FRC Commissioner</w:t>
            </w:r>
          </w:p>
        </w:tc>
        <w:tc>
          <w:tcPr>
            <w:tcW w:w="1843" w:type="dxa"/>
            <w:shd w:val="clear" w:color="auto" w:fill="auto"/>
          </w:tcPr>
          <w:p w14:paraId="57BF2701" w14:textId="77777777" w:rsidR="0060361C" w:rsidRDefault="0060361C" w:rsidP="00066DE4">
            <w:r>
              <w:t>August 2018</w:t>
            </w:r>
          </w:p>
        </w:tc>
      </w:tr>
      <w:tr w:rsidR="0060361C" w:rsidRPr="008E7494" w14:paraId="5ABA00B9" w14:textId="77777777" w:rsidTr="00066DE4">
        <w:tc>
          <w:tcPr>
            <w:tcW w:w="6521" w:type="dxa"/>
            <w:shd w:val="clear" w:color="auto" w:fill="auto"/>
          </w:tcPr>
          <w:p w14:paraId="7A831D80" w14:textId="77777777" w:rsidR="0060361C" w:rsidRDefault="0060361C" w:rsidP="00066DE4">
            <w:r>
              <w:t>Open Data Strategy</w:t>
            </w:r>
          </w:p>
        </w:tc>
        <w:tc>
          <w:tcPr>
            <w:tcW w:w="1843" w:type="dxa"/>
            <w:shd w:val="clear" w:color="auto" w:fill="auto"/>
          </w:tcPr>
          <w:p w14:paraId="130FA858" w14:textId="77777777" w:rsidR="0060361C" w:rsidRDefault="0060361C" w:rsidP="00066DE4">
            <w:r>
              <w:t>August 2018</w:t>
            </w:r>
          </w:p>
        </w:tc>
      </w:tr>
      <w:tr w:rsidR="0060361C" w:rsidRPr="008E7494" w14:paraId="6B5EDE69" w14:textId="77777777" w:rsidTr="00066DE4">
        <w:tc>
          <w:tcPr>
            <w:tcW w:w="6521" w:type="dxa"/>
            <w:shd w:val="clear" w:color="auto" w:fill="auto"/>
          </w:tcPr>
          <w:p w14:paraId="2CBAA15C" w14:textId="77777777" w:rsidR="0060361C" w:rsidRPr="008E7494" w:rsidRDefault="0060361C" w:rsidP="00066DE4">
            <w:r>
              <w:t>Business Continuity Plan</w:t>
            </w:r>
          </w:p>
        </w:tc>
        <w:tc>
          <w:tcPr>
            <w:tcW w:w="1843" w:type="dxa"/>
            <w:shd w:val="clear" w:color="auto" w:fill="auto"/>
          </w:tcPr>
          <w:p w14:paraId="0ECD0C55" w14:textId="77777777" w:rsidR="0060361C" w:rsidRPr="008E7494" w:rsidRDefault="0060361C" w:rsidP="00066DE4">
            <w:r>
              <w:t>September</w:t>
            </w:r>
            <w:r w:rsidRPr="008E7494">
              <w:t xml:space="preserve"> 201</w:t>
            </w:r>
            <w:r>
              <w:t>8</w:t>
            </w:r>
          </w:p>
        </w:tc>
      </w:tr>
      <w:tr w:rsidR="0060361C" w:rsidRPr="008E7494" w14:paraId="4C89B21D" w14:textId="77777777" w:rsidTr="00066DE4">
        <w:tc>
          <w:tcPr>
            <w:tcW w:w="6521" w:type="dxa"/>
            <w:shd w:val="clear" w:color="auto" w:fill="auto"/>
          </w:tcPr>
          <w:p w14:paraId="31875190" w14:textId="77777777" w:rsidR="0060361C" w:rsidRDefault="0060361C" w:rsidP="00066DE4">
            <w:r>
              <w:t>Guidelines for Travelling and Hours of Work</w:t>
            </w:r>
          </w:p>
        </w:tc>
        <w:tc>
          <w:tcPr>
            <w:tcW w:w="1843" w:type="dxa"/>
            <w:shd w:val="clear" w:color="auto" w:fill="auto"/>
          </w:tcPr>
          <w:p w14:paraId="2F50DF0D" w14:textId="77777777" w:rsidR="0060361C" w:rsidRDefault="0060361C" w:rsidP="00066DE4">
            <w:r>
              <w:t>November 2018</w:t>
            </w:r>
          </w:p>
        </w:tc>
      </w:tr>
      <w:tr w:rsidR="0060361C" w:rsidRPr="008E7494" w14:paraId="428FA9BA" w14:textId="77777777" w:rsidTr="00066DE4">
        <w:tc>
          <w:tcPr>
            <w:tcW w:w="6521" w:type="dxa"/>
            <w:shd w:val="clear" w:color="auto" w:fill="auto"/>
          </w:tcPr>
          <w:p w14:paraId="5982EBCF" w14:textId="77777777" w:rsidR="0060361C" w:rsidRDefault="0060361C" w:rsidP="00066DE4">
            <w:r>
              <w:t>Privacy Policy</w:t>
            </w:r>
          </w:p>
        </w:tc>
        <w:tc>
          <w:tcPr>
            <w:tcW w:w="1843" w:type="dxa"/>
            <w:shd w:val="clear" w:color="auto" w:fill="auto"/>
          </w:tcPr>
          <w:p w14:paraId="0E9D45E9" w14:textId="77777777" w:rsidR="0060361C" w:rsidRDefault="0060361C" w:rsidP="00066DE4">
            <w:r>
              <w:t>December 2018</w:t>
            </w:r>
          </w:p>
        </w:tc>
      </w:tr>
      <w:tr w:rsidR="0060361C" w:rsidRPr="008E7494" w14:paraId="40E2509B" w14:textId="77777777" w:rsidTr="00066DE4">
        <w:tc>
          <w:tcPr>
            <w:tcW w:w="6521" w:type="dxa"/>
            <w:shd w:val="clear" w:color="auto" w:fill="auto"/>
          </w:tcPr>
          <w:p w14:paraId="1C6F133F" w14:textId="77777777" w:rsidR="0060361C" w:rsidRPr="008E7494" w:rsidRDefault="0060361C" w:rsidP="00066DE4">
            <w:r>
              <w:t>Domestic Violence and the Workplace</w:t>
            </w:r>
          </w:p>
        </w:tc>
        <w:tc>
          <w:tcPr>
            <w:tcW w:w="1843" w:type="dxa"/>
            <w:shd w:val="clear" w:color="auto" w:fill="auto"/>
          </w:tcPr>
          <w:p w14:paraId="6C422715" w14:textId="77777777" w:rsidR="0060361C" w:rsidRPr="008E7494" w:rsidRDefault="0060361C" w:rsidP="00066DE4">
            <w:r>
              <w:t>January 2019</w:t>
            </w:r>
          </w:p>
        </w:tc>
      </w:tr>
      <w:tr w:rsidR="0060361C" w:rsidRPr="008E7494" w14:paraId="7B694726" w14:textId="77777777" w:rsidTr="00066DE4">
        <w:tc>
          <w:tcPr>
            <w:tcW w:w="6521" w:type="dxa"/>
            <w:shd w:val="clear" w:color="auto" w:fill="auto"/>
          </w:tcPr>
          <w:p w14:paraId="453B2D70" w14:textId="77777777" w:rsidR="0060361C" w:rsidRDefault="0060361C" w:rsidP="00066DE4">
            <w:r>
              <w:t>Public Interest Disclosure Policy</w:t>
            </w:r>
          </w:p>
        </w:tc>
        <w:tc>
          <w:tcPr>
            <w:tcW w:w="1843" w:type="dxa"/>
            <w:shd w:val="clear" w:color="auto" w:fill="auto"/>
          </w:tcPr>
          <w:p w14:paraId="0A4B0772" w14:textId="77777777" w:rsidR="0060361C" w:rsidRDefault="0060361C" w:rsidP="00066DE4">
            <w:r>
              <w:t>February 2019</w:t>
            </w:r>
          </w:p>
        </w:tc>
      </w:tr>
      <w:tr w:rsidR="0060361C" w:rsidRPr="008E7494" w14:paraId="2D04BC96" w14:textId="77777777" w:rsidTr="00066DE4">
        <w:tc>
          <w:tcPr>
            <w:tcW w:w="6521" w:type="dxa"/>
            <w:shd w:val="clear" w:color="auto" w:fill="auto"/>
          </w:tcPr>
          <w:p w14:paraId="10DB797D" w14:textId="77777777" w:rsidR="0060361C" w:rsidRDefault="0060361C" w:rsidP="00066DE4">
            <w:r>
              <w:t>Financial Delegation Guidelines</w:t>
            </w:r>
          </w:p>
        </w:tc>
        <w:tc>
          <w:tcPr>
            <w:tcW w:w="1843" w:type="dxa"/>
            <w:shd w:val="clear" w:color="auto" w:fill="auto"/>
          </w:tcPr>
          <w:p w14:paraId="4ED06D7A" w14:textId="77777777" w:rsidR="0060361C" w:rsidRDefault="0060361C" w:rsidP="00066DE4">
            <w:r>
              <w:t>June 2019</w:t>
            </w:r>
          </w:p>
        </w:tc>
      </w:tr>
    </w:tbl>
    <w:p w14:paraId="29C3831C" w14:textId="77777777" w:rsidR="0060361C" w:rsidRPr="008E7494" w:rsidRDefault="0060361C" w:rsidP="0060361C"/>
    <w:p w14:paraId="4C89A0FD" w14:textId="77777777" w:rsidR="0058401A" w:rsidRDefault="0058401A">
      <w:pPr>
        <w:spacing w:after="160" w:line="259" w:lineRule="auto"/>
      </w:pPr>
      <w:r>
        <w:br w:type="page"/>
      </w:r>
    </w:p>
    <w:p w14:paraId="56F1DF41" w14:textId="77777777" w:rsidR="0060361C" w:rsidRPr="008E7494" w:rsidRDefault="0060361C" w:rsidP="0060361C">
      <w:r w:rsidRPr="008E7494">
        <w:lastRenderedPageBreak/>
        <w:t>Commission policies are required to be read and understood as part of the Commission induction process and a register must be signed acknowledging an understanding of the policies. The Commission complies with the following legislative requirements in performing its functions:</w:t>
      </w:r>
    </w:p>
    <w:p w14:paraId="180E962F" w14:textId="77777777" w:rsidR="0060361C" w:rsidRPr="008E7494" w:rsidRDefault="0060361C" w:rsidP="0060361C">
      <w:pPr>
        <w:pStyle w:val="ListBullet2"/>
        <w:rPr>
          <w:i/>
        </w:rPr>
      </w:pPr>
      <w:r w:rsidRPr="008E7494">
        <w:rPr>
          <w:i/>
        </w:rPr>
        <w:t>Family Responsibilities Commission Act 2008</w:t>
      </w:r>
    </w:p>
    <w:p w14:paraId="02A44D30" w14:textId="77777777" w:rsidR="0060361C" w:rsidRPr="008E7494" w:rsidRDefault="0060361C" w:rsidP="0060361C">
      <w:pPr>
        <w:pStyle w:val="ListBullet2"/>
        <w:rPr>
          <w:i/>
        </w:rPr>
      </w:pPr>
      <w:r w:rsidRPr="008E7494">
        <w:rPr>
          <w:i/>
        </w:rPr>
        <w:t>Anti-Discrimination Act 1991</w:t>
      </w:r>
    </w:p>
    <w:p w14:paraId="7431E22E" w14:textId="77777777" w:rsidR="0060361C" w:rsidRPr="008E7494" w:rsidRDefault="0060361C" w:rsidP="0060361C">
      <w:pPr>
        <w:pStyle w:val="ListBullet2"/>
        <w:rPr>
          <w:i/>
        </w:rPr>
      </w:pPr>
      <w:r w:rsidRPr="008E7494">
        <w:rPr>
          <w:i/>
        </w:rPr>
        <w:t>Domestic and Family Violence Protection Act 2012</w:t>
      </w:r>
    </w:p>
    <w:p w14:paraId="38BF0450" w14:textId="77777777" w:rsidR="0060361C" w:rsidRPr="008E7494" w:rsidRDefault="0060361C" w:rsidP="0060361C">
      <w:pPr>
        <w:pStyle w:val="ListBullet2"/>
        <w:rPr>
          <w:i/>
        </w:rPr>
      </w:pPr>
      <w:r w:rsidRPr="008E7494">
        <w:rPr>
          <w:i/>
        </w:rPr>
        <w:t>Financial Accountability Act 2009</w:t>
      </w:r>
    </w:p>
    <w:p w14:paraId="13153660" w14:textId="77777777" w:rsidR="0060361C" w:rsidRPr="008E7494" w:rsidRDefault="0060361C" w:rsidP="0060361C">
      <w:pPr>
        <w:pStyle w:val="ListBullet2"/>
        <w:rPr>
          <w:i/>
        </w:rPr>
      </w:pPr>
      <w:r w:rsidRPr="008E7494">
        <w:rPr>
          <w:i/>
        </w:rPr>
        <w:t>Financial Arrangements Act 1982</w:t>
      </w:r>
    </w:p>
    <w:p w14:paraId="2FD3B507" w14:textId="77777777" w:rsidR="0060361C" w:rsidRPr="008E7494" w:rsidRDefault="0060361C" w:rsidP="0060361C">
      <w:pPr>
        <w:pStyle w:val="ListBullet2"/>
        <w:rPr>
          <w:i/>
        </w:rPr>
      </w:pPr>
      <w:r w:rsidRPr="008E7494">
        <w:rPr>
          <w:i/>
        </w:rPr>
        <w:t>Information Privacy Act 2009</w:t>
      </w:r>
    </w:p>
    <w:p w14:paraId="67D49133" w14:textId="77777777" w:rsidR="0060361C" w:rsidRPr="008E7494" w:rsidRDefault="0060361C" w:rsidP="0060361C">
      <w:pPr>
        <w:pStyle w:val="ListBullet2"/>
        <w:rPr>
          <w:i/>
        </w:rPr>
      </w:pPr>
      <w:r w:rsidRPr="008E7494">
        <w:rPr>
          <w:i/>
        </w:rPr>
        <w:t>Public Interest Disclosure Act 2010</w:t>
      </w:r>
    </w:p>
    <w:p w14:paraId="60D3528D" w14:textId="77777777" w:rsidR="0060361C" w:rsidRPr="008E7494" w:rsidRDefault="0060361C" w:rsidP="0060361C">
      <w:pPr>
        <w:pStyle w:val="ListBullet2"/>
        <w:rPr>
          <w:i/>
        </w:rPr>
      </w:pPr>
      <w:r w:rsidRPr="008E7494">
        <w:rPr>
          <w:i/>
        </w:rPr>
        <w:t>Public Records Act 2002</w:t>
      </w:r>
    </w:p>
    <w:p w14:paraId="2612E32F" w14:textId="77777777" w:rsidR="0060361C" w:rsidRPr="008E7494" w:rsidRDefault="0060361C" w:rsidP="0060361C">
      <w:pPr>
        <w:pStyle w:val="ListBullet2"/>
        <w:rPr>
          <w:i/>
        </w:rPr>
      </w:pPr>
      <w:r w:rsidRPr="008E7494">
        <w:rPr>
          <w:i/>
        </w:rPr>
        <w:t>Public Service Act 2008</w:t>
      </w:r>
    </w:p>
    <w:p w14:paraId="3DA2547F" w14:textId="77777777" w:rsidR="0060361C" w:rsidRPr="008E7494" w:rsidRDefault="0060361C" w:rsidP="0060361C">
      <w:pPr>
        <w:pStyle w:val="ListBullet2"/>
        <w:rPr>
          <w:i/>
        </w:rPr>
      </w:pPr>
      <w:r w:rsidRPr="008E7494">
        <w:rPr>
          <w:i/>
        </w:rPr>
        <w:t>Public Sector Ethics Act 1994</w:t>
      </w:r>
    </w:p>
    <w:p w14:paraId="17905E7C" w14:textId="77777777" w:rsidR="0060361C" w:rsidRPr="008E7494" w:rsidRDefault="0060361C" w:rsidP="0060361C">
      <w:pPr>
        <w:pStyle w:val="ListBullet2"/>
        <w:rPr>
          <w:i/>
        </w:rPr>
      </w:pPr>
      <w:r w:rsidRPr="008E7494">
        <w:rPr>
          <w:i/>
        </w:rPr>
        <w:t>Right to Information Act 2009</w:t>
      </w:r>
    </w:p>
    <w:p w14:paraId="1885866D" w14:textId="77777777" w:rsidR="0060361C" w:rsidRPr="008E7494" w:rsidRDefault="0060361C" w:rsidP="0060361C">
      <w:pPr>
        <w:pStyle w:val="ListBullet2"/>
        <w:rPr>
          <w:i/>
        </w:rPr>
      </w:pPr>
      <w:r w:rsidRPr="008E7494">
        <w:rPr>
          <w:i/>
        </w:rPr>
        <w:t>Victims of Crime Assistance Act 2009</w:t>
      </w:r>
    </w:p>
    <w:p w14:paraId="5582D318" w14:textId="77777777" w:rsidR="0060361C" w:rsidRPr="008E7494" w:rsidRDefault="0060361C" w:rsidP="0060361C">
      <w:pPr>
        <w:pStyle w:val="ListBullet2"/>
        <w:rPr>
          <w:i/>
        </w:rPr>
      </w:pPr>
      <w:r w:rsidRPr="008E7494">
        <w:rPr>
          <w:i/>
        </w:rPr>
        <w:t>Work Health and Safety Act 2011</w:t>
      </w:r>
    </w:p>
    <w:p w14:paraId="16E93536" w14:textId="77777777" w:rsidR="0060361C" w:rsidRPr="008E7494" w:rsidRDefault="0060361C" w:rsidP="0060361C">
      <w:pPr>
        <w:pStyle w:val="ListBullet2"/>
        <w:rPr>
          <w:i/>
        </w:rPr>
      </w:pPr>
      <w:r w:rsidRPr="008E7494">
        <w:rPr>
          <w:i/>
        </w:rPr>
        <w:t>Work Health and Safety Regulation 2011.</w:t>
      </w:r>
    </w:p>
    <w:p w14:paraId="0BAB04E7" w14:textId="77777777" w:rsidR="0060361C" w:rsidRPr="00C67902" w:rsidRDefault="0060361C" w:rsidP="00C67902">
      <w:pPr>
        <w:pStyle w:val="Heading3"/>
      </w:pPr>
      <w:r w:rsidRPr="00C67902">
        <w:t>Publication of information online</w:t>
      </w:r>
    </w:p>
    <w:p w14:paraId="3AE7D2CE" w14:textId="109B0053" w:rsidR="0060361C" w:rsidRPr="008E7494" w:rsidRDefault="0060361C" w:rsidP="0060361C">
      <w:r w:rsidRPr="008E7494">
        <w:t>For information regarding</w:t>
      </w:r>
      <w:r w:rsidR="00D452A4">
        <w:t xml:space="preserve"> right to information and information privacy refer to the Right to Information section on the Commission website</w:t>
      </w:r>
      <w:r w:rsidR="00A33BB2">
        <w:t>.</w:t>
      </w:r>
      <w:r w:rsidR="00D452A4">
        <w:t xml:space="preserve"> </w:t>
      </w:r>
      <w:r w:rsidR="00A33BB2">
        <w:t>F</w:t>
      </w:r>
      <w:r w:rsidR="00D452A4">
        <w:t>or</w:t>
      </w:r>
      <w:r w:rsidRPr="008E7494">
        <w:t xml:space="preserve"> consultancies, </w:t>
      </w:r>
      <w:r w:rsidR="00004F4A">
        <w:t>overseas</w:t>
      </w:r>
      <w:r w:rsidR="00004F4A" w:rsidRPr="008E7494">
        <w:t xml:space="preserve"> </w:t>
      </w:r>
      <w:r w:rsidRPr="008E7494">
        <w:t xml:space="preserve">travel, </w:t>
      </w:r>
      <w:r>
        <w:t>Indigenous matters</w:t>
      </w:r>
      <w:r w:rsidR="00D452A4">
        <w:t xml:space="preserve"> </w:t>
      </w:r>
      <w:r>
        <w:t>and</w:t>
      </w:r>
      <w:r w:rsidRPr="008E7494">
        <w:t xml:space="preserve"> complaints management, refer to the Additional </w:t>
      </w:r>
      <w:r>
        <w:t>P</w:t>
      </w:r>
      <w:r w:rsidRPr="008E7494">
        <w:t xml:space="preserve">ublished </w:t>
      </w:r>
      <w:r>
        <w:t>I</w:t>
      </w:r>
      <w:r w:rsidRPr="008E7494">
        <w:t xml:space="preserve">nformation under Right to Information on the Commission’s website at </w:t>
      </w:r>
      <w:hyperlink r:id="rId76" w:history="1">
        <w:r w:rsidRPr="00FA1EBB">
          <w:rPr>
            <w:rStyle w:val="Hyperlink"/>
          </w:rPr>
          <w:t>https://www.frcq.org.au</w:t>
        </w:r>
      </w:hyperlink>
      <w:r w:rsidRPr="008E7494">
        <w:t xml:space="preserve"> and the Queensland Government Open Data website at </w:t>
      </w:r>
      <w:hyperlink r:id="rId77" w:history="1">
        <w:r w:rsidRPr="008E7494">
          <w:rPr>
            <w:rStyle w:val="Hyperlink"/>
          </w:rPr>
          <w:t>https://data.qld.gov.au</w:t>
        </w:r>
      </w:hyperlink>
      <w:r w:rsidRPr="008E7494">
        <w:t>.</w:t>
      </w:r>
    </w:p>
    <w:p w14:paraId="6A8F0E36" w14:textId="77777777" w:rsidR="0060361C" w:rsidRPr="00C67902" w:rsidRDefault="0060361C" w:rsidP="00C67902">
      <w:pPr>
        <w:pStyle w:val="Heading3"/>
      </w:pPr>
      <w:r w:rsidRPr="00C67902">
        <w:t>Publications by the Commission during 2018-19</w:t>
      </w:r>
    </w:p>
    <w:p w14:paraId="0D21249B" w14:textId="77777777" w:rsidR="0060361C" w:rsidRPr="008E7494" w:rsidRDefault="0060361C" w:rsidP="0060361C">
      <w:pPr>
        <w:pStyle w:val="ListNumber2"/>
      </w:pPr>
      <w:r w:rsidRPr="008E7494">
        <w:t>Annual Report 201</w:t>
      </w:r>
      <w:r>
        <w:t>7</w:t>
      </w:r>
      <w:r w:rsidRPr="008E7494">
        <w:t>-201</w:t>
      </w:r>
      <w:r>
        <w:t>8</w:t>
      </w:r>
    </w:p>
    <w:p w14:paraId="4B8612DE" w14:textId="77777777" w:rsidR="0060361C" w:rsidRPr="008E7494" w:rsidRDefault="0060361C" w:rsidP="0060361C">
      <w:pPr>
        <w:pStyle w:val="ListNumber2"/>
      </w:pPr>
      <w:r w:rsidRPr="008E7494">
        <w:t xml:space="preserve">Quarterly Report </w:t>
      </w:r>
      <w:r>
        <w:t>40</w:t>
      </w:r>
      <w:r w:rsidRPr="008E7494">
        <w:t xml:space="preserve"> (April to June 201</w:t>
      </w:r>
      <w:r>
        <w:t>8</w:t>
      </w:r>
      <w:r w:rsidRPr="008E7494">
        <w:t>)</w:t>
      </w:r>
    </w:p>
    <w:p w14:paraId="718EB034" w14:textId="77777777" w:rsidR="0060361C" w:rsidRPr="008E7494" w:rsidRDefault="0060361C" w:rsidP="0060361C">
      <w:pPr>
        <w:pStyle w:val="ListNumber2"/>
      </w:pPr>
      <w:r w:rsidRPr="008E7494">
        <w:t xml:space="preserve">Quarterly Report </w:t>
      </w:r>
      <w:r>
        <w:t>41</w:t>
      </w:r>
      <w:r w:rsidRPr="008E7494">
        <w:t xml:space="preserve"> (July to September 201</w:t>
      </w:r>
      <w:r>
        <w:t>8</w:t>
      </w:r>
      <w:r w:rsidRPr="008E7494">
        <w:t>)</w:t>
      </w:r>
    </w:p>
    <w:p w14:paraId="0A0AA7C4" w14:textId="77777777" w:rsidR="0060361C" w:rsidRPr="008E7494" w:rsidRDefault="0060361C" w:rsidP="0060361C">
      <w:pPr>
        <w:pStyle w:val="ListNumber2"/>
      </w:pPr>
      <w:r w:rsidRPr="008E7494">
        <w:t xml:space="preserve">Quarterly Report </w:t>
      </w:r>
      <w:r>
        <w:t>42</w:t>
      </w:r>
      <w:r w:rsidRPr="008E7494">
        <w:t xml:space="preserve"> (October to December 201</w:t>
      </w:r>
      <w:r>
        <w:t>8</w:t>
      </w:r>
      <w:r w:rsidRPr="008E7494">
        <w:t>)</w:t>
      </w:r>
    </w:p>
    <w:p w14:paraId="55D2BAD5" w14:textId="77777777" w:rsidR="0060361C" w:rsidRPr="008E7494" w:rsidRDefault="0060361C" w:rsidP="0060361C">
      <w:pPr>
        <w:pStyle w:val="ListNumber2"/>
      </w:pPr>
      <w:r w:rsidRPr="008E7494">
        <w:t xml:space="preserve">Quarterly Report </w:t>
      </w:r>
      <w:r>
        <w:t>43</w:t>
      </w:r>
      <w:r w:rsidRPr="008E7494">
        <w:t xml:space="preserve"> (January to March 201</w:t>
      </w:r>
      <w:r>
        <w:t>9</w:t>
      </w:r>
      <w:r w:rsidRPr="008E7494">
        <w:t>)</w:t>
      </w:r>
    </w:p>
    <w:p w14:paraId="105652CD" w14:textId="77777777" w:rsidR="0060361C" w:rsidRDefault="0060361C" w:rsidP="0060361C">
      <w:pPr>
        <w:rPr>
          <w:rStyle w:val="Hyperlink"/>
        </w:rPr>
      </w:pPr>
      <w:r w:rsidRPr="008E7494">
        <w:t xml:space="preserve">All publications are available on the Family Responsibilities Commission’s website: </w:t>
      </w:r>
      <w:r w:rsidRPr="008E7494">
        <w:br/>
      </w:r>
      <w:hyperlink r:id="rId78" w:history="1">
        <w:r w:rsidRPr="00FA1EBB">
          <w:rPr>
            <w:rStyle w:val="Hyperlink"/>
          </w:rPr>
          <w:t>https://www.frcq.org.au</w:t>
        </w:r>
      </w:hyperlink>
      <w:r w:rsidRPr="008E7494">
        <w:rPr>
          <w:rStyle w:val="Hyperlink"/>
        </w:rPr>
        <w:t>.</w:t>
      </w:r>
    </w:p>
    <w:p w14:paraId="382509EA" w14:textId="77777777" w:rsidR="005E3406" w:rsidRDefault="005E3406" w:rsidP="0060361C">
      <w:pPr>
        <w:rPr>
          <w:lang w:eastAsia="en-AU"/>
        </w:rPr>
        <w:sectPr w:rsidR="005E3406" w:rsidSect="00066DE4">
          <w:headerReference w:type="even" r:id="rId79"/>
          <w:headerReference w:type="default" r:id="rId80"/>
          <w:headerReference w:type="first" r:id="rId81"/>
          <w:footnotePr>
            <w:numRestart w:val="eachSect"/>
          </w:footnotePr>
          <w:pgSz w:w="11906" w:h="16838"/>
          <w:pgMar w:top="2948" w:right="1701" w:bottom="567" w:left="1701" w:header="0" w:footer="567" w:gutter="0"/>
          <w:cols w:space="708"/>
          <w:docGrid w:linePitch="360"/>
        </w:sectPr>
      </w:pPr>
    </w:p>
    <w:p w14:paraId="7FFA1997" w14:textId="0B821C14" w:rsidR="005E3406" w:rsidRPr="008E7494" w:rsidRDefault="005E3406" w:rsidP="00C67902">
      <w:pPr>
        <w:pStyle w:val="Heading2"/>
      </w:pPr>
      <w:r>
        <w:lastRenderedPageBreak/>
        <w:t xml:space="preserve">My </w:t>
      </w:r>
      <w:r w:rsidR="00201D64">
        <w:t>s</w:t>
      </w:r>
      <w:r>
        <w:t>tory</w:t>
      </w:r>
    </w:p>
    <w:p w14:paraId="38B4AFEA" w14:textId="77777777" w:rsidR="005E3406" w:rsidRDefault="005E3406" w:rsidP="005E3406">
      <w:r>
        <w:t xml:space="preserve">A client of the FRC has shared her recent experience of being on the </w:t>
      </w:r>
      <w:proofErr w:type="spellStart"/>
      <w:r>
        <w:t>BasicsCard</w:t>
      </w:r>
      <w:proofErr w:type="spellEnd"/>
      <w:r>
        <w:t xml:space="preserve"> and how it has helped her and her family to prioritise school attendance. </w:t>
      </w:r>
    </w:p>
    <w:p w14:paraId="06CD79CE" w14:textId="77777777" w:rsidR="005E3406" w:rsidRDefault="005E3406" w:rsidP="005E3406"/>
    <w:p w14:paraId="13C6867E" w14:textId="77777777" w:rsidR="005E3406" w:rsidRPr="009236FB" w:rsidRDefault="005E3406" w:rsidP="005E3406">
      <w:pPr>
        <w:rPr>
          <w:i/>
        </w:rPr>
      </w:pPr>
      <w:r w:rsidRPr="009236FB">
        <w:rPr>
          <w:i/>
        </w:rPr>
        <w:t xml:space="preserve">I was first called to meet with the Commissioners in 2014. That seems like a long time ago now. I have two boys attending primary school. Because their attendance at school was not good I was placed on the </w:t>
      </w:r>
      <w:proofErr w:type="spellStart"/>
      <w:r w:rsidRPr="009236FB">
        <w:rPr>
          <w:i/>
        </w:rPr>
        <w:t>BasicsCard</w:t>
      </w:r>
      <w:proofErr w:type="spellEnd"/>
      <w:r w:rsidRPr="009236FB">
        <w:rPr>
          <w:i/>
        </w:rPr>
        <w:t xml:space="preserve"> in both 2016 and 2017. It wasn’t really changing my behaviour. I did not feel I could control my boys, and I could not see why their attendance at school was so important – to me anyway. Eventually I began attending conference and speaking with the Local Commissioners. That was towards the end of 2018. It was my discussions with the Commissioners that started to make me think about schooling and whether I wanted my boys to have opportunities that I had never had. I started to think that maybe I was wrong.</w:t>
      </w:r>
    </w:p>
    <w:p w14:paraId="42223B28" w14:textId="77777777" w:rsidR="005E3406" w:rsidRPr="009236FB" w:rsidRDefault="005E3406" w:rsidP="005E3406">
      <w:pPr>
        <w:rPr>
          <w:i/>
        </w:rPr>
      </w:pPr>
      <w:r w:rsidRPr="009236FB">
        <w:rPr>
          <w:i/>
        </w:rPr>
        <w:t xml:space="preserve">So, my journey with the </w:t>
      </w:r>
      <w:proofErr w:type="spellStart"/>
      <w:r w:rsidRPr="009236FB">
        <w:rPr>
          <w:i/>
        </w:rPr>
        <w:t>BasicsCard</w:t>
      </w:r>
      <w:proofErr w:type="spellEnd"/>
      <w:r w:rsidRPr="009236FB">
        <w:rPr>
          <w:i/>
        </w:rPr>
        <w:t xml:space="preserve"> really commenced to change my life in early 2018. When I had not attended several conferences</w:t>
      </w:r>
      <w:r>
        <w:rPr>
          <w:i/>
        </w:rPr>
        <w:t>,</w:t>
      </w:r>
      <w:r w:rsidRPr="009236FB">
        <w:rPr>
          <w:i/>
        </w:rPr>
        <w:t xml:space="preserve"> I was placed on another Conditional Income Management order at 60 percent. The Commissioners then continued to meet with me and kept on saying my boys should be attending school regularly; that only attending school now and then would not benefit them for their future in any way, and boarding schools did not like to accept children unless their attendance was regular. They gave me some options for seeking additional support to get my boys to school.</w:t>
      </w:r>
    </w:p>
    <w:p w14:paraId="36444DE4" w14:textId="77777777" w:rsidR="005E3406" w:rsidRPr="009236FB" w:rsidRDefault="005E3406" w:rsidP="005E3406">
      <w:pPr>
        <w:rPr>
          <w:rFonts w:ascii="Calibri" w:hAnsi="Calibri"/>
          <w:i/>
        </w:rPr>
      </w:pPr>
      <w:r w:rsidRPr="009236FB">
        <w:rPr>
          <w:i/>
        </w:rPr>
        <w:t xml:space="preserve">In Term 1 of 2019, both of my boys only attended school less than half </w:t>
      </w:r>
      <w:r>
        <w:rPr>
          <w:i/>
        </w:rPr>
        <w:t xml:space="preserve">of </w:t>
      </w:r>
      <w:r w:rsidRPr="009236FB">
        <w:rPr>
          <w:i/>
        </w:rPr>
        <w:t xml:space="preserve">the time. Once </w:t>
      </w:r>
      <w:proofErr w:type="gramStart"/>
      <w:r w:rsidRPr="009236FB">
        <w:rPr>
          <w:i/>
        </w:rPr>
        <w:t>again</w:t>
      </w:r>
      <w:proofErr w:type="gramEnd"/>
      <w:r w:rsidRPr="009236FB">
        <w:rPr>
          <w:i/>
        </w:rPr>
        <w:t xml:space="preserve"> my Conditional Income Management order was renewed. This has not been an easy journey for me, but with the encouragement and support of the Local Commissioners, </w:t>
      </w:r>
      <w:proofErr w:type="gramStart"/>
      <w:r w:rsidRPr="009236FB">
        <w:rPr>
          <w:i/>
        </w:rPr>
        <w:t>and also</w:t>
      </w:r>
      <w:proofErr w:type="gramEnd"/>
      <w:r w:rsidRPr="009236FB">
        <w:rPr>
          <w:i/>
        </w:rPr>
        <w:t xml:space="preserve"> the Local Coordinator, both the boys started to attend school more regularly. The Commissioners showed me on a </w:t>
      </w:r>
      <w:r>
        <w:rPr>
          <w:i/>
        </w:rPr>
        <w:t xml:space="preserve">pie chart </w:t>
      </w:r>
      <w:r w:rsidRPr="009236FB">
        <w:rPr>
          <w:i/>
        </w:rPr>
        <w:t xml:space="preserve">that </w:t>
      </w:r>
      <w:r>
        <w:rPr>
          <w:i/>
        </w:rPr>
        <w:t xml:space="preserve">my children </w:t>
      </w:r>
      <w:r w:rsidRPr="009236FB">
        <w:rPr>
          <w:i/>
        </w:rPr>
        <w:t xml:space="preserve">had improved </w:t>
      </w:r>
      <w:r>
        <w:rPr>
          <w:i/>
        </w:rPr>
        <w:t xml:space="preserve">their attendance </w:t>
      </w:r>
      <w:r w:rsidRPr="009236FB">
        <w:rPr>
          <w:i/>
        </w:rPr>
        <w:t xml:space="preserve">to above 75 percent. </w:t>
      </w:r>
      <w:r>
        <w:rPr>
          <w:i/>
        </w:rPr>
        <w:t xml:space="preserve">For the first time I was seeing </w:t>
      </w:r>
      <w:proofErr w:type="gramStart"/>
      <w:r>
        <w:rPr>
          <w:i/>
        </w:rPr>
        <w:t>more green</w:t>
      </w:r>
      <w:proofErr w:type="gramEnd"/>
      <w:r>
        <w:rPr>
          <w:i/>
        </w:rPr>
        <w:t xml:space="preserve"> for attending school than red for not attending. </w:t>
      </w:r>
      <w:r w:rsidRPr="009236FB">
        <w:rPr>
          <w:i/>
        </w:rPr>
        <w:t xml:space="preserve">My eldest boy even brought home awards for achieving 100 per cent school attendance for </w:t>
      </w:r>
      <w:proofErr w:type="gramStart"/>
      <w:r w:rsidRPr="009236FB">
        <w:rPr>
          <w:i/>
        </w:rPr>
        <w:t>a number of</w:t>
      </w:r>
      <w:proofErr w:type="gramEnd"/>
      <w:r w:rsidRPr="009236FB">
        <w:rPr>
          <w:i/>
        </w:rPr>
        <w:t xml:space="preserve"> weeks in Term 2. I was surprised and felt good that this improvement was not only </w:t>
      </w:r>
      <w:proofErr w:type="gramStart"/>
      <w:r w:rsidRPr="009236FB">
        <w:rPr>
          <w:i/>
        </w:rPr>
        <w:t>acknowledged, but</w:t>
      </w:r>
      <w:proofErr w:type="gramEnd"/>
      <w:r w:rsidRPr="009236FB">
        <w:rPr>
          <w:i/>
        </w:rPr>
        <w:t xml:space="preserve"> was celebrated. The Commissioners and school were happy for me, and happy for my boys. That made me happy as well.</w:t>
      </w:r>
    </w:p>
    <w:p w14:paraId="756CEDEE" w14:textId="77777777" w:rsidR="005E3406" w:rsidRPr="009236FB" w:rsidRDefault="005E3406" w:rsidP="005E3406">
      <w:pPr>
        <w:rPr>
          <w:i/>
        </w:rPr>
      </w:pPr>
      <w:r w:rsidRPr="009236FB">
        <w:rPr>
          <w:i/>
        </w:rPr>
        <w:t xml:space="preserve">My eldest son has represented the school at </w:t>
      </w:r>
      <w:proofErr w:type="gramStart"/>
      <w:r w:rsidRPr="009236FB">
        <w:rPr>
          <w:i/>
        </w:rPr>
        <w:t>a number of</w:t>
      </w:r>
      <w:proofErr w:type="gramEnd"/>
      <w:r w:rsidRPr="009236FB">
        <w:rPr>
          <w:i/>
        </w:rPr>
        <w:t xml:space="preserve"> athletics carnivals. He is a very good runner and enjoys the competition of carnivals. He first ran in the interschool carnival, and then because he has a natural talent, he was selected for the district finals. I am proud to say that he has now won a spot to compete at the State athletics carnival in Brisbane. A condition of </w:t>
      </w:r>
      <w:r>
        <w:rPr>
          <w:i/>
        </w:rPr>
        <w:t>entry</w:t>
      </w:r>
      <w:r w:rsidRPr="009236FB">
        <w:rPr>
          <w:i/>
        </w:rPr>
        <w:t xml:space="preserve"> in the State athletics carnival is good school attendance, and my son would not have achieved this great opportunity had he been excluded because of his attendance record.</w:t>
      </w:r>
    </w:p>
    <w:p w14:paraId="6EF0B5F3" w14:textId="77777777" w:rsidR="005E3406" w:rsidRDefault="005E3406" w:rsidP="005E3406">
      <w:r w:rsidRPr="009236FB">
        <w:rPr>
          <w:i/>
        </w:rPr>
        <w:t xml:space="preserve">I am happy my children are attending school more regularly, and they appear happier too. It is not </w:t>
      </w:r>
      <w:r>
        <w:rPr>
          <w:i/>
        </w:rPr>
        <w:t>so hard</w:t>
      </w:r>
      <w:r w:rsidRPr="009236FB">
        <w:rPr>
          <w:i/>
        </w:rPr>
        <w:t xml:space="preserve"> to go to school when there has not been a big gap in-between and you feel you can keep up with the rest of the students. I have also told the Commissioners that the </w:t>
      </w:r>
      <w:proofErr w:type="spellStart"/>
      <w:r w:rsidRPr="009236FB">
        <w:rPr>
          <w:i/>
        </w:rPr>
        <w:t>BasicsCard</w:t>
      </w:r>
      <w:proofErr w:type="spellEnd"/>
      <w:r w:rsidRPr="009236FB">
        <w:rPr>
          <w:i/>
        </w:rPr>
        <w:t xml:space="preserve"> has helped me to keep a good supply of food in the cupboard. This is important, especially for my son who is competing in carnivals. He is hungry all the time. I feel I owe the Commissioners so much for continuing to support me since 2014, and not walking away from my family.</w:t>
      </w:r>
      <w:r>
        <w:rPr>
          <w:i/>
        </w:rPr>
        <w:t xml:space="preserve"> I feel proud to say that as a family we are winners now.</w:t>
      </w:r>
    </w:p>
    <w:p w14:paraId="23811A19" w14:textId="77777777" w:rsidR="005E3406" w:rsidRDefault="005E3406" w:rsidP="005E3406">
      <w:pPr>
        <w:rPr>
          <w:rFonts w:cs="Arial"/>
          <w:szCs w:val="20"/>
          <w:lang w:val="en-US" w:eastAsia="en-AU"/>
        </w:rPr>
      </w:pPr>
    </w:p>
    <w:p w14:paraId="1D1BDA25" w14:textId="77777777" w:rsidR="005E3406" w:rsidRDefault="005E3406" w:rsidP="0060361C">
      <w:pPr>
        <w:rPr>
          <w:lang w:eastAsia="en-AU"/>
        </w:rPr>
      </w:pPr>
    </w:p>
    <w:p w14:paraId="5AB338A5" w14:textId="315175AA" w:rsidR="005E3406" w:rsidRDefault="005E3406" w:rsidP="0060361C">
      <w:pPr>
        <w:rPr>
          <w:lang w:eastAsia="en-AU"/>
        </w:rPr>
        <w:sectPr w:rsidR="005E3406" w:rsidSect="00066DE4">
          <w:headerReference w:type="default" r:id="rId82"/>
          <w:footnotePr>
            <w:numRestart w:val="eachSect"/>
          </w:footnotePr>
          <w:pgSz w:w="11906" w:h="16838"/>
          <w:pgMar w:top="2948" w:right="1701" w:bottom="567" w:left="1701" w:header="0" w:footer="567" w:gutter="0"/>
          <w:cols w:space="708"/>
          <w:docGrid w:linePitch="360"/>
        </w:sectPr>
      </w:pPr>
    </w:p>
    <w:p w14:paraId="2890F84C" w14:textId="77777777" w:rsidR="00B331D4" w:rsidRPr="008E7494" w:rsidRDefault="00B331D4" w:rsidP="00B331D4">
      <w:pPr>
        <w:spacing w:after="0" w:line="240" w:lineRule="auto"/>
        <w:rPr>
          <w:b/>
          <w:sz w:val="36"/>
          <w:szCs w:val="36"/>
        </w:rPr>
      </w:pPr>
    </w:p>
    <w:p w14:paraId="5C9233BB" w14:textId="77777777" w:rsidR="00B331D4" w:rsidRPr="008E7494" w:rsidRDefault="00B331D4" w:rsidP="00B331D4">
      <w:pPr>
        <w:spacing w:after="0" w:line="240" w:lineRule="auto"/>
        <w:rPr>
          <w:b/>
          <w:sz w:val="36"/>
          <w:szCs w:val="36"/>
        </w:rPr>
      </w:pPr>
    </w:p>
    <w:p w14:paraId="6FD768A5" w14:textId="77777777" w:rsidR="00B331D4" w:rsidRPr="008E7494" w:rsidRDefault="00B331D4" w:rsidP="00B331D4">
      <w:pPr>
        <w:spacing w:after="0" w:line="240" w:lineRule="auto"/>
        <w:rPr>
          <w:b/>
          <w:sz w:val="36"/>
          <w:szCs w:val="36"/>
        </w:rPr>
      </w:pPr>
    </w:p>
    <w:p w14:paraId="35D6685F" w14:textId="77777777" w:rsidR="00B331D4" w:rsidRPr="008E7494" w:rsidRDefault="00B331D4" w:rsidP="00B331D4">
      <w:pPr>
        <w:spacing w:after="0" w:line="240" w:lineRule="auto"/>
        <w:rPr>
          <w:b/>
          <w:sz w:val="36"/>
          <w:szCs w:val="36"/>
        </w:rPr>
      </w:pPr>
    </w:p>
    <w:p w14:paraId="7D6EC3AC" w14:textId="77777777" w:rsidR="00B331D4" w:rsidRPr="008E7494" w:rsidRDefault="00B331D4" w:rsidP="00B331D4">
      <w:pPr>
        <w:spacing w:after="0" w:line="240" w:lineRule="auto"/>
        <w:rPr>
          <w:b/>
          <w:sz w:val="36"/>
          <w:szCs w:val="36"/>
        </w:rPr>
      </w:pPr>
    </w:p>
    <w:p w14:paraId="1D55A269" w14:textId="77777777" w:rsidR="00B331D4" w:rsidRPr="008E7494" w:rsidRDefault="00B331D4" w:rsidP="00B331D4">
      <w:pPr>
        <w:spacing w:after="0" w:line="240" w:lineRule="auto"/>
        <w:rPr>
          <w:b/>
          <w:sz w:val="36"/>
          <w:szCs w:val="36"/>
        </w:rPr>
      </w:pPr>
    </w:p>
    <w:p w14:paraId="7944529C" w14:textId="77777777" w:rsidR="00B331D4" w:rsidRPr="008E7494" w:rsidRDefault="00B331D4" w:rsidP="00B331D4">
      <w:pPr>
        <w:spacing w:after="0" w:line="240" w:lineRule="auto"/>
        <w:rPr>
          <w:b/>
          <w:sz w:val="36"/>
          <w:szCs w:val="36"/>
        </w:rPr>
      </w:pPr>
    </w:p>
    <w:p w14:paraId="4D221AEA" w14:textId="77777777" w:rsidR="00B331D4" w:rsidRPr="008E7494" w:rsidRDefault="00B331D4" w:rsidP="00B331D4">
      <w:pPr>
        <w:spacing w:after="0" w:line="240" w:lineRule="auto"/>
        <w:rPr>
          <w:b/>
          <w:sz w:val="36"/>
          <w:szCs w:val="36"/>
        </w:rPr>
      </w:pPr>
    </w:p>
    <w:p w14:paraId="306F60BF" w14:textId="77777777" w:rsidR="00B331D4" w:rsidRPr="008E7494" w:rsidRDefault="00B331D4" w:rsidP="00B331D4">
      <w:pPr>
        <w:spacing w:after="0" w:line="240" w:lineRule="auto"/>
        <w:rPr>
          <w:b/>
          <w:sz w:val="36"/>
          <w:szCs w:val="36"/>
        </w:rPr>
      </w:pPr>
    </w:p>
    <w:p w14:paraId="3BDF3BC8" w14:textId="77777777" w:rsidR="00B331D4" w:rsidRPr="008E7494" w:rsidRDefault="00B331D4" w:rsidP="00B331D4">
      <w:pPr>
        <w:spacing w:after="0" w:line="240" w:lineRule="auto"/>
        <w:rPr>
          <w:b/>
          <w:sz w:val="36"/>
          <w:szCs w:val="36"/>
        </w:rPr>
      </w:pPr>
    </w:p>
    <w:p w14:paraId="7E052A90" w14:textId="77777777" w:rsidR="00B331D4" w:rsidRPr="008E7494" w:rsidRDefault="00B331D4" w:rsidP="00B331D4">
      <w:pPr>
        <w:spacing w:line="240" w:lineRule="auto"/>
        <w:jc w:val="center"/>
        <w:rPr>
          <w:b/>
          <w:sz w:val="44"/>
          <w:szCs w:val="44"/>
        </w:rPr>
      </w:pPr>
      <w:r w:rsidRPr="008E7494">
        <w:rPr>
          <w:b/>
          <w:sz w:val="44"/>
          <w:szCs w:val="44"/>
        </w:rPr>
        <w:t>Family Responsibilities Commission</w:t>
      </w:r>
    </w:p>
    <w:p w14:paraId="273EDE62" w14:textId="77777777" w:rsidR="00B331D4" w:rsidRPr="008E7494" w:rsidRDefault="00B331D4" w:rsidP="00B331D4">
      <w:pPr>
        <w:spacing w:before="120" w:after="0" w:line="240" w:lineRule="auto"/>
        <w:jc w:val="center"/>
        <w:rPr>
          <w:b/>
          <w:sz w:val="44"/>
          <w:szCs w:val="44"/>
        </w:rPr>
      </w:pPr>
      <w:r w:rsidRPr="008E7494">
        <w:rPr>
          <w:b/>
          <w:sz w:val="44"/>
          <w:szCs w:val="44"/>
        </w:rPr>
        <w:t>Financial Statements</w:t>
      </w:r>
    </w:p>
    <w:p w14:paraId="31E62A0C" w14:textId="77777777" w:rsidR="00B331D4" w:rsidRPr="008E7494" w:rsidRDefault="00B331D4" w:rsidP="00B331D4">
      <w:pPr>
        <w:spacing w:after="0" w:line="240" w:lineRule="auto"/>
        <w:jc w:val="center"/>
        <w:rPr>
          <w:b/>
          <w:sz w:val="44"/>
          <w:szCs w:val="44"/>
        </w:rPr>
      </w:pPr>
    </w:p>
    <w:p w14:paraId="65E7DD08" w14:textId="77777777" w:rsidR="00B331D4" w:rsidRPr="008E7494" w:rsidRDefault="00B331D4" w:rsidP="00B331D4">
      <w:pPr>
        <w:spacing w:after="0" w:line="240" w:lineRule="auto"/>
        <w:jc w:val="center"/>
        <w:rPr>
          <w:b/>
          <w:sz w:val="44"/>
          <w:szCs w:val="44"/>
        </w:rPr>
      </w:pPr>
    </w:p>
    <w:p w14:paraId="0B177179" w14:textId="77777777" w:rsidR="00B331D4" w:rsidRPr="008E7494" w:rsidRDefault="00B331D4" w:rsidP="00B331D4">
      <w:pPr>
        <w:spacing w:after="0" w:line="240" w:lineRule="auto"/>
        <w:jc w:val="center"/>
        <w:rPr>
          <w:b/>
          <w:sz w:val="44"/>
          <w:szCs w:val="44"/>
        </w:rPr>
      </w:pPr>
    </w:p>
    <w:p w14:paraId="1D68E236" w14:textId="77777777" w:rsidR="00B331D4" w:rsidRPr="008E7494" w:rsidRDefault="00B331D4" w:rsidP="00B331D4">
      <w:pPr>
        <w:spacing w:after="0" w:line="240" w:lineRule="auto"/>
        <w:jc w:val="center"/>
        <w:rPr>
          <w:b/>
          <w:sz w:val="44"/>
          <w:szCs w:val="44"/>
        </w:rPr>
      </w:pPr>
      <w:r w:rsidRPr="008E7494">
        <w:rPr>
          <w:b/>
          <w:sz w:val="44"/>
          <w:szCs w:val="44"/>
        </w:rPr>
        <w:t>For the Year Ended 30 June 201</w:t>
      </w:r>
      <w:r>
        <w:rPr>
          <w:b/>
          <w:sz w:val="44"/>
          <w:szCs w:val="44"/>
        </w:rPr>
        <w:t>9</w:t>
      </w:r>
    </w:p>
    <w:p w14:paraId="5BBAEE62" w14:textId="77777777" w:rsidR="00B331D4" w:rsidRPr="008E7494" w:rsidRDefault="00B331D4" w:rsidP="00B331D4"/>
    <w:p w14:paraId="2D580B5B" w14:textId="77777777" w:rsidR="00B331D4" w:rsidRPr="008E7494" w:rsidRDefault="00B331D4" w:rsidP="00B331D4">
      <w:pPr>
        <w:spacing w:after="200" w:line="276" w:lineRule="auto"/>
      </w:pPr>
      <w:r w:rsidRPr="008E7494">
        <w:br w:type="page"/>
      </w:r>
    </w:p>
    <w:p w14:paraId="25B86F29" w14:textId="77777777" w:rsidR="00B331D4" w:rsidRPr="008E7494" w:rsidRDefault="00B331D4" w:rsidP="00B331D4">
      <w:pPr>
        <w:spacing w:after="0" w:line="240" w:lineRule="auto"/>
      </w:pPr>
    </w:p>
    <w:tbl>
      <w:tblPr>
        <w:tblW w:w="0" w:type="auto"/>
        <w:tblBorders>
          <w:bottom w:val="single" w:sz="4" w:space="0" w:color="auto"/>
        </w:tblBorders>
        <w:tblLook w:val="01E0" w:firstRow="1" w:lastRow="1" w:firstColumn="1" w:lastColumn="1" w:noHBand="0" w:noVBand="0"/>
      </w:tblPr>
      <w:tblGrid>
        <w:gridCol w:w="4249"/>
        <w:gridCol w:w="4255"/>
      </w:tblGrid>
      <w:tr w:rsidR="00B331D4" w:rsidRPr="008E7494" w14:paraId="36E7299D" w14:textId="77777777" w:rsidTr="00553655">
        <w:tc>
          <w:tcPr>
            <w:tcW w:w="4260" w:type="dxa"/>
            <w:tcBorders>
              <w:bottom w:val="single" w:sz="4" w:space="0" w:color="auto"/>
            </w:tcBorders>
          </w:tcPr>
          <w:p w14:paraId="2F8D4E37" w14:textId="097EB203" w:rsidR="00B331D4" w:rsidRPr="008E7494" w:rsidRDefault="00B331D4" w:rsidP="00553655">
            <w:pPr>
              <w:spacing w:after="0" w:line="240" w:lineRule="auto"/>
              <w:rPr>
                <w:rFonts w:cs="Times"/>
                <w:szCs w:val="20"/>
                <w:lang w:val="en-US"/>
              </w:rPr>
            </w:pPr>
          </w:p>
        </w:tc>
        <w:tc>
          <w:tcPr>
            <w:tcW w:w="4261" w:type="dxa"/>
            <w:tcBorders>
              <w:bottom w:val="single" w:sz="4" w:space="0" w:color="auto"/>
            </w:tcBorders>
          </w:tcPr>
          <w:p w14:paraId="5AFE510C" w14:textId="77777777" w:rsidR="00B331D4" w:rsidRPr="008E7494" w:rsidRDefault="00B331D4" w:rsidP="00553655">
            <w:pPr>
              <w:spacing w:after="0" w:line="240" w:lineRule="auto"/>
              <w:jc w:val="right"/>
              <w:rPr>
                <w:rFonts w:cs="Times"/>
                <w:b/>
                <w:color w:val="446E82"/>
                <w:szCs w:val="20"/>
                <w:lang w:val="en-US"/>
              </w:rPr>
            </w:pPr>
            <w:r w:rsidRPr="008E7494">
              <w:rPr>
                <w:rFonts w:cs="Times"/>
                <w:b/>
                <w:color w:val="446E82"/>
                <w:szCs w:val="20"/>
                <w:lang w:val="en-US"/>
              </w:rPr>
              <w:t>Family Responsibilities Commission</w:t>
            </w:r>
          </w:p>
          <w:p w14:paraId="6978149F" w14:textId="77777777" w:rsidR="00B331D4" w:rsidRPr="008E7494" w:rsidRDefault="00B331D4" w:rsidP="00553655">
            <w:pPr>
              <w:spacing w:after="0" w:line="240" w:lineRule="auto"/>
              <w:jc w:val="right"/>
              <w:rPr>
                <w:color w:val="446E82"/>
                <w:lang w:val="en-US"/>
              </w:rPr>
            </w:pPr>
            <w:r w:rsidRPr="008E7494">
              <w:rPr>
                <w:color w:val="446E82"/>
                <w:lang w:val="en-US"/>
              </w:rPr>
              <w:t>Cairns Commonwealth Centre</w:t>
            </w:r>
          </w:p>
          <w:p w14:paraId="3EBBFABE" w14:textId="77777777" w:rsidR="00B331D4" w:rsidRPr="008E7494" w:rsidRDefault="00B331D4" w:rsidP="00553655">
            <w:pPr>
              <w:spacing w:after="0" w:line="240" w:lineRule="auto"/>
              <w:jc w:val="right"/>
              <w:rPr>
                <w:color w:val="446E82"/>
                <w:lang w:val="en-US"/>
              </w:rPr>
            </w:pPr>
            <w:r w:rsidRPr="008E7494">
              <w:rPr>
                <w:color w:val="446E82"/>
                <w:lang w:val="en-US"/>
              </w:rPr>
              <w:t>Level 3, 107 Lake Street, Cairns</w:t>
            </w:r>
          </w:p>
          <w:p w14:paraId="4C8F22D7" w14:textId="77777777" w:rsidR="00B331D4" w:rsidRPr="008E7494" w:rsidRDefault="00B331D4" w:rsidP="00553655">
            <w:pPr>
              <w:spacing w:after="0" w:line="240" w:lineRule="auto"/>
              <w:jc w:val="right"/>
              <w:rPr>
                <w:color w:val="446E82"/>
                <w:lang w:val="en-US"/>
              </w:rPr>
            </w:pPr>
            <w:r w:rsidRPr="008E7494">
              <w:rPr>
                <w:color w:val="446E82"/>
                <w:lang w:val="en-US"/>
              </w:rPr>
              <w:t>PO Box 5438</w:t>
            </w:r>
          </w:p>
          <w:p w14:paraId="2A386773" w14:textId="77777777" w:rsidR="00B331D4" w:rsidRPr="008E7494" w:rsidRDefault="00B331D4" w:rsidP="00553655">
            <w:pPr>
              <w:spacing w:after="0" w:line="240" w:lineRule="auto"/>
              <w:jc w:val="right"/>
              <w:rPr>
                <w:color w:val="446E82"/>
                <w:lang w:val="en-US"/>
              </w:rPr>
            </w:pPr>
            <w:r w:rsidRPr="008E7494">
              <w:rPr>
                <w:color w:val="446E82"/>
                <w:lang w:val="en-US"/>
              </w:rPr>
              <w:t>Cairns Qld 4870</w:t>
            </w:r>
          </w:p>
          <w:p w14:paraId="50E57C58" w14:textId="77777777" w:rsidR="00B331D4" w:rsidRPr="008E7494" w:rsidRDefault="00B331D4" w:rsidP="00553655">
            <w:pPr>
              <w:spacing w:after="0" w:line="240" w:lineRule="auto"/>
              <w:jc w:val="right"/>
              <w:rPr>
                <w:color w:val="446E82"/>
                <w:lang w:val="en-US"/>
              </w:rPr>
            </w:pPr>
          </w:p>
          <w:p w14:paraId="0EE02672" w14:textId="77777777" w:rsidR="00B331D4" w:rsidRPr="008E7494" w:rsidRDefault="00B331D4" w:rsidP="00553655">
            <w:pPr>
              <w:spacing w:after="0" w:line="240" w:lineRule="auto"/>
              <w:jc w:val="right"/>
              <w:rPr>
                <w:b/>
                <w:color w:val="446E82"/>
                <w:lang w:val="en-US"/>
              </w:rPr>
            </w:pPr>
            <w:r w:rsidRPr="008E7494">
              <w:rPr>
                <w:b/>
                <w:color w:val="446E82"/>
                <w:lang w:val="en-US"/>
              </w:rPr>
              <w:t>Ph: 07 4081 8400</w:t>
            </w:r>
          </w:p>
          <w:p w14:paraId="482F9B29" w14:textId="77777777" w:rsidR="00B331D4" w:rsidRPr="008E7494" w:rsidRDefault="00B331D4" w:rsidP="00553655">
            <w:pPr>
              <w:spacing w:after="0" w:line="240" w:lineRule="auto"/>
              <w:jc w:val="right"/>
              <w:rPr>
                <w:color w:val="446E82"/>
                <w:lang w:val="en-US"/>
              </w:rPr>
            </w:pPr>
            <w:r w:rsidRPr="008E7494">
              <w:rPr>
                <w:color w:val="446E82"/>
                <w:lang w:val="en-US"/>
              </w:rPr>
              <w:t>Fax: 07 4041 0974</w:t>
            </w:r>
          </w:p>
          <w:p w14:paraId="65605320" w14:textId="77777777" w:rsidR="00B331D4" w:rsidRPr="008E7494" w:rsidRDefault="00B331D4" w:rsidP="00553655">
            <w:pPr>
              <w:spacing w:after="0" w:line="240" w:lineRule="auto"/>
              <w:jc w:val="right"/>
              <w:rPr>
                <w:b/>
                <w:color w:val="446E82"/>
                <w:lang w:val="en-US"/>
              </w:rPr>
            </w:pPr>
            <w:r w:rsidRPr="008E7494">
              <w:rPr>
                <w:b/>
                <w:color w:val="446E82"/>
                <w:lang w:val="en-US"/>
              </w:rPr>
              <w:t>www.frcq.org.au</w:t>
            </w:r>
          </w:p>
          <w:p w14:paraId="3B61EDA8" w14:textId="77777777" w:rsidR="00B331D4" w:rsidRPr="008E7494" w:rsidRDefault="00B331D4" w:rsidP="00553655">
            <w:pPr>
              <w:spacing w:after="0" w:line="240" w:lineRule="auto"/>
              <w:rPr>
                <w:rFonts w:cs="Times"/>
                <w:szCs w:val="20"/>
                <w:lang w:val="en-US"/>
              </w:rPr>
            </w:pPr>
          </w:p>
        </w:tc>
      </w:tr>
    </w:tbl>
    <w:p w14:paraId="5D342EDF" w14:textId="77777777" w:rsidR="00B331D4" w:rsidRPr="008E7494" w:rsidRDefault="00B331D4" w:rsidP="00B331D4">
      <w:pPr>
        <w:spacing w:after="0"/>
        <w:rPr>
          <w:lang w:val="en-US" w:eastAsia="en-AU"/>
        </w:rPr>
      </w:pPr>
    </w:p>
    <w:p w14:paraId="35F6FBC0" w14:textId="0DFDCE44" w:rsidR="00B331D4" w:rsidRPr="008E7494" w:rsidRDefault="00473BDB" w:rsidP="00B331D4">
      <w:pPr>
        <w:spacing w:after="0"/>
      </w:pPr>
      <w:r>
        <w:t>20</w:t>
      </w:r>
      <w:r w:rsidR="00B331D4" w:rsidRPr="00446902">
        <w:t xml:space="preserve"> August 2019</w:t>
      </w:r>
    </w:p>
    <w:p w14:paraId="5F24CD50" w14:textId="77777777" w:rsidR="00B331D4" w:rsidRPr="008E7494" w:rsidRDefault="00B331D4" w:rsidP="00B331D4">
      <w:pPr>
        <w:spacing w:after="0"/>
        <w:rPr>
          <w:lang w:val="en-US" w:eastAsia="en-AU"/>
        </w:rPr>
      </w:pPr>
    </w:p>
    <w:p w14:paraId="21E56ABA" w14:textId="77777777" w:rsidR="00B331D4" w:rsidRPr="008E7494" w:rsidRDefault="00B331D4" w:rsidP="00B331D4">
      <w:pPr>
        <w:spacing w:after="0"/>
        <w:rPr>
          <w:lang w:val="en-US" w:eastAsia="en-AU"/>
        </w:rPr>
      </w:pPr>
    </w:p>
    <w:p w14:paraId="793C344A" w14:textId="77777777" w:rsidR="00B331D4" w:rsidRPr="008E7494" w:rsidRDefault="00B331D4" w:rsidP="00B331D4">
      <w:pPr>
        <w:spacing w:after="0"/>
        <w:rPr>
          <w:lang w:val="en-US" w:eastAsia="en-AU"/>
        </w:rPr>
      </w:pPr>
    </w:p>
    <w:p w14:paraId="15AEE91B" w14:textId="77777777" w:rsidR="00B331D4" w:rsidRPr="008E7494" w:rsidRDefault="00B331D4" w:rsidP="00B331D4">
      <w:pPr>
        <w:spacing w:after="0" w:line="240" w:lineRule="auto"/>
      </w:pPr>
      <w:r w:rsidRPr="008E7494">
        <w:rPr>
          <w:rFonts w:cs="Arial"/>
        </w:rPr>
        <w:t>The Honourable Jackie Trad MP</w:t>
      </w:r>
    </w:p>
    <w:p w14:paraId="72316BC6" w14:textId="77777777" w:rsidR="00B331D4" w:rsidRPr="008E7494" w:rsidRDefault="00B331D4" w:rsidP="00B331D4">
      <w:pPr>
        <w:spacing w:after="0" w:line="240" w:lineRule="auto"/>
        <w:rPr>
          <w:rFonts w:cs="Arial"/>
        </w:rPr>
      </w:pPr>
      <w:r w:rsidRPr="008E7494">
        <w:rPr>
          <w:rFonts w:cs="Arial"/>
        </w:rPr>
        <w:t>Deputy Premier, Treasurer and</w:t>
      </w:r>
    </w:p>
    <w:p w14:paraId="6D008942" w14:textId="77777777" w:rsidR="00B331D4" w:rsidRPr="008E7494" w:rsidRDefault="00B331D4" w:rsidP="00B331D4">
      <w:pPr>
        <w:spacing w:after="0" w:line="240" w:lineRule="auto"/>
      </w:pPr>
      <w:r w:rsidRPr="008E7494">
        <w:rPr>
          <w:rFonts w:cs="Arial"/>
        </w:rPr>
        <w:t>Minister for Aboriginal and Torres Strait Islander Partnerships</w:t>
      </w:r>
    </w:p>
    <w:p w14:paraId="489E8C68" w14:textId="77777777" w:rsidR="00B331D4" w:rsidRPr="008E7494" w:rsidRDefault="00B331D4" w:rsidP="00B331D4">
      <w:pPr>
        <w:spacing w:after="0" w:line="240" w:lineRule="auto"/>
        <w:rPr>
          <w:rFonts w:cs="Arial"/>
        </w:rPr>
      </w:pPr>
      <w:r w:rsidRPr="008E7494">
        <w:rPr>
          <w:rFonts w:cs="Arial"/>
        </w:rPr>
        <w:t>GPO Box 611</w:t>
      </w:r>
    </w:p>
    <w:p w14:paraId="057D4D1F" w14:textId="77777777" w:rsidR="00B331D4" w:rsidRPr="008E7494" w:rsidRDefault="00B331D4" w:rsidP="00B331D4">
      <w:pPr>
        <w:spacing w:after="0" w:line="240" w:lineRule="auto"/>
        <w:rPr>
          <w:rFonts w:cs="Arial"/>
        </w:rPr>
      </w:pPr>
      <w:r w:rsidRPr="008E7494">
        <w:rPr>
          <w:rFonts w:cs="Arial"/>
        </w:rPr>
        <w:t>BRISBANE   QLD   4001</w:t>
      </w:r>
    </w:p>
    <w:p w14:paraId="330461D9" w14:textId="77777777" w:rsidR="00B331D4" w:rsidRPr="008E7494" w:rsidRDefault="00B331D4" w:rsidP="00B331D4">
      <w:pPr>
        <w:spacing w:after="0"/>
        <w:rPr>
          <w:lang w:val="en-US" w:eastAsia="en-AU"/>
        </w:rPr>
      </w:pPr>
    </w:p>
    <w:p w14:paraId="4A2A9587" w14:textId="77777777" w:rsidR="00B331D4" w:rsidRPr="008E7494" w:rsidRDefault="00B331D4" w:rsidP="00B331D4">
      <w:pPr>
        <w:spacing w:after="0"/>
        <w:rPr>
          <w:lang w:val="en-US" w:eastAsia="en-AU"/>
        </w:rPr>
      </w:pPr>
    </w:p>
    <w:p w14:paraId="5EB731C2" w14:textId="77777777" w:rsidR="00B331D4" w:rsidRPr="008E7494" w:rsidRDefault="00B331D4" w:rsidP="00B331D4">
      <w:pPr>
        <w:spacing w:after="0"/>
        <w:rPr>
          <w:lang w:val="en-US" w:eastAsia="en-AU"/>
        </w:rPr>
      </w:pPr>
    </w:p>
    <w:p w14:paraId="34FCD7E3" w14:textId="77777777" w:rsidR="00B331D4" w:rsidRPr="008E7494" w:rsidRDefault="00B331D4" w:rsidP="00B331D4">
      <w:pPr>
        <w:spacing w:after="0"/>
        <w:rPr>
          <w:lang w:val="en-US" w:eastAsia="en-AU"/>
        </w:rPr>
      </w:pPr>
      <w:r w:rsidRPr="008E7494">
        <w:t>Dear Minister Trad</w:t>
      </w:r>
    </w:p>
    <w:p w14:paraId="62F2F555" w14:textId="77777777" w:rsidR="00B331D4" w:rsidRPr="008E7494" w:rsidRDefault="00B331D4" w:rsidP="00B331D4">
      <w:pPr>
        <w:spacing w:after="0"/>
        <w:rPr>
          <w:lang w:val="en-US" w:eastAsia="en-AU"/>
        </w:rPr>
      </w:pPr>
    </w:p>
    <w:p w14:paraId="1DBA9DDD" w14:textId="77777777" w:rsidR="00B331D4" w:rsidRPr="008E7494" w:rsidRDefault="00B331D4" w:rsidP="00B331D4">
      <w:pPr>
        <w:spacing w:after="0"/>
      </w:pPr>
      <w:r w:rsidRPr="008E7494">
        <w:t>I am pleased to present the Financial Statements for the Annual Report 201</w:t>
      </w:r>
      <w:r>
        <w:t>8</w:t>
      </w:r>
      <w:r w:rsidRPr="008E7494">
        <w:t>-201</w:t>
      </w:r>
      <w:r>
        <w:t>9</w:t>
      </w:r>
      <w:r w:rsidRPr="008E7494">
        <w:t xml:space="preserve"> for the Family Responsibilities Commission.</w:t>
      </w:r>
    </w:p>
    <w:p w14:paraId="1B46F4EA" w14:textId="77777777" w:rsidR="00B331D4" w:rsidRPr="008E7494" w:rsidRDefault="00B331D4" w:rsidP="00B331D4">
      <w:pPr>
        <w:spacing w:after="0"/>
        <w:rPr>
          <w:lang w:val="en-US" w:eastAsia="en-AU"/>
        </w:rPr>
      </w:pPr>
    </w:p>
    <w:p w14:paraId="0C2E6F61" w14:textId="77777777" w:rsidR="00B331D4" w:rsidRPr="008E7494" w:rsidRDefault="00B331D4" w:rsidP="00B331D4">
      <w:pPr>
        <w:spacing w:after="0"/>
      </w:pPr>
      <w:r w:rsidRPr="008E7494">
        <w:t>I certify that this Annual Report complies with:</w:t>
      </w:r>
    </w:p>
    <w:p w14:paraId="6C73A2D1" w14:textId="77777777" w:rsidR="00B331D4" w:rsidRPr="008E7494" w:rsidRDefault="00B331D4" w:rsidP="00B331D4">
      <w:pPr>
        <w:pStyle w:val="ListBullet2"/>
      </w:pPr>
      <w:r w:rsidRPr="008E7494">
        <w:t xml:space="preserve">the prescribed requirements of the </w:t>
      </w:r>
      <w:r w:rsidRPr="008E7494">
        <w:rPr>
          <w:i/>
        </w:rPr>
        <w:t>Financial Accountability Act 2009</w:t>
      </w:r>
      <w:r w:rsidRPr="008E7494">
        <w:t xml:space="preserve"> and the</w:t>
      </w:r>
      <w:r w:rsidRPr="008E7494">
        <w:rPr>
          <w:i/>
        </w:rPr>
        <w:t xml:space="preserve"> Financial and Performance Management Standard 2009</w:t>
      </w:r>
      <w:r w:rsidRPr="008E7494">
        <w:t>, and</w:t>
      </w:r>
    </w:p>
    <w:p w14:paraId="2B3A302D" w14:textId="77777777" w:rsidR="00B331D4" w:rsidRPr="008E7494" w:rsidRDefault="00B331D4" w:rsidP="00B331D4">
      <w:pPr>
        <w:pStyle w:val="ListBullet2"/>
      </w:pPr>
      <w:r w:rsidRPr="008E7494">
        <w:t xml:space="preserve">the detailed requirements set out in the </w:t>
      </w:r>
      <w:r w:rsidRPr="008E7494">
        <w:rPr>
          <w:i/>
        </w:rPr>
        <w:t>Annual Report Requirements for Queensland Government Agencies</w:t>
      </w:r>
      <w:r w:rsidRPr="008E7494">
        <w:t>.</w:t>
      </w:r>
    </w:p>
    <w:p w14:paraId="7256F8C0" w14:textId="77777777" w:rsidR="00B331D4" w:rsidRPr="008E7494" w:rsidRDefault="00B331D4" w:rsidP="00B331D4">
      <w:pPr>
        <w:spacing w:after="0" w:line="240" w:lineRule="auto"/>
        <w:rPr>
          <w:rFonts w:cs="Arial"/>
          <w:szCs w:val="20"/>
          <w:lang w:val="en-US" w:eastAsia="en-AU"/>
        </w:rPr>
      </w:pPr>
    </w:p>
    <w:p w14:paraId="0D91C5C1" w14:textId="77777777" w:rsidR="00B331D4" w:rsidRPr="008E7494" w:rsidRDefault="00B331D4" w:rsidP="00B331D4">
      <w:pPr>
        <w:rPr>
          <w:szCs w:val="20"/>
          <w:lang w:val="en-US" w:eastAsia="en-AU"/>
        </w:rPr>
      </w:pPr>
      <w:r w:rsidRPr="008E7494">
        <w:t>The 201</w:t>
      </w:r>
      <w:r>
        <w:t>8</w:t>
      </w:r>
      <w:r w:rsidRPr="008E7494">
        <w:t>-201</w:t>
      </w:r>
      <w:r>
        <w:t>9</w:t>
      </w:r>
      <w:r w:rsidRPr="008E7494">
        <w:t xml:space="preserve"> Annual Report can be accessed at </w:t>
      </w:r>
      <w:hyperlink r:id="rId83" w:history="1">
        <w:r w:rsidRPr="00903A94">
          <w:rPr>
            <w:rStyle w:val="Hyperlink"/>
            <w:rFonts w:cs="Arial"/>
          </w:rPr>
          <w:t>https</w:t>
        </w:r>
        <w:r w:rsidRPr="00FA1EBB">
          <w:rPr>
            <w:rStyle w:val="Hyperlink"/>
            <w:rFonts w:cs="Arial"/>
          </w:rPr>
          <w:t>://www.frcq.org.au</w:t>
        </w:r>
      </w:hyperlink>
      <w:r w:rsidRPr="008E7494">
        <w:t xml:space="preserve"> after 30 October 201</w:t>
      </w:r>
      <w:r>
        <w:t>9</w:t>
      </w:r>
      <w:r w:rsidRPr="008E7494">
        <w:t>.</w:t>
      </w:r>
    </w:p>
    <w:p w14:paraId="2C5C3516" w14:textId="77777777" w:rsidR="00B331D4" w:rsidRPr="008E7494" w:rsidRDefault="00B331D4" w:rsidP="00B331D4">
      <w:pPr>
        <w:spacing w:after="0"/>
        <w:rPr>
          <w:szCs w:val="20"/>
          <w:lang w:val="en-US" w:eastAsia="en-AU"/>
        </w:rPr>
      </w:pPr>
    </w:p>
    <w:p w14:paraId="686D5AC4" w14:textId="77777777" w:rsidR="00B331D4" w:rsidRPr="008E7494" w:rsidRDefault="00B331D4" w:rsidP="00B331D4">
      <w:pPr>
        <w:spacing w:after="0"/>
        <w:rPr>
          <w:szCs w:val="20"/>
          <w:lang w:val="en-US" w:eastAsia="en-AU"/>
        </w:rPr>
      </w:pPr>
      <w:r w:rsidRPr="008E7494">
        <w:t>Yours sincerely</w:t>
      </w:r>
    </w:p>
    <w:p w14:paraId="463FFFDF" w14:textId="77777777" w:rsidR="00B331D4" w:rsidRPr="008E7494" w:rsidRDefault="00B331D4" w:rsidP="00B331D4">
      <w:pPr>
        <w:spacing w:after="0" w:line="240" w:lineRule="auto"/>
        <w:rPr>
          <w:rFonts w:cs="Arial"/>
          <w:szCs w:val="20"/>
          <w:lang w:val="en-US" w:eastAsia="en-AU"/>
        </w:rPr>
      </w:pPr>
    </w:p>
    <w:p w14:paraId="2047F2B8" w14:textId="17CA3CA2" w:rsidR="00B331D4" w:rsidRDefault="00B331D4" w:rsidP="00B331D4">
      <w:pPr>
        <w:spacing w:after="0" w:line="240" w:lineRule="auto"/>
        <w:rPr>
          <w:noProof/>
          <w:lang w:eastAsia="en-AU"/>
        </w:rPr>
      </w:pPr>
    </w:p>
    <w:p w14:paraId="4484C9ED" w14:textId="77777777" w:rsidR="00C931E9" w:rsidRPr="008E7494" w:rsidRDefault="00C931E9" w:rsidP="00B331D4">
      <w:pPr>
        <w:spacing w:after="0" w:line="240" w:lineRule="auto"/>
        <w:rPr>
          <w:rFonts w:cs="Arial"/>
          <w:szCs w:val="20"/>
          <w:lang w:val="en-US" w:eastAsia="en-AU"/>
        </w:rPr>
      </w:pPr>
    </w:p>
    <w:p w14:paraId="0337351E" w14:textId="77777777" w:rsidR="00B331D4" w:rsidRPr="008E7494" w:rsidRDefault="00B331D4" w:rsidP="00B331D4">
      <w:pPr>
        <w:spacing w:after="0"/>
      </w:pPr>
      <w:r w:rsidRPr="008E7494">
        <w:t>David Glasgow</w:t>
      </w:r>
      <w:r>
        <w:t>,</w:t>
      </w:r>
      <w:r w:rsidRPr="008E7494">
        <w:t xml:space="preserve"> AM</w:t>
      </w:r>
    </w:p>
    <w:p w14:paraId="77FD832E" w14:textId="77777777" w:rsidR="00B331D4" w:rsidRPr="008E7494" w:rsidRDefault="00B331D4" w:rsidP="00B331D4">
      <w:pPr>
        <w:spacing w:after="0"/>
      </w:pPr>
      <w:r w:rsidRPr="008E7494">
        <w:t>Commissioner</w:t>
      </w:r>
    </w:p>
    <w:p w14:paraId="539E8043" w14:textId="77777777" w:rsidR="00B331D4" w:rsidRPr="008E7494" w:rsidRDefault="00B331D4" w:rsidP="00B331D4">
      <w:pPr>
        <w:spacing w:after="0"/>
      </w:pPr>
      <w:r w:rsidRPr="008E7494">
        <w:t>Family Responsibilities Commission</w:t>
      </w:r>
    </w:p>
    <w:p w14:paraId="16C67A5F" w14:textId="77777777" w:rsidR="00EC362F" w:rsidRDefault="00EC362F" w:rsidP="00B331D4">
      <w:pPr>
        <w:spacing w:after="0"/>
        <w:sectPr w:rsidR="00EC362F" w:rsidSect="00406A60">
          <w:headerReference w:type="even" r:id="rId84"/>
          <w:headerReference w:type="default" r:id="rId85"/>
          <w:headerReference w:type="first" r:id="rId86"/>
          <w:footnotePr>
            <w:numRestart w:val="eachSect"/>
          </w:footnotePr>
          <w:pgSz w:w="11906" w:h="16838"/>
          <w:pgMar w:top="1338" w:right="1701" w:bottom="567" w:left="1701" w:header="709" w:footer="567" w:gutter="0"/>
          <w:cols w:space="708"/>
          <w:docGrid w:linePitch="360"/>
        </w:sectPr>
      </w:pPr>
    </w:p>
    <w:p w14:paraId="7FC7AF61" w14:textId="77777777" w:rsidR="008A32D0" w:rsidRPr="004304D6" w:rsidRDefault="008A32D0" w:rsidP="004304D6">
      <w:pPr>
        <w:pStyle w:val="Heading2"/>
      </w:pPr>
      <w:bookmarkStart w:id="12" w:name="_GoBack"/>
      <w:bookmarkEnd w:id="12"/>
      <w:r w:rsidRPr="004304D6">
        <w:lastRenderedPageBreak/>
        <w:t>APPENDIX A</w:t>
      </w:r>
    </w:p>
    <w:p w14:paraId="2AA00FC8" w14:textId="77777777" w:rsidR="008A32D0" w:rsidRPr="004304D6" w:rsidRDefault="008A32D0" w:rsidP="004304D6">
      <w:pPr>
        <w:pStyle w:val="Heading3"/>
      </w:pPr>
      <w:r w:rsidRPr="004304D6">
        <w:t>Family Responsibilities Board – schedule of meetings</w:t>
      </w:r>
    </w:p>
    <w:tbl>
      <w:tblPr>
        <w:tblW w:w="8789" w:type="dxa"/>
        <w:tblInd w:w="170" w:type="dxa"/>
        <w:tblLayout w:type="fixed"/>
        <w:tblCellMar>
          <w:left w:w="0" w:type="dxa"/>
          <w:right w:w="0" w:type="dxa"/>
        </w:tblCellMar>
        <w:tblLook w:val="0000" w:firstRow="0" w:lastRow="0" w:firstColumn="0" w:lastColumn="0" w:noHBand="0" w:noVBand="0"/>
      </w:tblPr>
      <w:tblGrid>
        <w:gridCol w:w="1985"/>
        <w:gridCol w:w="2835"/>
        <w:gridCol w:w="3969"/>
      </w:tblGrid>
      <w:tr w:rsidR="008A32D0" w:rsidRPr="008E7494" w14:paraId="5D8770FF" w14:textId="77777777" w:rsidTr="00066DE4">
        <w:trPr>
          <w:trHeight w:val="60"/>
        </w:trPr>
        <w:tc>
          <w:tcPr>
            <w:tcW w:w="1985" w:type="dxa"/>
            <w:tcBorders>
              <w:top w:val="single" w:sz="4" w:space="0" w:color="auto"/>
              <w:left w:val="single" w:sz="4" w:space="0" w:color="auto"/>
              <w:bottom w:val="single" w:sz="4" w:space="0" w:color="auto"/>
              <w:right w:val="single" w:sz="4" w:space="0" w:color="auto"/>
            </w:tcBorders>
            <w:tcMar>
              <w:top w:w="170" w:type="dxa"/>
              <w:left w:w="170" w:type="dxa"/>
              <w:bottom w:w="170" w:type="dxa"/>
              <w:right w:w="170" w:type="dxa"/>
            </w:tcMar>
          </w:tcPr>
          <w:p w14:paraId="598A22BA" w14:textId="77777777" w:rsidR="008A32D0" w:rsidRPr="008E7494" w:rsidRDefault="008A32D0" w:rsidP="00066DE4">
            <w:pPr>
              <w:spacing w:after="0"/>
            </w:pPr>
            <w:r w:rsidRPr="008E7494">
              <w:t>Date of FR Board meeting</w:t>
            </w:r>
          </w:p>
        </w:tc>
        <w:tc>
          <w:tcPr>
            <w:tcW w:w="2835" w:type="dxa"/>
            <w:tcBorders>
              <w:top w:val="single" w:sz="4" w:space="0" w:color="auto"/>
              <w:left w:val="single" w:sz="4" w:space="0" w:color="auto"/>
              <w:bottom w:val="single" w:sz="4" w:space="0" w:color="auto"/>
              <w:right w:val="single" w:sz="4" w:space="0" w:color="auto"/>
            </w:tcBorders>
            <w:tcMar>
              <w:top w:w="170" w:type="dxa"/>
              <w:left w:w="170" w:type="dxa"/>
              <w:bottom w:w="170" w:type="dxa"/>
              <w:right w:w="170" w:type="dxa"/>
            </w:tcMar>
          </w:tcPr>
          <w:p w14:paraId="236326D1" w14:textId="77777777" w:rsidR="008A32D0" w:rsidRPr="008E7494" w:rsidRDefault="008A32D0" w:rsidP="00066DE4">
            <w:pPr>
              <w:spacing w:after="0"/>
            </w:pPr>
            <w:r w:rsidRPr="008E7494">
              <w:t>Venue</w:t>
            </w:r>
          </w:p>
        </w:tc>
        <w:tc>
          <w:tcPr>
            <w:tcW w:w="3969" w:type="dxa"/>
            <w:tcBorders>
              <w:top w:val="single" w:sz="4" w:space="0" w:color="auto"/>
              <w:left w:val="single" w:sz="4" w:space="0" w:color="auto"/>
              <w:bottom w:val="single" w:sz="4" w:space="0" w:color="auto"/>
              <w:right w:val="single" w:sz="4" w:space="0" w:color="auto"/>
            </w:tcBorders>
            <w:tcMar>
              <w:top w:w="170" w:type="dxa"/>
              <w:left w:w="170" w:type="dxa"/>
              <w:bottom w:w="170" w:type="dxa"/>
              <w:right w:w="170" w:type="dxa"/>
            </w:tcMar>
          </w:tcPr>
          <w:p w14:paraId="2DD4F353" w14:textId="77777777" w:rsidR="008A32D0" w:rsidRPr="008E7494" w:rsidRDefault="008A32D0" w:rsidP="00066DE4">
            <w:pPr>
              <w:spacing w:after="0"/>
            </w:pPr>
            <w:r w:rsidRPr="008E7494">
              <w:t>Attendees</w:t>
            </w:r>
          </w:p>
        </w:tc>
      </w:tr>
      <w:tr w:rsidR="008A32D0" w:rsidRPr="008E7494" w14:paraId="55A80613" w14:textId="77777777" w:rsidTr="00066DE4">
        <w:trPr>
          <w:trHeight w:val="60"/>
        </w:trPr>
        <w:tc>
          <w:tcPr>
            <w:tcW w:w="1985" w:type="dxa"/>
            <w:tcBorders>
              <w:top w:val="single" w:sz="4" w:space="0" w:color="auto"/>
              <w:left w:val="single" w:sz="4" w:space="0" w:color="auto"/>
              <w:bottom w:val="single" w:sz="4" w:space="0" w:color="auto"/>
              <w:right w:val="single" w:sz="4" w:space="0" w:color="auto"/>
            </w:tcBorders>
            <w:tcMar>
              <w:top w:w="170" w:type="dxa"/>
              <w:left w:w="170" w:type="dxa"/>
              <w:bottom w:w="170" w:type="dxa"/>
              <w:right w:w="170" w:type="dxa"/>
            </w:tcMar>
          </w:tcPr>
          <w:p w14:paraId="3006C92B" w14:textId="77777777" w:rsidR="008A32D0" w:rsidRPr="008E7494" w:rsidRDefault="008A32D0" w:rsidP="00066DE4">
            <w:pPr>
              <w:spacing w:after="0"/>
            </w:pPr>
            <w:r>
              <w:t>4 December 2018</w:t>
            </w:r>
          </w:p>
        </w:tc>
        <w:tc>
          <w:tcPr>
            <w:tcW w:w="2835" w:type="dxa"/>
            <w:tcBorders>
              <w:top w:val="single" w:sz="4" w:space="0" w:color="auto"/>
              <w:left w:val="single" w:sz="4" w:space="0" w:color="auto"/>
              <w:bottom w:val="single" w:sz="4" w:space="0" w:color="auto"/>
              <w:right w:val="single" w:sz="4" w:space="0" w:color="auto"/>
            </w:tcBorders>
            <w:tcMar>
              <w:top w:w="170" w:type="dxa"/>
              <w:left w:w="170" w:type="dxa"/>
              <w:bottom w:w="170" w:type="dxa"/>
              <w:right w:w="170" w:type="dxa"/>
            </w:tcMar>
          </w:tcPr>
          <w:p w14:paraId="0F604AFE" w14:textId="77777777" w:rsidR="008A32D0" w:rsidRDefault="008A32D0" w:rsidP="00066DE4">
            <w:pPr>
              <w:spacing w:after="0"/>
              <w:rPr>
                <w:rFonts w:cs="Arial"/>
                <w:szCs w:val="20"/>
              </w:rPr>
            </w:pPr>
            <w:r w:rsidRPr="008E7494">
              <w:rPr>
                <w:rFonts w:cs="Arial"/>
                <w:szCs w:val="20"/>
              </w:rPr>
              <w:t xml:space="preserve">Room </w:t>
            </w:r>
            <w:r>
              <w:rPr>
                <w:rFonts w:cs="Arial"/>
                <w:szCs w:val="20"/>
              </w:rPr>
              <w:t>30.13</w:t>
            </w:r>
          </w:p>
          <w:p w14:paraId="7C29B9FA" w14:textId="77777777" w:rsidR="008A32D0" w:rsidRPr="008E7494" w:rsidRDefault="008A32D0" w:rsidP="00066DE4">
            <w:pPr>
              <w:spacing w:after="0"/>
              <w:rPr>
                <w:rFonts w:cs="Arial"/>
                <w:szCs w:val="20"/>
              </w:rPr>
            </w:pPr>
            <w:r>
              <w:rPr>
                <w:rFonts w:cs="Arial"/>
                <w:szCs w:val="20"/>
              </w:rPr>
              <w:t>Level 30</w:t>
            </w:r>
          </w:p>
          <w:p w14:paraId="67D0A580" w14:textId="77777777" w:rsidR="008A32D0" w:rsidRPr="008E7494" w:rsidRDefault="008A32D0" w:rsidP="00066DE4">
            <w:pPr>
              <w:spacing w:after="0"/>
            </w:pPr>
            <w:r w:rsidRPr="008E7494">
              <w:t>1 William Street, Brisbane</w:t>
            </w:r>
          </w:p>
          <w:p w14:paraId="4A6A1F1A" w14:textId="77777777" w:rsidR="008A32D0" w:rsidRPr="008E7494" w:rsidRDefault="008A32D0" w:rsidP="00066DE4">
            <w:pPr>
              <w:spacing w:after="0"/>
            </w:pPr>
          </w:p>
        </w:tc>
        <w:tc>
          <w:tcPr>
            <w:tcW w:w="3969" w:type="dxa"/>
            <w:tcBorders>
              <w:top w:val="single" w:sz="4" w:space="0" w:color="auto"/>
              <w:left w:val="single" w:sz="4" w:space="0" w:color="auto"/>
              <w:bottom w:val="single" w:sz="4" w:space="0" w:color="auto"/>
              <w:right w:val="single" w:sz="4" w:space="0" w:color="auto"/>
            </w:tcBorders>
            <w:tcMar>
              <w:top w:w="170" w:type="dxa"/>
              <w:left w:w="170" w:type="dxa"/>
              <w:bottom w:w="170" w:type="dxa"/>
              <w:right w:w="170" w:type="dxa"/>
            </w:tcMar>
          </w:tcPr>
          <w:p w14:paraId="64380F18" w14:textId="7E5B8813" w:rsidR="008A32D0" w:rsidRPr="008E7494" w:rsidRDefault="008A32D0" w:rsidP="00066DE4">
            <w:pPr>
              <w:spacing w:after="0"/>
            </w:pPr>
            <w:r>
              <w:rPr>
                <w:rFonts w:cs="Arial"/>
                <w:szCs w:val="20"/>
              </w:rPr>
              <w:t xml:space="preserve">Dr Chris </w:t>
            </w:r>
            <w:proofErr w:type="spellStart"/>
            <w:r>
              <w:rPr>
                <w:rFonts w:cs="Arial"/>
                <w:szCs w:val="20"/>
              </w:rPr>
              <w:t>Sarra</w:t>
            </w:r>
            <w:proofErr w:type="spellEnd"/>
            <w:r w:rsidRPr="008E7494">
              <w:rPr>
                <w:rFonts w:cs="Arial"/>
                <w:szCs w:val="20"/>
              </w:rPr>
              <w:t xml:space="preserve"> (Chair), Director-General DATSIP; Mr Troy Sloan, First Assistant Secretary, </w:t>
            </w:r>
            <w:r>
              <w:rPr>
                <w:rFonts w:cs="Arial"/>
                <w:szCs w:val="20"/>
              </w:rPr>
              <w:t>Legal, Employment</w:t>
            </w:r>
            <w:r w:rsidR="004E16C2">
              <w:rPr>
                <w:rFonts w:cs="Arial"/>
                <w:szCs w:val="20"/>
              </w:rPr>
              <w:t>, Environment</w:t>
            </w:r>
            <w:r>
              <w:rPr>
                <w:rFonts w:cs="Arial"/>
                <w:szCs w:val="20"/>
              </w:rPr>
              <w:t xml:space="preserve"> and </w:t>
            </w:r>
            <w:r w:rsidRPr="005B27C8">
              <w:rPr>
                <w:rFonts w:cs="Arial"/>
                <w:szCs w:val="20"/>
              </w:rPr>
              <w:t>Evaluation Division</w:t>
            </w:r>
            <w:r w:rsidRPr="008E7494">
              <w:rPr>
                <w:rFonts w:cs="Arial"/>
                <w:szCs w:val="20"/>
              </w:rPr>
              <w:t>, DPMC</w:t>
            </w:r>
            <w:r>
              <w:rPr>
                <w:rFonts w:cs="Arial"/>
                <w:szCs w:val="20"/>
              </w:rPr>
              <w:t xml:space="preserve">; and </w:t>
            </w:r>
            <w:r w:rsidRPr="008E7494">
              <w:t xml:space="preserve">Mr Noel Pearson, </w:t>
            </w:r>
            <w:r w:rsidRPr="008E7494">
              <w:rPr>
                <w:rFonts w:cs="Arial"/>
              </w:rPr>
              <w:t>Founder, C</w:t>
            </w:r>
            <w:r>
              <w:rPr>
                <w:rFonts w:cs="Arial"/>
              </w:rPr>
              <w:t xml:space="preserve">ape </w:t>
            </w:r>
            <w:r w:rsidRPr="008E7494">
              <w:rPr>
                <w:rFonts w:cs="Arial"/>
              </w:rPr>
              <w:t>Y</w:t>
            </w:r>
            <w:r>
              <w:rPr>
                <w:rFonts w:cs="Arial"/>
              </w:rPr>
              <w:t xml:space="preserve">ork </w:t>
            </w:r>
            <w:r w:rsidRPr="008E7494">
              <w:rPr>
                <w:rFonts w:cs="Arial"/>
              </w:rPr>
              <w:t>I</w:t>
            </w:r>
            <w:r>
              <w:rPr>
                <w:rFonts w:cs="Arial"/>
              </w:rPr>
              <w:t>nstitute</w:t>
            </w:r>
            <w:r w:rsidRPr="008E7494">
              <w:t>.</w:t>
            </w:r>
          </w:p>
        </w:tc>
      </w:tr>
      <w:tr w:rsidR="008A32D0" w:rsidRPr="008E7494" w14:paraId="5435663E" w14:textId="77777777" w:rsidTr="00066DE4">
        <w:trPr>
          <w:trHeight w:val="60"/>
        </w:trPr>
        <w:tc>
          <w:tcPr>
            <w:tcW w:w="1985" w:type="dxa"/>
            <w:tcBorders>
              <w:top w:val="single" w:sz="4" w:space="0" w:color="auto"/>
              <w:left w:val="single" w:sz="4" w:space="0" w:color="auto"/>
              <w:bottom w:val="single" w:sz="4" w:space="0" w:color="auto"/>
              <w:right w:val="single" w:sz="4" w:space="0" w:color="auto"/>
            </w:tcBorders>
            <w:tcMar>
              <w:top w:w="170" w:type="dxa"/>
              <w:left w:w="170" w:type="dxa"/>
              <w:bottom w:w="170" w:type="dxa"/>
              <w:right w:w="170" w:type="dxa"/>
            </w:tcMar>
          </w:tcPr>
          <w:p w14:paraId="29FDF87F" w14:textId="77777777" w:rsidR="008A32D0" w:rsidRPr="008E7494" w:rsidRDefault="008A32D0" w:rsidP="00066DE4">
            <w:pPr>
              <w:spacing w:after="0"/>
            </w:pPr>
            <w:r>
              <w:t>29 May 2019</w:t>
            </w:r>
          </w:p>
        </w:tc>
        <w:tc>
          <w:tcPr>
            <w:tcW w:w="2835" w:type="dxa"/>
            <w:tcBorders>
              <w:top w:val="single" w:sz="4" w:space="0" w:color="auto"/>
              <w:left w:val="single" w:sz="4" w:space="0" w:color="auto"/>
              <w:bottom w:val="single" w:sz="4" w:space="0" w:color="auto"/>
              <w:right w:val="single" w:sz="4" w:space="0" w:color="auto"/>
            </w:tcBorders>
            <w:tcMar>
              <w:top w:w="170" w:type="dxa"/>
              <w:left w:w="170" w:type="dxa"/>
              <w:bottom w:w="170" w:type="dxa"/>
              <w:right w:w="170" w:type="dxa"/>
            </w:tcMar>
          </w:tcPr>
          <w:p w14:paraId="0F32E1B4" w14:textId="77777777" w:rsidR="008A32D0" w:rsidRDefault="008A32D0" w:rsidP="00066DE4">
            <w:pPr>
              <w:spacing w:after="0"/>
              <w:rPr>
                <w:rFonts w:cs="Arial"/>
                <w:szCs w:val="20"/>
              </w:rPr>
            </w:pPr>
            <w:r w:rsidRPr="008E7494">
              <w:rPr>
                <w:rFonts w:cs="Arial"/>
                <w:szCs w:val="20"/>
              </w:rPr>
              <w:t xml:space="preserve">Room </w:t>
            </w:r>
            <w:r>
              <w:rPr>
                <w:rFonts w:cs="Arial"/>
                <w:szCs w:val="20"/>
              </w:rPr>
              <w:t>1.03</w:t>
            </w:r>
          </w:p>
          <w:p w14:paraId="2E096765" w14:textId="77777777" w:rsidR="008A32D0" w:rsidRPr="008E7494" w:rsidRDefault="008A32D0" w:rsidP="00066DE4">
            <w:pPr>
              <w:spacing w:after="0"/>
              <w:rPr>
                <w:rFonts w:cs="Arial"/>
                <w:szCs w:val="20"/>
              </w:rPr>
            </w:pPr>
            <w:r>
              <w:rPr>
                <w:rFonts w:cs="Arial"/>
                <w:szCs w:val="20"/>
              </w:rPr>
              <w:t>Level 1</w:t>
            </w:r>
          </w:p>
          <w:p w14:paraId="39D05F97" w14:textId="77777777" w:rsidR="008A32D0" w:rsidRPr="008E7494" w:rsidRDefault="008A32D0" w:rsidP="00066DE4">
            <w:pPr>
              <w:spacing w:after="0"/>
            </w:pPr>
            <w:r w:rsidRPr="008E7494">
              <w:t>1 William Street, Brisbane</w:t>
            </w:r>
          </w:p>
        </w:tc>
        <w:tc>
          <w:tcPr>
            <w:tcW w:w="3969" w:type="dxa"/>
            <w:tcBorders>
              <w:top w:val="single" w:sz="4" w:space="0" w:color="auto"/>
              <w:left w:val="single" w:sz="4" w:space="0" w:color="auto"/>
              <w:bottom w:val="single" w:sz="4" w:space="0" w:color="auto"/>
              <w:right w:val="single" w:sz="4" w:space="0" w:color="auto"/>
            </w:tcBorders>
            <w:tcMar>
              <w:top w:w="170" w:type="dxa"/>
              <w:left w:w="170" w:type="dxa"/>
              <w:bottom w:w="170" w:type="dxa"/>
              <w:right w:w="170" w:type="dxa"/>
            </w:tcMar>
          </w:tcPr>
          <w:p w14:paraId="09EFEBCA" w14:textId="7B72F3EE" w:rsidR="008A32D0" w:rsidRPr="008E7494" w:rsidRDefault="008A32D0" w:rsidP="00066DE4">
            <w:pPr>
              <w:spacing w:after="0"/>
              <w:rPr>
                <w:rFonts w:cs="Arial"/>
              </w:rPr>
            </w:pPr>
            <w:r>
              <w:rPr>
                <w:rFonts w:cs="Arial"/>
                <w:szCs w:val="20"/>
              </w:rPr>
              <w:t xml:space="preserve">Dr Chris </w:t>
            </w:r>
            <w:proofErr w:type="spellStart"/>
            <w:r>
              <w:rPr>
                <w:rFonts w:cs="Arial"/>
                <w:szCs w:val="20"/>
              </w:rPr>
              <w:t>Sarra</w:t>
            </w:r>
            <w:proofErr w:type="spellEnd"/>
            <w:r w:rsidRPr="008E7494">
              <w:rPr>
                <w:rFonts w:cs="Arial"/>
                <w:szCs w:val="20"/>
              </w:rPr>
              <w:t xml:space="preserve"> (Chair), Director-General DATSIP; Mr Troy Sloan, First Assistant Secretary, </w:t>
            </w:r>
            <w:r>
              <w:rPr>
                <w:rFonts w:cs="Arial"/>
                <w:szCs w:val="20"/>
              </w:rPr>
              <w:t>Legal, Employment</w:t>
            </w:r>
            <w:r w:rsidR="004E16C2">
              <w:rPr>
                <w:rFonts w:cs="Arial"/>
                <w:szCs w:val="20"/>
              </w:rPr>
              <w:t>, Environment</w:t>
            </w:r>
            <w:r>
              <w:rPr>
                <w:rFonts w:cs="Arial"/>
                <w:szCs w:val="20"/>
              </w:rPr>
              <w:t xml:space="preserve"> and </w:t>
            </w:r>
            <w:r w:rsidRPr="005B27C8">
              <w:rPr>
                <w:rFonts w:cs="Arial"/>
                <w:szCs w:val="20"/>
              </w:rPr>
              <w:t>Evaluation Division</w:t>
            </w:r>
            <w:r w:rsidRPr="008E7494">
              <w:rPr>
                <w:rFonts w:cs="Arial"/>
                <w:szCs w:val="20"/>
              </w:rPr>
              <w:t>, DPMC</w:t>
            </w:r>
            <w:r>
              <w:rPr>
                <w:rFonts w:cs="Arial"/>
                <w:szCs w:val="20"/>
              </w:rPr>
              <w:t xml:space="preserve">; and </w:t>
            </w:r>
            <w:r w:rsidRPr="008E7494">
              <w:t xml:space="preserve">Mr Noel Pearson, </w:t>
            </w:r>
            <w:r w:rsidRPr="008E7494">
              <w:rPr>
                <w:rFonts w:cs="Arial"/>
              </w:rPr>
              <w:t>Founder, C</w:t>
            </w:r>
            <w:r>
              <w:rPr>
                <w:rFonts w:cs="Arial"/>
              </w:rPr>
              <w:t xml:space="preserve">ape </w:t>
            </w:r>
            <w:r w:rsidRPr="008E7494">
              <w:rPr>
                <w:rFonts w:cs="Arial"/>
              </w:rPr>
              <w:t>Y</w:t>
            </w:r>
            <w:r>
              <w:rPr>
                <w:rFonts w:cs="Arial"/>
              </w:rPr>
              <w:t xml:space="preserve">ork </w:t>
            </w:r>
            <w:r w:rsidRPr="008E7494">
              <w:rPr>
                <w:rFonts w:cs="Arial"/>
              </w:rPr>
              <w:t>I</w:t>
            </w:r>
            <w:r>
              <w:rPr>
                <w:rFonts w:cs="Arial"/>
              </w:rPr>
              <w:t>nstitute</w:t>
            </w:r>
            <w:r w:rsidRPr="008E7494">
              <w:t>.</w:t>
            </w:r>
          </w:p>
        </w:tc>
      </w:tr>
    </w:tbl>
    <w:p w14:paraId="1FA04BC4" w14:textId="77777777" w:rsidR="008A32D0" w:rsidRPr="0001769E" w:rsidRDefault="008A32D0" w:rsidP="008A32D0">
      <w:pPr>
        <w:rPr>
          <w:lang w:eastAsia="en-AU"/>
        </w:rPr>
      </w:pPr>
    </w:p>
    <w:p w14:paraId="63875F9D" w14:textId="77777777" w:rsidR="008A32D0" w:rsidRDefault="008A32D0" w:rsidP="003E09C0">
      <w:pPr>
        <w:rPr>
          <w:rFonts w:cs="Arial"/>
          <w:szCs w:val="20"/>
          <w:lang w:val="en-US" w:eastAsia="en-AU"/>
        </w:rPr>
        <w:sectPr w:rsidR="008A32D0" w:rsidSect="002E0070">
          <w:headerReference w:type="even" r:id="rId87"/>
          <w:headerReference w:type="default" r:id="rId88"/>
          <w:footerReference w:type="default" r:id="rId89"/>
          <w:headerReference w:type="first" r:id="rId90"/>
          <w:footnotePr>
            <w:numRestart w:val="eachSect"/>
          </w:footnotePr>
          <w:pgSz w:w="11906" w:h="16838" w:code="9"/>
          <w:pgMar w:top="2948" w:right="1701" w:bottom="567" w:left="1701" w:header="0" w:footer="567" w:gutter="0"/>
          <w:pgNumType w:start="107"/>
          <w:cols w:space="708"/>
          <w:docGrid w:linePitch="360"/>
        </w:sectPr>
      </w:pPr>
    </w:p>
    <w:p w14:paraId="5B6BF9D4" w14:textId="77777777" w:rsidR="00DF019A" w:rsidRPr="004304D6" w:rsidRDefault="00DF019A" w:rsidP="004304D6">
      <w:pPr>
        <w:pStyle w:val="Heading2"/>
      </w:pPr>
      <w:r w:rsidRPr="004304D6">
        <w:lastRenderedPageBreak/>
        <w:t>APPENDIX B – Sittings calendar</w:t>
      </w:r>
    </w:p>
    <w:p w14:paraId="585C1427" w14:textId="77777777" w:rsidR="00DF019A" w:rsidRPr="004304D6" w:rsidRDefault="00DF019A" w:rsidP="004304D6">
      <w:pPr>
        <w:pStyle w:val="Heading3"/>
      </w:pPr>
      <w:r w:rsidRPr="004304D6">
        <w:t>Family Responsibilities Commission 1 July 2018 to 31 December 2018</w:t>
      </w:r>
    </w:p>
    <w:tbl>
      <w:tblPr>
        <w:tblW w:w="11482" w:type="dxa"/>
        <w:jc w:val="center"/>
        <w:tblBorders>
          <w:bottom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30"/>
        <w:gridCol w:w="1418"/>
        <w:gridCol w:w="1275"/>
        <w:gridCol w:w="1418"/>
        <w:gridCol w:w="1131"/>
        <w:gridCol w:w="1704"/>
        <w:gridCol w:w="2806"/>
      </w:tblGrid>
      <w:tr w:rsidR="00DF019A" w:rsidRPr="008E7494" w14:paraId="01698288" w14:textId="77777777" w:rsidTr="00066DE4">
        <w:trPr>
          <w:trHeight w:hRule="exact" w:val="619"/>
          <w:tblHeader/>
          <w:jc w:val="center"/>
        </w:trPr>
        <w:tc>
          <w:tcPr>
            <w:tcW w:w="1730" w:type="dxa"/>
            <w:tcBorders>
              <w:top w:val="single" w:sz="18" w:space="0" w:color="808080"/>
              <w:left w:val="single" w:sz="18" w:space="0" w:color="808080"/>
              <w:bottom w:val="single" w:sz="18" w:space="0" w:color="808080"/>
              <w:right w:val="single" w:sz="18" w:space="0" w:color="C0C0C0"/>
            </w:tcBorders>
            <w:shd w:val="clear" w:color="auto" w:fill="D9D9D9"/>
            <w:vAlign w:val="center"/>
          </w:tcPr>
          <w:p w14:paraId="5F7E09B6" w14:textId="77777777" w:rsidR="00DF019A" w:rsidRPr="008E7494" w:rsidRDefault="00DF019A" w:rsidP="00066DE4">
            <w:pPr>
              <w:ind w:right="-100"/>
              <w:jc w:val="center"/>
              <w:rPr>
                <w:rFonts w:cs="Arial"/>
                <w:b/>
                <w:bCs/>
                <w:sz w:val="16"/>
                <w:szCs w:val="16"/>
              </w:rPr>
            </w:pPr>
            <w:r w:rsidRPr="008E7494">
              <w:rPr>
                <w:rFonts w:cs="Arial"/>
                <w:b/>
                <w:bCs/>
                <w:sz w:val="16"/>
                <w:szCs w:val="16"/>
              </w:rPr>
              <w:t>WEEK COMMENCING</w:t>
            </w:r>
          </w:p>
        </w:tc>
        <w:tc>
          <w:tcPr>
            <w:tcW w:w="1418" w:type="dxa"/>
            <w:tcBorders>
              <w:top w:val="single" w:sz="18" w:space="0" w:color="808080"/>
              <w:left w:val="single" w:sz="18" w:space="0" w:color="C0C0C0"/>
              <w:bottom w:val="single" w:sz="18" w:space="0" w:color="808080"/>
              <w:right w:val="single" w:sz="18" w:space="0" w:color="C0C0C0"/>
            </w:tcBorders>
            <w:shd w:val="clear" w:color="auto" w:fill="D9D9D9"/>
            <w:vAlign w:val="center"/>
          </w:tcPr>
          <w:p w14:paraId="01477A64" w14:textId="77777777" w:rsidR="00DF019A" w:rsidRPr="008E7494" w:rsidRDefault="00DF019A" w:rsidP="00066DE4">
            <w:pPr>
              <w:jc w:val="center"/>
              <w:rPr>
                <w:rFonts w:cs="Arial"/>
                <w:b/>
                <w:bCs/>
                <w:sz w:val="16"/>
                <w:szCs w:val="16"/>
              </w:rPr>
            </w:pPr>
            <w:r w:rsidRPr="008E7494">
              <w:rPr>
                <w:rFonts w:cs="Arial"/>
                <w:b/>
                <w:bCs/>
                <w:sz w:val="16"/>
                <w:szCs w:val="16"/>
              </w:rPr>
              <w:t>MONDAY</w:t>
            </w:r>
          </w:p>
        </w:tc>
        <w:tc>
          <w:tcPr>
            <w:tcW w:w="1275" w:type="dxa"/>
            <w:tcBorders>
              <w:top w:val="single" w:sz="18" w:space="0" w:color="808080"/>
              <w:left w:val="single" w:sz="18" w:space="0" w:color="C0C0C0"/>
              <w:bottom w:val="single" w:sz="18" w:space="0" w:color="808080" w:themeColor="background1" w:themeShade="80"/>
              <w:right w:val="single" w:sz="18" w:space="0" w:color="C0C0C0"/>
            </w:tcBorders>
            <w:shd w:val="clear" w:color="auto" w:fill="D9D9D9"/>
            <w:vAlign w:val="center"/>
          </w:tcPr>
          <w:p w14:paraId="2E2EF7B1" w14:textId="77777777" w:rsidR="00DF019A" w:rsidRPr="008E7494" w:rsidRDefault="00DF019A" w:rsidP="00066DE4">
            <w:pPr>
              <w:jc w:val="center"/>
              <w:rPr>
                <w:rFonts w:cs="Arial"/>
                <w:b/>
                <w:bCs/>
                <w:sz w:val="16"/>
                <w:szCs w:val="16"/>
              </w:rPr>
            </w:pPr>
            <w:r w:rsidRPr="008E7494">
              <w:rPr>
                <w:rFonts w:cs="Arial"/>
                <w:b/>
                <w:bCs/>
                <w:sz w:val="16"/>
                <w:szCs w:val="16"/>
              </w:rPr>
              <w:t>TUESDAY</w:t>
            </w:r>
          </w:p>
        </w:tc>
        <w:tc>
          <w:tcPr>
            <w:tcW w:w="1418" w:type="dxa"/>
            <w:tcBorders>
              <w:top w:val="single" w:sz="18" w:space="0" w:color="808080"/>
              <w:left w:val="single" w:sz="18" w:space="0" w:color="C0C0C0"/>
              <w:bottom w:val="single" w:sz="18" w:space="0" w:color="808080" w:themeColor="background1" w:themeShade="80"/>
              <w:right w:val="single" w:sz="18" w:space="0" w:color="C0C0C0"/>
            </w:tcBorders>
            <w:shd w:val="clear" w:color="auto" w:fill="D9D9D9"/>
            <w:vAlign w:val="center"/>
          </w:tcPr>
          <w:p w14:paraId="5AE0FEF7" w14:textId="77777777" w:rsidR="00DF019A" w:rsidRPr="008E7494" w:rsidRDefault="00DF019A" w:rsidP="00066DE4">
            <w:pPr>
              <w:jc w:val="center"/>
              <w:rPr>
                <w:rFonts w:cs="Arial"/>
                <w:b/>
                <w:bCs/>
                <w:sz w:val="16"/>
                <w:szCs w:val="16"/>
              </w:rPr>
            </w:pPr>
            <w:r w:rsidRPr="008E7494">
              <w:rPr>
                <w:rFonts w:cs="Arial"/>
                <w:b/>
                <w:bCs/>
                <w:sz w:val="16"/>
                <w:szCs w:val="16"/>
              </w:rPr>
              <w:t>WEDNESDAY</w:t>
            </w:r>
          </w:p>
        </w:tc>
        <w:tc>
          <w:tcPr>
            <w:tcW w:w="1131" w:type="dxa"/>
            <w:tcBorders>
              <w:top w:val="single" w:sz="18" w:space="0" w:color="808080"/>
              <w:left w:val="single" w:sz="18" w:space="0" w:color="C0C0C0"/>
              <w:bottom w:val="single" w:sz="18" w:space="0" w:color="808080" w:themeColor="background1" w:themeShade="80"/>
              <w:right w:val="single" w:sz="18" w:space="0" w:color="C0C0C0"/>
            </w:tcBorders>
            <w:shd w:val="clear" w:color="auto" w:fill="D9D9D9"/>
            <w:vAlign w:val="center"/>
          </w:tcPr>
          <w:p w14:paraId="04A241E2" w14:textId="77777777" w:rsidR="00DF019A" w:rsidRPr="008E7494" w:rsidRDefault="00DF019A" w:rsidP="00066DE4">
            <w:pPr>
              <w:jc w:val="center"/>
              <w:rPr>
                <w:rFonts w:cs="Arial"/>
                <w:b/>
                <w:bCs/>
                <w:sz w:val="16"/>
                <w:szCs w:val="16"/>
              </w:rPr>
            </w:pPr>
            <w:r w:rsidRPr="008E7494">
              <w:rPr>
                <w:rFonts w:cs="Arial"/>
                <w:b/>
                <w:bCs/>
                <w:sz w:val="16"/>
                <w:szCs w:val="16"/>
              </w:rPr>
              <w:t>THURSDAY</w:t>
            </w:r>
          </w:p>
        </w:tc>
        <w:tc>
          <w:tcPr>
            <w:tcW w:w="1704" w:type="dxa"/>
            <w:tcBorders>
              <w:top w:val="single" w:sz="18" w:space="0" w:color="808080"/>
              <w:left w:val="single" w:sz="18" w:space="0" w:color="C0C0C0"/>
              <w:bottom w:val="single" w:sz="18" w:space="0" w:color="808080"/>
              <w:right w:val="single" w:sz="18" w:space="0" w:color="808080"/>
            </w:tcBorders>
            <w:shd w:val="clear" w:color="auto" w:fill="D9D9D9"/>
            <w:vAlign w:val="center"/>
          </w:tcPr>
          <w:p w14:paraId="5FC6255C" w14:textId="77777777" w:rsidR="00DF019A" w:rsidRPr="008E7494" w:rsidRDefault="00DF019A" w:rsidP="00066DE4">
            <w:pPr>
              <w:jc w:val="center"/>
              <w:rPr>
                <w:rFonts w:cs="Arial"/>
                <w:b/>
                <w:bCs/>
                <w:sz w:val="16"/>
                <w:szCs w:val="16"/>
              </w:rPr>
            </w:pPr>
            <w:r w:rsidRPr="008E7494">
              <w:rPr>
                <w:rFonts w:cs="Arial"/>
                <w:b/>
                <w:bCs/>
                <w:sz w:val="16"/>
                <w:szCs w:val="16"/>
              </w:rPr>
              <w:t>FRIDAY</w:t>
            </w:r>
          </w:p>
        </w:tc>
        <w:tc>
          <w:tcPr>
            <w:tcW w:w="2806" w:type="dxa"/>
            <w:tcBorders>
              <w:top w:val="single" w:sz="18" w:space="0" w:color="808080"/>
              <w:left w:val="single" w:sz="18" w:space="0" w:color="808080"/>
              <w:bottom w:val="single" w:sz="18" w:space="0" w:color="808080"/>
              <w:right w:val="single" w:sz="18" w:space="0" w:color="808080"/>
            </w:tcBorders>
            <w:shd w:val="clear" w:color="auto" w:fill="D9D9D9"/>
            <w:vAlign w:val="center"/>
          </w:tcPr>
          <w:p w14:paraId="4F942558" w14:textId="77777777" w:rsidR="00DF019A" w:rsidRPr="008E7494" w:rsidRDefault="00DF019A" w:rsidP="00066DE4">
            <w:pPr>
              <w:jc w:val="center"/>
              <w:rPr>
                <w:rFonts w:cs="Arial"/>
                <w:b/>
                <w:bCs/>
                <w:sz w:val="16"/>
                <w:szCs w:val="16"/>
              </w:rPr>
            </w:pPr>
            <w:r w:rsidRPr="008E7494">
              <w:rPr>
                <w:rFonts w:cs="Arial"/>
                <w:b/>
                <w:bCs/>
                <w:sz w:val="16"/>
                <w:szCs w:val="16"/>
              </w:rPr>
              <w:t>OTHER</w:t>
            </w:r>
          </w:p>
        </w:tc>
      </w:tr>
      <w:tr w:rsidR="00DF019A" w:rsidRPr="008E7494" w14:paraId="26751A79" w14:textId="77777777" w:rsidTr="00066DE4">
        <w:trPr>
          <w:trHeight w:hRule="exact" w:val="397"/>
          <w:jc w:val="center"/>
        </w:trPr>
        <w:tc>
          <w:tcPr>
            <w:tcW w:w="1730" w:type="dxa"/>
            <w:tcBorders>
              <w:top w:val="single" w:sz="18" w:space="0" w:color="808080"/>
              <w:left w:val="single" w:sz="18" w:space="0" w:color="808080"/>
              <w:bottom w:val="single" w:sz="18" w:space="0" w:color="C0C0C0"/>
              <w:right w:val="single" w:sz="18" w:space="0" w:color="C0C0C0"/>
            </w:tcBorders>
            <w:vAlign w:val="center"/>
          </w:tcPr>
          <w:p w14:paraId="47C13B8D" w14:textId="77777777" w:rsidR="00DF019A" w:rsidRPr="008E7494" w:rsidRDefault="00DF019A" w:rsidP="00066DE4">
            <w:pPr>
              <w:spacing w:after="0"/>
              <w:jc w:val="center"/>
              <w:rPr>
                <w:rFonts w:cs="Arial"/>
                <w:sz w:val="16"/>
                <w:szCs w:val="16"/>
              </w:rPr>
            </w:pPr>
            <w:r>
              <w:rPr>
                <w:rFonts w:cs="Arial"/>
                <w:sz w:val="16"/>
                <w:szCs w:val="16"/>
              </w:rPr>
              <w:t>2</w:t>
            </w:r>
            <w:r w:rsidRPr="008E7494">
              <w:rPr>
                <w:rFonts w:cs="Arial"/>
                <w:sz w:val="16"/>
                <w:szCs w:val="16"/>
              </w:rPr>
              <w:t xml:space="preserve"> July</w:t>
            </w:r>
          </w:p>
        </w:tc>
        <w:tc>
          <w:tcPr>
            <w:tcW w:w="1418" w:type="dxa"/>
            <w:tcBorders>
              <w:top w:val="single" w:sz="18" w:space="0" w:color="808080"/>
              <w:left w:val="single" w:sz="18" w:space="0" w:color="C0C0C0"/>
              <w:bottom w:val="single" w:sz="18" w:space="0" w:color="C0C0C0"/>
              <w:right w:val="single" w:sz="18" w:space="0" w:color="C0C0C0"/>
            </w:tcBorders>
            <w:shd w:val="clear" w:color="auto" w:fill="D9D9D9"/>
            <w:vAlign w:val="center"/>
          </w:tcPr>
          <w:p w14:paraId="5B166724" w14:textId="77777777" w:rsidR="00DF019A" w:rsidRPr="008E7494" w:rsidRDefault="00DF019A" w:rsidP="00066DE4">
            <w:pPr>
              <w:spacing w:after="0"/>
              <w:jc w:val="center"/>
              <w:rPr>
                <w:rFonts w:cs="Arial"/>
                <w:sz w:val="16"/>
                <w:szCs w:val="16"/>
              </w:rPr>
            </w:pPr>
          </w:p>
        </w:tc>
        <w:tc>
          <w:tcPr>
            <w:tcW w:w="1275" w:type="dxa"/>
            <w:tcBorders>
              <w:top w:val="single" w:sz="18" w:space="0" w:color="808080" w:themeColor="background1" w:themeShade="80"/>
              <w:left w:val="single" w:sz="18" w:space="0" w:color="C0C0C0"/>
              <w:bottom w:val="single" w:sz="18" w:space="0" w:color="C0C0C0"/>
              <w:right w:val="single" w:sz="18" w:space="0" w:color="C0C0C0"/>
            </w:tcBorders>
            <w:shd w:val="clear" w:color="auto" w:fill="D9D9D9"/>
            <w:vAlign w:val="center"/>
          </w:tcPr>
          <w:p w14:paraId="057FA9FF" w14:textId="77777777" w:rsidR="00DF019A" w:rsidRPr="008E7494" w:rsidRDefault="00DF019A" w:rsidP="00066DE4">
            <w:pPr>
              <w:spacing w:after="0"/>
              <w:jc w:val="center"/>
              <w:rPr>
                <w:rFonts w:cs="Arial"/>
                <w:sz w:val="16"/>
                <w:szCs w:val="16"/>
              </w:rPr>
            </w:pPr>
          </w:p>
        </w:tc>
        <w:tc>
          <w:tcPr>
            <w:tcW w:w="1418" w:type="dxa"/>
            <w:tcBorders>
              <w:top w:val="single" w:sz="18" w:space="0" w:color="808080" w:themeColor="background1" w:themeShade="80"/>
              <w:left w:val="single" w:sz="18" w:space="0" w:color="C0C0C0"/>
              <w:bottom w:val="single" w:sz="18" w:space="0" w:color="C0C0C0"/>
              <w:right w:val="single" w:sz="18" w:space="0" w:color="C0C0C0"/>
            </w:tcBorders>
            <w:shd w:val="clear" w:color="auto" w:fill="D9D9D9"/>
            <w:vAlign w:val="center"/>
          </w:tcPr>
          <w:p w14:paraId="0DA94DEB" w14:textId="77777777" w:rsidR="00DF019A" w:rsidRPr="008E7494" w:rsidRDefault="00DF019A" w:rsidP="00066DE4">
            <w:pPr>
              <w:spacing w:after="0"/>
              <w:jc w:val="center"/>
              <w:rPr>
                <w:rFonts w:cs="Arial"/>
                <w:sz w:val="16"/>
                <w:szCs w:val="16"/>
              </w:rPr>
            </w:pPr>
          </w:p>
        </w:tc>
        <w:tc>
          <w:tcPr>
            <w:tcW w:w="1131" w:type="dxa"/>
            <w:tcBorders>
              <w:top w:val="single" w:sz="18" w:space="0" w:color="808080" w:themeColor="background1" w:themeShade="80"/>
              <w:left w:val="single" w:sz="18" w:space="0" w:color="C0C0C0"/>
              <w:bottom w:val="single" w:sz="18" w:space="0" w:color="C0C0C0"/>
              <w:right w:val="single" w:sz="18" w:space="0" w:color="C0C0C0"/>
            </w:tcBorders>
            <w:shd w:val="clear" w:color="auto" w:fill="D9D9D9"/>
            <w:vAlign w:val="center"/>
          </w:tcPr>
          <w:p w14:paraId="331EDF47" w14:textId="77777777" w:rsidR="00DF019A" w:rsidRPr="008E7494" w:rsidRDefault="00DF019A" w:rsidP="00066DE4">
            <w:pPr>
              <w:spacing w:after="0"/>
              <w:jc w:val="center"/>
              <w:rPr>
                <w:rFonts w:cs="Arial"/>
                <w:sz w:val="16"/>
                <w:szCs w:val="16"/>
              </w:rPr>
            </w:pPr>
          </w:p>
        </w:tc>
        <w:tc>
          <w:tcPr>
            <w:tcW w:w="1704" w:type="dxa"/>
            <w:tcBorders>
              <w:top w:val="single" w:sz="18" w:space="0" w:color="808080"/>
              <w:left w:val="single" w:sz="18" w:space="0" w:color="C0C0C0"/>
              <w:bottom w:val="single" w:sz="18" w:space="0" w:color="C0C0C0"/>
              <w:right w:val="single" w:sz="18" w:space="0" w:color="808080"/>
            </w:tcBorders>
            <w:shd w:val="clear" w:color="auto" w:fill="D9D9D9"/>
            <w:vAlign w:val="center"/>
          </w:tcPr>
          <w:p w14:paraId="42687565" w14:textId="77777777" w:rsidR="00DF019A" w:rsidRPr="008E7494" w:rsidRDefault="00DF019A" w:rsidP="00066DE4">
            <w:pPr>
              <w:spacing w:after="0"/>
              <w:jc w:val="center"/>
              <w:rPr>
                <w:rFonts w:cs="Arial"/>
                <w:sz w:val="16"/>
                <w:szCs w:val="16"/>
              </w:rPr>
            </w:pPr>
          </w:p>
        </w:tc>
        <w:tc>
          <w:tcPr>
            <w:tcW w:w="2806" w:type="dxa"/>
            <w:tcBorders>
              <w:top w:val="single" w:sz="18" w:space="0" w:color="808080"/>
              <w:left w:val="single" w:sz="18" w:space="0" w:color="808080"/>
              <w:bottom w:val="single" w:sz="18" w:space="0" w:color="C0C0C0"/>
              <w:right w:val="single" w:sz="18" w:space="0" w:color="808080"/>
            </w:tcBorders>
            <w:shd w:val="clear" w:color="auto" w:fill="D9D9D9"/>
            <w:vAlign w:val="center"/>
          </w:tcPr>
          <w:p w14:paraId="3C6C6BEC" w14:textId="77777777" w:rsidR="00DF019A" w:rsidRPr="008E7494" w:rsidRDefault="00DF019A" w:rsidP="00066DE4">
            <w:pPr>
              <w:spacing w:after="0"/>
              <w:jc w:val="center"/>
              <w:rPr>
                <w:rFonts w:cs="Arial"/>
                <w:sz w:val="16"/>
                <w:szCs w:val="16"/>
              </w:rPr>
            </w:pPr>
          </w:p>
        </w:tc>
      </w:tr>
      <w:tr w:rsidR="00DF019A" w:rsidRPr="008E7494" w14:paraId="4A19EF57" w14:textId="77777777" w:rsidTr="00066DE4">
        <w:trPr>
          <w:trHeight w:val="397"/>
          <w:jc w:val="center"/>
        </w:trPr>
        <w:tc>
          <w:tcPr>
            <w:tcW w:w="1730" w:type="dxa"/>
            <w:tcBorders>
              <w:top w:val="single" w:sz="18" w:space="0" w:color="C0C0C0"/>
              <w:left w:val="single" w:sz="18" w:space="0" w:color="808080"/>
              <w:right w:val="single" w:sz="18" w:space="0" w:color="C0C0C0"/>
            </w:tcBorders>
            <w:vAlign w:val="center"/>
          </w:tcPr>
          <w:p w14:paraId="75855059" w14:textId="77777777" w:rsidR="00DF019A" w:rsidRPr="008E7494" w:rsidRDefault="00DF019A" w:rsidP="00066DE4">
            <w:pPr>
              <w:spacing w:after="0"/>
              <w:jc w:val="center"/>
              <w:rPr>
                <w:rFonts w:cs="Arial"/>
                <w:sz w:val="16"/>
                <w:szCs w:val="16"/>
              </w:rPr>
            </w:pPr>
            <w:r>
              <w:rPr>
                <w:rFonts w:cs="Arial"/>
                <w:sz w:val="16"/>
                <w:szCs w:val="16"/>
              </w:rPr>
              <w:t>9</w:t>
            </w:r>
            <w:r w:rsidRPr="008E7494">
              <w:rPr>
                <w:rFonts w:cs="Arial"/>
                <w:sz w:val="16"/>
                <w:szCs w:val="16"/>
              </w:rPr>
              <w:t xml:space="preserve"> July</w:t>
            </w:r>
          </w:p>
        </w:tc>
        <w:tc>
          <w:tcPr>
            <w:tcW w:w="1418" w:type="dxa"/>
            <w:tcBorders>
              <w:top w:val="single" w:sz="18" w:space="0" w:color="C0C0C0"/>
              <w:left w:val="single" w:sz="18" w:space="0" w:color="C0C0C0"/>
              <w:right w:val="single" w:sz="18" w:space="0" w:color="C0C0C0"/>
            </w:tcBorders>
            <w:shd w:val="clear" w:color="auto" w:fill="D9D9D9"/>
            <w:vAlign w:val="center"/>
          </w:tcPr>
          <w:p w14:paraId="16684F9C" w14:textId="77777777" w:rsidR="00DF019A" w:rsidRPr="008E7494" w:rsidRDefault="00DF019A" w:rsidP="00066DE4">
            <w:pPr>
              <w:spacing w:after="0"/>
              <w:jc w:val="center"/>
              <w:rPr>
                <w:rFonts w:cs="Arial"/>
                <w:sz w:val="16"/>
                <w:szCs w:val="16"/>
              </w:rPr>
            </w:pPr>
          </w:p>
        </w:tc>
        <w:tc>
          <w:tcPr>
            <w:tcW w:w="1275" w:type="dxa"/>
            <w:tcBorders>
              <w:top w:val="single" w:sz="18" w:space="0" w:color="C0C0C0"/>
              <w:left w:val="single" w:sz="18" w:space="0" w:color="C0C0C0"/>
              <w:right w:val="single" w:sz="18" w:space="0" w:color="C0C0C0"/>
            </w:tcBorders>
            <w:shd w:val="clear" w:color="auto" w:fill="D9D9D9"/>
            <w:vAlign w:val="center"/>
          </w:tcPr>
          <w:p w14:paraId="3AC2CF17" w14:textId="77777777" w:rsidR="00DF019A" w:rsidRPr="008E7494" w:rsidRDefault="00DF019A" w:rsidP="00066DE4">
            <w:pPr>
              <w:spacing w:after="0"/>
              <w:jc w:val="center"/>
              <w:rPr>
                <w:rFonts w:cs="Arial"/>
                <w:sz w:val="16"/>
                <w:szCs w:val="16"/>
              </w:rPr>
            </w:pPr>
          </w:p>
        </w:tc>
        <w:tc>
          <w:tcPr>
            <w:tcW w:w="1418" w:type="dxa"/>
            <w:tcBorders>
              <w:top w:val="single" w:sz="18" w:space="0" w:color="C0C0C0"/>
              <w:left w:val="single" w:sz="18" w:space="0" w:color="C0C0C0"/>
              <w:right w:val="single" w:sz="18" w:space="0" w:color="C0C0C0"/>
            </w:tcBorders>
            <w:shd w:val="clear" w:color="auto" w:fill="D9D9D9"/>
            <w:vAlign w:val="center"/>
          </w:tcPr>
          <w:p w14:paraId="5E8F80C4" w14:textId="77777777" w:rsidR="00DF019A" w:rsidRPr="008E7494" w:rsidRDefault="00DF019A" w:rsidP="00066DE4">
            <w:pPr>
              <w:spacing w:after="0"/>
              <w:jc w:val="center"/>
              <w:rPr>
                <w:rFonts w:cs="Arial"/>
                <w:sz w:val="16"/>
                <w:szCs w:val="16"/>
              </w:rPr>
            </w:pPr>
          </w:p>
        </w:tc>
        <w:tc>
          <w:tcPr>
            <w:tcW w:w="1131"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424BD01F" w14:textId="77777777" w:rsidR="00DF019A" w:rsidRPr="008E7494" w:rsidRDefault="00DF019A" w:rsidP="00066DE4">
            <w:pPr>
              <w:spacing w:after="0"/>
              <w:jc w:val="center"/>
              <w:rPr>
                <w:rFonts w:cs="Arial"/>
                <w:sz w:val="16"/>
                <w:szCs w:val="16"/>
              </w:rPr>
            </w:pPr>
          </w:p>
        </w:tc>
        <w:tc>
          <w:tcPr>
            <w:tcW w:w="1704" w:type="dxa"/>
            <w:tcBorders>
              <w:top w:val="single" w:sz="18" w:space="0" w:color="C0C0C0"/>
              <w:left w:val="single" w:sz="18" w:space="0" w:color="C0C0C0"/>
              <w:right w:val="single" w:sz="18" w:space="0" w:color="808080"/>
            </w:tcBorders>
            <w:shd w:val="clear" w:color="auto" w:fill="D9D9D9"/>
            <w:vAlign w:val="center"/>
          </w:tcPr>
          <w:p w14:paraId="717C04D5" w14:textId="77777777" w:rsidR="00DF019A" w:rsidRPr="008E7494" w:rsidRDefault="00DF019A" w:rsidP="00066DE4">
            <w:pPr>
              <w:spacing w:after="0"/>
              <w:jc w:val="center"/>
              <w:rPr>
                <w:rFonts w:cs="Arial"/>
                <w:bCs/>
                <w:sz w:val="16"/>
                <w:szCs w:val="16"/>
              </w:rPr>
            </w:pPr>
          </w:p>
        </w:tc>
        <w:tc>
          <w:tcPr>
            <w:tcW w:w="2806" w:type="dxa"/>
            <w:tcBorders>
              <w:top w:val="single" w:sz="18" w:space="0" w:color="C0C0C0"/>
              <w:left w:val="single" w:sz="18" w:space="0" w:color="808080"/>
              <w:right w:val="single" w:sz="18" w:space="0" w:color="808080"/>
            </w:tcBorders>
            <w:shd w:val="clear" w:color="auto" w:fill="D9D9D9"/>
            <w:vAlign w:val="center"/>
          </w:tcPr>
          <w:p w14:paraId="3DD25BD6" w14:textId="77777777" w:rsidR="00DF019A" w:rsidRPr="008E7494" w:rsidRDefault="00DF019A" w:rsidP="00066DE4">
            <w:pPr>
              <w:spacing w:after="0"/>
              <w:jc w:val="center"/>
              <w:rPr>
                <w:rFonts w:cs="Arial"/>
                <w:sz w:val="16"/>
                <w:szCs w:val="16"/>
              </w:rPr>
            </w:pPr>
          </w:p>
        </w:tc>
      </w:tr>
      <w:tr w:rsidR="00DF019A" w:rsidRPr="008E7494" w14:paraId="636F1D31" w14:textId="77777777" w:rsidTr="00066DE4">
        <w:trPr>
          <w:trHeight w:hRule="exact" w:val="284"/>
          <w:jc w:val="center"/>
        </w:trPr>
        <w:tc>
          <w:tcPr>
            <w:tcW w:w="1730" w:type="dxa"/>
            <w:vMerge w:val="restart"/>
            <w:tcBorders>
              <w:top w:val="single" w:sz="18" w:space="0" w:color="C0C0C0"/>
              <w:left w:val="single" w:sz="18" w:space="0" w:color="808080"/>
              <w:right w:val="single" w:sz="18" w:space="0" w:color="C0C0C0"/>
            </w:tcBorders>
            <w:vAlign w:val="center"/>
          </w:tcPr>
          <w:p w14:paraId="5FFFCB33" w14:textId="77777777" w:rsidR="00DF019A" w:rsidRPr="008E7494" w:rsidRDefault="00DF019A" w:rsidP="00066DE4">
            <w:pPr>
              <w:spacing w:after="0"/>
              <w:jc w:val="center"/>
              <w:rPr>
                <w:rFonts w:cs="Arial"/>
                <w:sz w:val="16"/>
                <w:szCs w:val="16"/>
              </w:rPr>
            </w:pPr>
            <w:r w:rsidRPr="008E7494">
              <w:rPr>
                <w:rFonts w:cs="Arial"/>
                <w:sz w:val="16"/>
                <w:szCs w:val="16"/>
              </w:rPr>
              <w:t>1</w:t>
            </w:r>
            <w:r>
              <w:rPr>
                <w:rFonts w:cs="Arial"/>
                <w:sz w:val="16"/>
                <w:szCs w:val="16"/>
              </w:rPr>
              <w:t>6</w:t>
            </w:r>
            <w:r w:rsidRPr="008E7494">
              <w:rPr>
                <w:rFonts w:cs="Arial"/>
                <w:sz w:val="16"/>
                <w:szCs w:val="16"/>
              </w:rPr>
              <w:t xml:space="preserve"> July</w:t>
            </w:r>
          </w:p>
        </w:tc>
        <w:tc>
          <w:tcPr>
            <w:tcW w:w="1418" w:type="dxa"/>
            <w:vMerge w:val="restart"/>
            <w:tcBorders>
              <w:top w:val="single" w:sz="18" w:space="0" w:color="C0C0C0"/>
              <w:left w:val="single" w:sz="18" w:space="0" w:color="C0C0C0"/>
              <w:right w:val="single" w:sz="18" w:space="0" w:color="C0C0C0"/>
            </w:tcBorders>
            <w:vAlign w:val="center"/>
          </w:tcPr>
          <w:p w14:paraId="73234143" w14:textId="77777777" w:rsidR="00DF019A" w:rsidRPr="008E7494" w:rsidRDefault="00DF019A" w:rsidP="00066DE4">
            <w:pPr>
              <w:spacing w:after="0"/>
              <w:jc w:val="center"/>
              <w:rPr>
                <w:rFonts w:cs="Arial"/>
                <w:sz w:val="16"/>
                <w:szCs w:val="16"/>
              </w:rPr>
            </w:pPr>
          </w:p>
        </w:tc>
        <w:tc>
          <w:tcPr>
            <w:tcW w:w="1275" w:type="dxa"/>
            <w:tcBorders>
              <w:top w:val="single" w:sz="18" w:space="0" w:color="C0C0C0"/>
              <w:left w:val="single" w:sz="18" w:space="0" w:color="C0C0C0"/>
              <w:bottom w:val="nil"/>
              <w:right w:val="single" w:sz="18" w:space="0" w:color="C0C0C0"/>
            </w:tcBorders>
            <w:shd w:val="clear" w:color="auto" w:fill="A972A9"/>
            <w:vAlign w:val="center"/>
          </w:tcPr>
          <w:p w14:paraId="2A8B8A19" w14:textId="77777777" w:rsidR="00DF019A" w:rsidRPr="008E7494" w:rsidRDefault="00DF019A" w:rsidP="00066DE4">
            <w:pPr>
              <w:spacing w:after="0"/>
              <w:jc w:val="center"/>
              <w:rPr>
                <w:rFonts w:cs="Arial"/>
                <w:sz w:val="16"/>
                <w:szCs w:val="16"/>
              </w:rPr>
            </w:pPr>
            <w:r w:rsidRPr="008E7494">
              <w:rPr>
                <w:rFonts w:cs="Arial"/>
                <w:sz w:val="16"/>
                <w:szCs w:val="16"/>
              </w:rPr>
              <w:t>1</w:t>
            </w:r>
            <w:r>
              <w:rPr>
                <w:rFonts w:cs="Arial"/>
                <w:sz w:val="16"/>
                <w:szCs w:val="16"/>
              </w:rPr>
              <w:t>7</w:t>
            </w:r>
          </w:p>
        </w:tc>
        <w:tc>
          <w:tcPr>
            <w:tcW w:w="1418" w:type="dxa"/>
            <w:vMerge w:val="restart"/>
            <w:tcBorders>
              <w:top w:val="single" w:sz="18" w:space="0" w:color="C0C0C0"/>
              <w:left w:val="single" w:sz="18" w:space="0" w:color="C0C0C0"/>
              <w:right w:val="single" w:sz="18" w:space="0" w:color="C0C0C0"/>
            </w:tcBorders>
            <w:shd w:val="clear" w:color="auto" w:fill="A972A9"/>
            <w:vAlign w:val="center"/>
          </w:tcPr>
          <w:p w14:paraId="463DA425" w14:textId="77777777" w:rsidR="00DF019A" w:rsidRPr="008E7494" w:rsidRDefault="00DF019A" w:rsidP="00066DE4">
            <w:pPr>
              <w:spacing w:after="0"/>
              <w:jc w:val="center"/>
              <w:rPr>
                <w:rFonts w:cs="Arial"/>
                <w:sz w:val="16"/>
                <w:szCs w:val="16"/>
              </w:rPr>
            </w:pPr>
            <w:r w:rsidRPr="008E7494">
              <w:rPr>
                <w:rFonts w:cs="Arial"/>
                <w:sz w:val="16"/>
                <w:szCs w:val="16"/>
              </w:rPr>
              <w:t>1</w:t>
            </w:r>
            <w:r>
              <w:rPr>
                <w:rFonts w:cs="Arial"/>
                <w:sz w:val="16"/>
                <w:szCs w:val="16"/>
              </w:rPr>
              <w:t>8</w:t>
            </w:r>
          </w:p>
        </w:tc>
        <w:tc>
          <w:tcPr>
            <w:tcW w:w="1131" w:type="dxa"/>
            <w:vMerge w:val="restart"/>
            <w:tcBorders>
              <w:top w:val="single" w:sz="18" w:space="0" w:color="C0C0C0"/>
              <w:left w:val="single" w:sz="18" w:space="0" w:color="C0C0C0"/>
              <w:right w:val="single" w:sz="18" w:space="0" w:color="C0C0C0"/>
            </w:tcBorders>
            <w:vAlign w:val="center"/>
          </w:tcPr>
          <w:p w14:paraId="45CEE8B9" w14:textId="77777777" w:rsidR="00DF019A" w:rsidRPr="008E7494" w:rsidRDefault="00DF019A" w:rsidP="00066DE4">
            <w:pPr>
              <w:spacing w:after="0"/>
              <w:jc w:val="center"/>
              <w:rPr>
                <w:rFonts w:cs="Arial"/>
                <w:sz w:val="16"/>
                <w:szCs w:val="16"/>
              </w:rPr>
            </w:pPr>
          </w:p>
        </w:tc>
        <w:tc>
          <w:tcPr>
            <w:tcW w:w="1704" w:type="dxa"/>
            <w:vMerge w:val="restart"/>
            <w:tcBorders>
              <w:top w:val="single" w:sz="18" w:space="0" w:color="C0C0C0"/>
              <w:left w:val="single" w:sz="18" w:space="0" w:color="C0C0C0"/>
              <w:right w:val="single" w:sz="18" w:space="0" w:color="808080"/>
            </w:tcBorders>
            <w:vAlign w:val="center"/>
          </w:tcPr>
          <w:p w14:paraId="2DC2CD69" w14:textId="77777777" w:rsidR="00DF019A" w:rsidRPr="008E7494" w:rsidRDefault="00DF019A" w:rsidP="00066DE4">
            <w:pPr>
              <w:spacing w:after="0"/>
              <w:jc w:val="center"/>
              <w:rPr>
                <w:rFonts w:cs="Arial"/>
                <w:bCs/>
                <w:sz w:val="16"/>
                <w:szCs w:val="16"/>
              </w:rPr>
            </w:pPr>
            <w:r w:rsidRPr="008E7494">
              <w:rPr>
                <w:rFonts w:cs="Arial"/>
                <w:sz w:val="16"/>
                <w:szCs w:val="16"/>
              </w:rPr>
              <w:t>Public Holiday</w:t>
            </w:r>
          </w:p>
        </w:tc>
        <w:tc>
          <w:tcPr>
            <w:tcW w:w="2806" w:type="dxa"/>
            <w:vMerge w:val="restart"/>
            <w:tcBorders>
              <w:top w:val="single" w:sz="18" w:space="0" w:color="C0C0C0"/>
              <w:left w:val="single" w:sz="18" w:space="0" w:color="808080"/>
              <w:right w:val="single" w:sz="18" w:space="0" w:color="808080"/>
            </w:tcBorders>
            <w:vAlign w:val="center"/>
          </w:tcPr>
          <w:p w14:paraId="254F0492" w14:textId="77777777" w:rsidR="00DF019A" w:rsidRPr="008E7494" w:rsidRDefault="00DF019A" w:rsidP="00066DE4">
            <w:pPr>
              <w:spacing w:after="0"/>
              <w:jc w:val="center"/>
              <w:rPr>
                <w:rFonts w:cs="Arial"/>
                <w:sz w:val="16"/>
                <w:szCs w:val="16"/>
              </w:rPr>
            </w:pPr>
            <w:r w:rsidRPr="008E7494">
              <w:rPr>
                <w:rFonts w:cs="Arial"/>
                <w:sz w:val="16"/>
                <w:szCs w:val="16"/>
              </w:rPr>
              <w:t>2</w:t>
            </w:r>
            <w:r>
              <w:rPr>
                <w:rFonts w:cs="Arial"/>
                <w:sz w:val="16"/>
                <w:szCs w:val="16"/>
              </w:rPr>
              <w:t>0</w:t>
            </w:r>
            <w:r w:rsidRPr="008E7494">
              <w:rPr>
                <w:rFonts w:cs="Arial"/>
                <w:sz w:val="16"/>
                <w:szCs w:val="16"/>
              </w:rPr>
              <w:t xml:space="preserve"> Cairns Show Day</w:t>
            </w:r>
          </w:p>
        </w:tc>
      </w:tr>
      <w:tr w:rsidR="00DF019A" w:rsidRPr="008E7494" w14:paraId="5C1A3FA4" w14:textId="77777777" w:rsidTr="00066DE4">
        <w:trPr>
          <w:trHeight w:hRule="exact" w:val="284"/>
          <w:jc w:val="center"/>
        </w:trPr>
        <w:tc>
          <w:tcPr>
            <w:tcW w:w="1730" w:type="dxa"/>
            <w:vMerge/>
            <w:tcBorders>
              <w:left w:val="single" w:sz="18" w:space="0" w:color="808080"/>
              <w:right w:val="single" w:sz="18" w:space="0" w:color="C0C0C0"/>
            </w:tcBorders>
            <w:vAlign w:val="center"/>
          </w:tcPr>
          <w:p w14:paraId="38BFDDEF" w14:textId="77777777" w:rsidR="00DF019A" w:rsidRPr="008E7494" w:rsidRDefault="00DF019A" w:rsidP="00066DE4">
            <w:pPr>
              <w:spacing w:after="0"/>
              <w:jc w:val="center"/>
              <w:rPr>
                <w:rFonts w:cs="Arial"/>
                <w:sz w:val="16"/>
                <w:szCs w:val="16"/>
              </w:rPr>
            </w:pPr>
          </w:p>
        </w:tc>
        <w:tc>
          <w:tcPr>
            <w:tcW w:w="1418" w:type="dxa"/>
            <w:vMerge/>
            <w:tcBorders>
              <w:left w:val="single" w:sz="18" w:space="0" w:color="C0C0C0"/>
              <w:right w:val="single" w:sz="18" w:space="0" w:color="C0C0C0"/>
            </w:tcBorders>
            <w:vAlign w:val="center"/>
          </w:tcPr>
          <w:p w14:paraId="33B1DA57" w14:textId="77777777" w:rsidR="00DF019A" w:rsidRPr="008E7494" w:rsidRDefault="00DF019A" w:rsidP="00066DE4">
            <w:pPr>
              <w:spacing w:after="0"/>
              <w:jc w:val="center"/>
              <w:rPr>
                <w:rFonts w:cs="Arial"/>
                <w:sz w:val="16"/>
                <w:szCs w:val="16"/>
              </w:rPr>
            </w:pPr>
          </w:p>
        </w:tc>
        <w:tc>
          <w:tcPr>
            <w:tcW w:w="1275" w:type="dxa"/>
            <w:tcBorders>
              <w:top w:val="nil"/>
              <w:left w:val="single" w:sz="18" w:space="0" w:color="C0C0C0"/>
              <w:bottom w:val="single" w:sz="18" w:space="0" w:color="C0C0C0"/>
              <w:right w:val="single" w:sz="18" w:space="0" w:color="C0C0C0"/>
            </w:tcBorders>
            <w:shd w:val="clear" w:color="auto" w:fill="DDB136"/>
            <w:vAlign w:val="center"/>
          </w:tcPr>
          <w:p w14:paraId="4911FE24" w14:textId="77777777" w:rsidR="00DF019A" w:rsidRPr="008E7494" w:rsidRDefault="00DF019A" w:rsidP="00066DE4">
            <w:pPr>
              <w:spacing w:after="0"/>
              <w:jc w:val="center"/>
              <w:rPr>
                <w:rFonts w:cs="Arial"/>
                <w:sz w:val="16"/>
                <w:szCs w:val="16"/>
              </w:rPr>
            </w:pPr>
            <w:r>
              <w:rPr>
                <w:rFonts w:cs="Arial"/>
                <w:sz w:val="16"/>
                <w:szCs w:val="16"/>
              </w:rPr>
              <w:t>17</w:t>
            </w:r>
          </w:p>
        </w:tc>
        <w:tc>
          <w:tcPr>
            <w:tcW w:w="1418" w:type="dxa"/>
            <w:vMerge/>
            <w:tcBorders>
              <w:left w:val="single" w:sz="18" w:space="0" w:color="C0C0C0"/>
              <w:right w:val="single" w:sz="18" w:space="0" w:color="C0C0C0"/>
            </w:tcBorders>
            <w:shd w:val="clear" w:color="auto" w:fill="A972A9"/>
            <w:vAlign w:val="center"/>
          </w:tcPr>
          <w:p w14:paraId="524F904E" w14:textId="77777777" w:rsidR="00DF019A" w:rsidRPr="008E7494" w:rsidRDefault="00DF019A" w:rsidP="00066DE4">
            <w:pPr>
              <w:spacing w:after="0"/>
              <w:jc w:val="center"/>
              <w:rPr>
                <w:rFonts w:cs="Arial"/>
                <w:sz w:val="16"/>
                <w:szCs w:val="16"/>
              </w:rPr>
            </w:pPr>
          </w:p>
        </w:tc>
        <w:tc>
          <w:tcPr>
            <w:tcW w:w="1131" w:type="dxa"/>
            <w:vMerge/>
            <w:tcBorders>
              <w:left w:val="single" w:sz="18" w:space="0" w:color="C0C0C0"/>
              <w:right w:val="single" w:sz="18" w:space="0" w:color="C0C0C0"/>
            </w:tcBorders>
            <w:vAlign w:val="center"/>
          </w:tcPr>
          <w:p w14:paraId="515FE962" w14:textId="77777777" w:rsidR="00DF019A" w:rsidRPr="008E7494" w:rsidRDefault="00DF019A" w:rsidP="00066DE4">
            <w:pPr>
              <w:spacing w:after="0"/>
              <w:jc w:val="center"/>
              <w:rPr>
                <w:rFonts w:cs="Arial"/>
                <w:sz w:val="16"/>
                <w:szCs w:val="16"/>
              </w:rPr>
            </w:pPr>
          </w:p>
        </w:tc>
        <w:tc>
          <w:tcPr>
            <w:tcW w:w="1704" w:type="dxa"/>
            <w:vMerge/>
            <w:tcBorders>
              <w:left w:val="single" w:sz="18" w:space="0" w:color="C0C0C0"/>
              <w:right w:val="single" w:sz="18" w:space="0" w:color="808080"/>
            </w:tcBorders>
            <w:vAlign w:val="center"/>
          </w:tcPr>
          <w:p w14:paraId="678947C4" w14:textId="77777777" w:rsidR="00DF019A" w:rsidRPr="008E7494" w:rsidRDefault="00DF019A" w:rsidP="00066DE4">
            <w:pPr>
              <w:spacing w:after="0"/>
              <w:jc w:val="center"/>
              <w:rPr>
                <w:rFonts w:cs="Arial"/>
                <w:sz w:val="16"/>
                <w:szCs w:val="16"/>
              </w:rPr>
            </w:pPr>
          </w:p>
        </w:tc>
        <w:tc>
          <w:tcPr>
            <w:tcW w:w="2806" w:type="dxa"/>
            <w:vMerge/>
            <w:tcBorders>
              <w:left w:val="single" w:sz="18" w:space="0" w:color="808080"/>
              <w:right w:val="single" w:sz="18" w:space="0" w:color="808080"/>
            </w:tcBorders>
            <w:vAlign w:val="center"/>
          </w:tcPr>
          <w:p w14:paraId="18930B03" w14:textId="77777777" w:rsidR="00DF019A" w:rsidRPr="008E7494" w:rsidRDefault="00DF019A" w:rsidP="00066DE4">
            <w:pPr>
              <w:spacing w:after="0"/>
              <w:jc w:val="center"/>
              <w:rPr>
                <w:rFonts w:cs="Arial"/>
                <w:sz w:val="16"/>
                <w:szCs w:val="16"/>
              </w:rPr>
            </w:pPr>
          </w:p>
        </w:tc>
      </w:tr>
      <w:tr w:rsidR="00DF019A" w:rsidRPr="008E7494" w14:paraId="5D8CCB0E" w14:textId="77777777" w:rsidTr="00066DE4">
        <w:trPr>
          <w:trHeight w:val="397"/>
          <w:jc w:val="center"/>
        </w:trPr>
        <w:tc>
          <w:tcPr>
            <w:tcW w:w="1730" w:type="dxa"/>
            <w:tcBorders>
              <w:top w:val="single" w:sz="18" w:space="0" w:color="BFBFBF"/>
              <w:left w:val="single" w:sz="18" w:space="0" w:color="808080"/>
              <w:bottom w:val="single" w:sz="18" w:space="0" w:color="BFBFBF" w:themeColor="background1" w:themeShade="BF"/>
              <w:right w:val="single" w:sz="18" w:space="0" w:color="C0C0C0"/>
            </w:tcBorders>
            <w:vAlign w:val="center"/>
          </w:tcPr>
          <w:p w14:paraId="76085057" w14:textId="77777777" w:rsidR="00DF019A" w:rsidRPr="008E7494" w:rsidRDefault="00DF019A" w:rsidP="00066DE4">
            <w:pPr>
              <w:spacing w:after="0"/>
              <w:jc w:val="center"/>
              <w:rPr>
                <w:rFonts w:cs="Arial"/>
                <w:sz w:val="16"/>
                <w:szCs w:val="16"/>
              </w:rPr>
            </w:pPr>
            <w:r w:rsidRPr="008E7494">
              <w:rPr>
                <w:rFonts w:cs="Arial"/>
                <w:sz w:val="16"/>
                <w:szCs w:val="16"/>
              </w:rPr>
              <w:t>2</w:t>
            </w:r>
            <w:r>
              <w:rPr>
                <w:rFonts w:cs="Arial"/>
                <w:sz w:val="16"/>
                <w:szCs w:val="16"/>
              </w:rPr>
              <w:t>3</w:t>
            </w:r>
            <w:r w:rsidRPr="008E7494">
              <w:rPr>
                <w:rFonts w:cs="Arial"/>
                <w:sz w:val="16"/>
                <w:szCs w:val="16"/>
              </w:rPr>
              <w:t xml:space="preserve"> July</w:t>
            </w:r>
          </w:p>
        </w:tc>
        <w:tc>
          <w:tcPr>
            <w:tcW w:w="1418" w:type="dxa"/>
            <w:tcBorders>
              <w:top w:val="single" w:sz="18" w:space="0" w:color="BFBFBF"/>
              <w:left w:val="single" w:sz="18" w:space="0" w:color="C0C0C0"/>
              <w:bottom w:val="single" w:sz="18" w:space="0" w:color="BFBFBF" w:themeColor="background1" w:themeShade="BF"/>
              <w:right w:val="single" w:sz="18" w:space="0" w:color="C0C0C0"/>
            </w:tcBorders>
            <w:shd w:val="clear" w:color="auto" w:fill="auto"/>
            <w:vAlign w:val="center"/>
          </w:tcPr>
          <w:p w14:paraId="37FF0AAC" w14:textId="77777777" w:rsidR="00DF019A" w:rsidRPr="008E7494" w:rsidRDefault="00DF019A" w:rsidP="00066DE4">
            <w:pPr>
              <w:spacing w:after="0"/>
              <w:jc w:val="center"/>
              <w:rPr>
                <w:rFonts w:cs="Arial"/>
                <w:sz w:val="16"/>
                <w:szCs w:val="16"/>
              </w:rPr>
            </w:pPr>
            <w:r w:rsidRPr="008E7494">
              <w:rPr>
                <w:rFonts w:cs="Arial"/>
                <w:sz w:val="16"/>
                <w:szCs w:val="16"/>
              </w:rPr>
              <w:t>Public Holiday</w:t>
            </w:r>
          </w:p>
        </w:tc>
        <w:tc>
          <w:tcPr>
            <w:tcW w:w="1275" w:type="dxa"/>
            <w:tcBorders>
              <w:top w:val="single" w:sz="18" w:space="0" w:color="C0C0C0"/>
              <w:left w:val="single" w:sz="18" w:space="0" w:color="C0C0C0"/>
              <w:bottom w:val="single" w:sz="18" w:space="0" w:color="BFBFBF" w:themeColor="background1" w:themeShade="BF"/>
              <w:right w:val="single" w:sz="18" w:space="0" w:color="C0C0C0"/>
            </w:tcBorders>
            <w:shd w:val="clear" w:color="auto" w:fill="A64D2C"/>
            <w:vAlign w:val="center"/>
          </w:tcPr>
          <w:p w14:paraId="4E494612" w14:textId="77777777" w:rsidR="00DF019A" w:rsidRPr="008E7494" w:rsidRDefault="00DF019A" w:rsidP="00066DE4">
            <w:pPr>
              <w:spacing w:after="0"/>
              <w:jc w:val="center"/>
              <w:rPr>
                <w:rFonts w:cs="Arial"/>
                <w:sz w:val="16"/>
                <w:szCs w:val="16"/>
              </w:rPr>
            </w:pPr>
            <w:r w:rsidRPr="008E7494">
              <w:rPr>
                <w:rFonts w:cs="Arial"/>
                <w:sz w:val="16"/>
                <w:szCs w:val="16"/>
              </w:rPr>
              <w:t>2</w:t>
            </w:r>
            <w:r>
              <w:rPr>
                <w:rFonts w:cs="Arial"/>
                <w:sz w:val="16"/>
                <w:szCs w:val="16"/>
              </w:rPr>
              <w:t>4</w:t>
            </w:r>
          </w:p>
        </w:tc>
        <w:tc>
          <w:tcPr>
            <w:tcW w:w="1418" w:type="dxa"/>
            <w:tcBorders>
              <w:top w:val="single" w:sz="18" w:space="0" w:color="C0C0C0"/>
              <w:left w:val="single" w:sz="18" w:space="0" w:color="C0C0C0"/>
              <w:bottom w:val="single" w:sz="18" w:space="0" w:color="BFBFBF" w:themeColor="background1" w:themeShade="BF"/>
              <w:right w:val="single" w:sz="18" w:space="0" w:color="C0C0C0"/>
            </w:tcBorders>
            <w:shd w:val="clear" w:color="auto" w:fill="A64D2C"/>
            <w:vAlign w:val="center"/>
          </w:tcPr>
          <w:p w14:paraId="6C11F55B" w14:textId="77777777" w:rsidR="00DF019A" w:rsidRPr="008E7494" w:rsidRDefault="00DF019A" w:rsidP="00066DE4">
            <w:pPr>
              <w:spacing w:after="0"/>
              <w:jc w:val="center"/>
              <w:rPr>
                <w:rFonts w:cs="Arial"/>
                <w:sz w:val="16"/>
                <w:szCs w:val="16"/>
              </w:rPr>
            </w:pPr>
            <w:r w:rsidRPr="008E7494">
              <w:rPr>
                <w:rFonts w:cs="Arial"/>
                <w:sz w:val="16"/>
                <w:szCs w:val="16"/>
              </w:rPr>
              <w:t>2</w:t>
            </w:r>
            <w:r>
              <w:rPr>
                <w:rFonts w:cs="Arial"/>
                <w:sz w:val="16"/>
                <w:szCs w:val="16"/>
              </w:rPr>
              <w:t>5</w:t>
            </w:r>
          </w:p>
        </w:tc>
        <w:tc>
          <w:tcPr>
            <w:tcW w:w="1131" w:type="dxa"/>
            <w:tcBorders>
              <w:top w:val="single" w:sz="18" w:space="0" w:color="C0C0C0"/>
              <w:left w:val="single" w:sz="18" w:space="0" w:color="C0C0C0"/>
              <w:bottom w:val="single" w:sz="18" w:space="0" w:color="BFBFBF" w:themeColor="background1" w:themeShade="BF"/>
              <w:right w:val="single" w:sz="18" w:space="0" w:color="C0C0C0"/>
            </w:tcBorders>
            <w:shd w:val="clear" w:color="auto" w:fill="A64D2C"/>
            <w:vAlign w:val="center"/>
          </w:tcPr>
          <w:p w14:paraId="07FE9594" w14:textId="77777777" w:rsidR="00DF019A" w:rsidRPr="008E7494" w:rsidRDefault="00DF019A" w:rsidP="00066DE4">
            <w:pPr>
              <w:spacing w:after="0"/>
              <w:jc w:val="center"/>
              <w:rPr>
                <w:rFonts w:cs="Arial"/>
                <w:sz w:val="16"/>
                <w:szCs w:val="16"/>
              </w:rPr>
            </w:pPr>
            <w:r w:rsidRPr="008E7494">
              <w:rPr>
                <w:rFonts w:cs="Arial"/>
                <w:sz w:val="16"/>
                <w:szCs w:val="16"/>
              </w:rPr>
              <w:t>2</w:t>
            </w:r>
            <w:r>
              <w:rPr>
                <w:rFonts w:cs="Arial"/>
                <w:sz w:val="16"/>
                <w:szCs w:val="16"/>
              </w:rPr>
              <w:t>6</w:t>
            </w:r>
          </w:p>
        </w:tc>
        <w:tc>
          <w:tcPr>
            <w:tcW w:w="1704" w:type="dxa"/>
            <w:tcBorders>
              <w:top w:val="single" w:sz="18" w:space="0" w:color="BFBFBF"/>
              <w:left w:val="single" w:sz="18" w:space="0" w:color="C0C0C0"/>
              <w:bottom w:val="single" w:sz="18" w:space="0" w:color="BFBFBF" w:themeColor="background1" w:themeShade="BF"/>
              <w:right w:val="single" w:sz="18" w:space="0" w:color="808080"/>
            </w:tcBorders>
            <w:vAlign w:val="center"/>
          </w:tcPr>
          <w:p w14:paraId="4CBD096F" w14:textId="77777777" w:rsidR="00DF019A" w:rsidRPr="008E7494" w:rsidRDefault="00DF019A" w:rsidP="00066DE4">
            <w:pPr>
              <w:spacing w:after="0"/>
              <w:jc w:val="center"/>
              <w:rPr>
                <w:rFonts w:cs="Arial"/>
                <w:bCs/>
                <w:sz w:val="16"/>
                <w:szCs w:val="16"/>
              </w:rPr>
            </w:pPr>
          </w:p>
        </w:tc>
        <w:tc>
          <w:tcPr>
            <w:tcW w:w="2806" w:type="dxa"/>
            <w:tcBorders>
              <w:top w:val="single" w:sz="18" w:space="0" w:color="BFBFBF"/>
              <w:left w:val="single" w:sz="18" w:space="0" w:color="808080"/>
              <w:bottom w:val="single" w:sz="18" w:space="0" w:color="BFBFBF" w:themeColor="background1" w:themeShade="BF"/>
              <w:right w:val="single" w:sz="18" w:space="0" w:color="808080"/>
            </w:tcBorders>
            <w:vAlign w:val="center"/>
          </w:tcPr>
          <w:p w14:paraId="0B1FC9C9" w14:textId="26D4F6E1" w:rsidR="00DF019A" w:rsidRPr="008E7494" w:rsidRDefault="00DF019A" w:rsidP="00066DE4">
            <w:pPr>
              <w:spacing w:after="0" w:line="240" w:lineRule="auto"/>
              <w:jc w:val="center"/>
              <w:rPr>
                <w:rFonts w:cs="Arial"/>
                <w:sz w:val="16"/>
                <w:szCs w:val="16"/>
              </w:rPr>
            </w:pPr>
            <w:r w:rsidRPr="008E7494">
              <w:rPr>
                <w:rFonts w:cs="Arial"/>
                <w:sz w:val="16"/>
                <w:szCs w:val="16"/>
              </w:rPr>
              <w:t>2</w:t>
            </w:r>
            <w:r>
              <w:rPr>
                <w:rFonts w:cs="Arial"/>
                <w:sz w:val="16"/>
                <w:szCs w:val="16"/>
              </w:rPr>
              <w:t>3</w:t>
            </w:r>
            <w:r w:rsidRPr="008E7494">
              <w:rPr>
                <w:rFonts w:cs="Arial"/>
                <w:sz w:val="16"/>
                <w:szCs w:val="16"/>
              </w:rPr>
              <w:t xml:space="preserve"> Mossman Show</w:t>
            </w:r>
            <w:r w:rsidR="003A7D99">
              <w:rPr>
                <w:rFonts w:cs="Arial"/>
                <w:sz w:val="16"/>
                <w:szCs w:val="16"/>
              </w:rPr>
              <w:t xml:space="preserve"> Day</w:t>
            </w:r>
          </w:p>
        </w:tc>
      </w:tr>
      <w:tr w:rsidR="00DF019A" w:rsidRPr="008E7494" w14:paraId="50081DA7" w14:textId="77777777" w:rsidTr="00066DE4">
        <w:trPr>
          <w:trHeight w:hRule="exact" w:val="284"/>
          <w:jc w:val="center"/>
        </w:trPr>
        <w:tc>
          <w:tcPr>
            <w:tcW w:w="1730" w:type="dxa"/>
            <w:vMerge w:val="restart"/>
            <w:tcBorders>
              <w:top w:val="single" w:sz="18" w:space="0" w:color="BFBFBF" w:themeColor="background1" w:themeShade="BF"/>
              <w:left w:val="single" w:sz="18" w:space="0" w:color="808080"/>
              <w:bottom w:val="single" w:sz="18" w:space="0" w:color="808080" w:themeColor="background1" w:themeShade="80"/>
              <w:right w:val="single" w:sz="18" w:space="0" w:color="C0C0C0"/>
            </w:tcBorders>
            <w:vAlign w:val="center"/>
          </w:tcPr>
          <w:p w14:paraId="7D56CA46" w14:textId="77777777" w:rsidR="00DF019A" w:rsidRPr="008E7494" w:rsidRDefault="00DF019A" w:rsidP="00066DE4">
            <w:pPr>
              <w:spacing w:after="0"/>
              <w:jc w:val="center"/>
              <w:rPr>
                <w:rFonts w:cs="Arial"/>
                <w:sz w:val="16"/>
                <w:szCs w:val="16"/>
              </w:rPr>
            </w:pPr>
            <w:r w:rsidRPr="008E7494">
              <w:rPr>
                <w:rFonts w:cs="Arial"/>
                <w:sz w:val="16"/>
                <w:szCs w:val="16"/>
              </w:rPr>
              <w:t>3</w:t>
            </w:r>
            <w:r>
              <w:rPr>
                <w:rFonts w:cs="Arial"/>
                <w:sz w:val="16"/>
                <w:szCs w:val="16"/>
              </w:rPr>
              <w:t>0</w:t>
            </w:r>
            <w:r w:rsidRPr="008E7494">
              <w:rPr>
                <w:rFonts w:cs="Arial"/>
                <w:sz w:val="16"/>
                <w:szCs w:val="16"/>
              </w:rPr>
              <w:t xml:space="preserve"> July</w:t>
            </w:r>
          </w:p>
        </w:tc>
        <w:tc>
          <w:tcPr>
            <w:tcW w:w="1418" w:type="dxa"/>
            <w:vMerge w:val="restart"/>
            <w:tcBorders>
              <w:top w:val="single" w:sz="18" w:space="0" w:color="BFBFBF" w:themeColor="background1" w:themeShade="BF"/>
              <w:left w:val="single" w:sz="18" w:space="0" w:color="C0C0C0"/>
              <w:bottom w:val="single" w:sz="18" w:space="0" w:color="808080" w:themeColor="background1" w:themeShade="80"/>
              <w:right w:val="single" w:sz="18" w:space="0" w:color="C0C0C0"/>
            </w:tcBorders>
            <w:vAlign w:val="center"/>
          </w:tcPr>
          <w:p w14:paraId="059AD8BE" w14:textId="77777777" w:rsidR="00DF019A" w:rsidRPr="008E7494" w:rsidRDefault="00DF019A" w:rsidP="00066DE4">
            <w:pPr>
              <w:spacing w:after="0"/>
              <w:jc w:val="center"/>
              <w:rPr>
                <w:rFonts w:cs="Arial"/>
                <w:sz w:val="16"/>
                <w:szCs w:val="16"/>
              </w:rPr>
            </w:pPr>
          </w:p>
        </w:tc>
        <w:tc>
          <w:tcPr>
            <w:tcW w:w="1275" w:type="dxa"/>
            <w:tcBorders>
              <w:top w:val="single" w:sz="18" w:space="0" w:color="BFBFBF" w:themeColor="background1" w:themeShade="BF"/>
              <w:left w:val="single" w:sz="18" w:space="0" w:color="C0C0C0"/>
              <w:bottom w:val="nil"/>
              <w:right w:val="single" w:sz="18" w:space="0" w:color="C0C0C0"/>
            </w:tcBorders>
            <w:shd w:val="clear" w:color="auto" w:fill="A972A9"/>
            <w:vAlign w:val="center"/>
          </w:tcPr>
          <w:p w14:paraId="2079A780" w14:textId="77777777" w:rsidR="00DF019A" w:rsidRPr="008E7494" w:rsidRDefault="00DF019A" w:rsidP="00066DE4">
            <w:pPr>
              <w:spacing w:after="0"/>
              <w:jc w:val="center"/>
              <w:rPr>
                <w:rFonts w:cs="Arial"/>
                <w:sz w:val="16"/>
                <w:szCs w:val="16"/>
              </w:rPr>
            </w:pPr>
            <w:r>
              <w:rPr>
                <w:rFonts w:cs="Arial"/>
                <w:sz w:val="16"/>
                <w:szCs w:val="16"/>
              </w:rPr>
              <w:t>31</w:t>
            </w:r>
          </w:p>
        </w:tc>
        <w:tc>
          <w:tcPr>
            <w:tcW w:w="1418" w:type="dxa"/>
            <w:vMerge w:val="restart"/>
            <w:tcBorders>
              <w:top w:val="single" w:sz="18" w:space="0" w:color="BFBFBF" w:themeColor="background1" w:themeShade="BF"/>
              <w:left w:val="single" w:sz="18" w:space="0" w:color="C0C0C0"/>
              <w:bottom w:val="single" w:sz="18" w:space="0" w:color="808080"/>
              <w:right w:val="single" w:sz="18" w:space="0" w:color="C0C0C0"/>
            </w:tcBorders>
            <w:shd w:val="clear" w:color="auto" w:fill="A972A9"/>
            <w:vAlign w:val="center"/>
          </w:tcPr>
          <w:p w14:paraId="761B8EFF" w14:textId="77777777" w:rsidR="00DF019A" w:rsidRPr="008E7494" w:rsidRDefault="00DF019A" w:rsidP="00066DE4">
            <w:pPr>
              <w:spacing w:after="0"/>
              <w:jc w:val="center"/>
              <w:rPr>
                <w:rFonts w:cs="Arial"/>
                <w:sz w:val="16"/>
                <w:szCs w:val="16"/>
              </w:rPr>
            </w:pPr>
            <w:r>
              <w:rPr>
                <w:rFonts w:cs="Arial"/>
                <w:sz w:val="16"/>
                <w:szCs w:val="16"/>
              </w:rPr>
              <w:t>1</w:t>
            </w:r>
          </w:p>
        </w:tc>
        <w:tc>
          <w:tcPr>
            <w:tcW w:w="1131" w:type="dxa"/>
            <w:vMerge w:val="restart"/>
            <w:tcBorders>
              <w:top w:val="single" w:sz="18" w:space="0" w:color="BFBFBF" w:themeColor="background1" w:themeShade="BF"/>
              <w:left w:val="single" w:sz="18" w:space="0" w:color="C0C0C0"/>
              <w:bottom w:val="single" w:sz="18" w:space="0" w:color="808080"/>
              <w:right w:val="single" w:sz="18" w:space="0" w:color="C0C0C0"/>
            </w:tcBorders>
            <w:shd w:val="clear" w:color="auto" w:fill="768968"/>
            <w:vAlign w:val="center"/>
          </w:tcPr>
          <w:p w14:paraId="1A49C101" w14:textId="77777777" w:rsidR="00DF019A" w:rsidRPr="008E7494" w:rsidRDefault="00DF019A" w:rsidP="00066DE4">
            <w:pPr>
              <w:spacing w:after="0" w:line="240" w:lineRule="auto"/>
              <w:jc w:val="center"/>
              <w:rPr>
                <w:rFonts w:cs="Arial"/>
                <w:sz w:val="16"/>
                <w:szCs w:val="16"/>
              </w:rPr>
            </w:pPr>
            <w:r>
              <w:rPr>
                <w:rFonts w:cs="Arial"/>
                <w:sz w:val="16"/>
                <w:szCs w:val="16"/>
              </w:rPr>
              <w:t>2</w:t>
            </w:r>
          </w:p>
        </w:tc>
        <w:tc>
          <w:tcPr>
            <w:tcW w:w="1704" w:type="dxa"/>
            <w:vMerge w:val="restart"/>
            <w:tcBorders>
              <w:top w:val="single" w:sz="18" w:space="0" w:color="BFBFBF" w:themeColor="background1" w:themeShade="BF"/>
              <w:left w:val="single" w:sz="18" w:space="0" w:color="C0C0C0"/>
              <w:bottom w:val="single" w:sz="18" w:space="0" w:color="808080"/>
              <w:right w:val="single" w:sz="18" w:space="0" w:color="808080"/>
            </w:tcBorders>
            <w:vAlign w:val="center"/>
          </w:tcPr>
          <w:p w14:paraId="1A7DFA4A" w14:textId="77777777" w:rsidR="00DF019A" w:rsidRPr="008E7494" w:rsidRDefault="00DF019A" w:rsidP="00066DE4">
            <w:pPr>
              <w:spacing w:after="0"/>
              <w:jc w:val="center"/>
              <w:rPr>
                <w:rFonts w:cs="Arial"/>
                <w:bCs/>
                <w:sz w:val="16"/>
                <w:szCs w:val="16"/>
              </w:rPr>
            </w:pPr>
          </w:p>
        </w:tc>
        <w:tc>
          <w:tcPr>
            <w:tcW w:w="2806" w:type="dxa"/>
            <w:vMerge w:val="restart"/>
            <w:tcBorders>
              <w:top w:val="single" w:sz="18" w:space="0" w:color="BFBFBF" w:themeColor="background1" w:themeShade="BF"/>
              <w:left w:val="single" w:sz="18" w:space="0" w:color="808080"/>
              <w:bottom w:val="single" w:sz="18" w:space="0" w:color="808080"/>
              <w:right w:val="single" w:sz="18" w:space="0" w:color="808080"/>
            </w:tcBorders>
            <w:vAlign w:val="center"/>
          </w:tcPr>
          <w:p w14:paraId="6DF7A1D3" w14:textId="77777777" w:rsidR="00DF019A" w:rsidRPr="008E7494" w:rsidRDefault="00DF019A" w:rsidP="00066DE4">
            <w:pPr>
              <w:spacing w:after="0"/>
              <w:jc w:val="center"/>
              <w:rPr>
                <w:rFonts w:cs="Arial"/>
                <w:sz w:val="16"/>
                <w:szCs w:val="16"/>
              </w:rPr>
            </w:pPr>
          </w:p>
        </w:tc>
      </w:tr>
      <w:tr w:rsidR="00DF019A" w:rsidRPr="008E7494" w14:paraId="628D4939" w14:textId="77777777" w:rsidTr="00066DE4">
        <w:trPr>
          <w:trHeight w:hRule="exact" w:val="284"/>
          <w:jc w:val="center"/>
        </w:trPr>
        <w:tc>
          <w:tcPr>
            <w:tcW w:w="1730" w:type="dxa"/>
            <w:vMerge/>
            <w:tcBorders>
              <w:top w:val="single" w:sz="18" w:space="0" w:color="C0C0C0"/>
              <w:left w:val="single" w:sz="18" w:space="0" w:color="808080"/>
              <w:bottom w:val="single" w:sz="18" w:space="0" w:color="808080" w:themeColor="background1" w:themeShade="80"/>
              <w:right w:val="single" w:sz="18" w:space="0" w:color="C0C0C0"/>
            </w:tcBorders>
            <w:vAlign w:val="center"/>
          </w:tcPr>
          <w:p w14:paraId="62666F33" w14:textId="77777777" w:rsidR="00DF019A" w:rsidRPr="008E7494" w:rsidRDefault="00DF019A" w:rsidP="00066DE4">
            <w:pPr>
              <w:spacing w:after="0"/>
              <w:jc w:val="center"/>
              <w:rPr>
                <w:rFonts w:cs="Arial"/>
                <w:sz w:val="16"/>
                <w:szCs w:val="16"/>
              </w:rPr>
            </w:pPr>
          </w:p>
        </w:tc>
        <w:tc>
          <w:tcPr>
            <w:tcW w:w="1418" w:type="dxa"/>
            <w:vMerge/>
            <w:tcBorders>
              <w:top w:val="single" w:sz="18" w:space="0" w:color="C0C0C0"/>
              <w:left w:val="single" w:sz="18" w:space="0" w:color="C0C0C0"/>
              <w:bottom w:val="single" w:sz="18" w:space="0" w:color="808080" w:themeColor="background1" w:themeShade="80"/>
              <w:right w:val="single" w:sz="18" w:space="0" w:color="C0C0C0"/>
            </w:tcBorders>
            <w:vAlign w:val="center"/>
          </w:tcPr>
          <w:p w14:paraId="0EC4E813" w14:textId="77777777" w:rsidR="00DF019A" w:rsidRPr="008E7494" w:rsidRDefault="00DF019A" w:rsidP="00066DE4">
            <w:pPr>
              <w:spacing w:after="0"/>
              <w:jc w:val="center"/>
              <w:rPr>
                <w:rFonts w:cs="Arial"/>
                <w:sz w:val="16"/>
                <w:szCs w:val="16"/>
              </w:rPr>
            </w:pPr>
          </w:p>
        </w:tc>
        <w:tc>
          <w:tcPr>
            <w:tcW w:w="1275" w:type="dxa"/>
            <w:tcBorders>
              <w:top w:val="nil"/>
              <w:left w:val="single" w:sz="18" w:space="0" w:color="C0C0C0"/>
              <w:bottom w:val="single" w:sz="18" w:space="0" w:color="808080" w:themeColor="background1" w:themeShade="80"/>
              <w:right w:val="single" w:sz="18" w:space="0" w:color="C0C0C0"/>
            </w:tcBorders>
            <w:shd w:val="clear" w:color="auto" w:fill="467082"/>
            <w:vAlign w:val="center"/>
          </w:tcPr>
          <w:p w14:paraId="3307CDA3" w14:textId="77777777" w:rsidR="00DF019A" w:rsidRPr="008E7494" w:rsidRDefault="00DF019A" w:rsidP="00066DE4">
            <w:pPr>
              <w:spacing w:after="0"/>
              <w:jc w:val="center"/>
              <w:rPr>
                <w:rFonts w:cs="Arial"/>
                <w:sz w:val="16"/>
                <w:szCs w:val="16"/>
              </w:rPr>
            </w:pPr>
            <w:r>
              <w:rPr>
                <w:rFonts w:cs="Arial"/>
                <w:sz w:val="16"/>
                <w:szCs w:val="16"/>
              </w:rPr>
              <w:t>31</w:t>
            </w:r>
          </w:p>
        </w:tc>
        <w:tc>
          <w:tcPr>
            <w:tcW w:w="1418" w:type="dxa"/>
            <w:vMerge/>
            <w:tcBorders>
              <w:top w:val="single" w:sz="18" w:space="0" w:color="FFFFFF"/>
              <w:left w:val="single" w:sz="18" w:space="0" w:color="C0C0C0"/>
              <w:bottom w:val="single" w:sz="18" w:space="0" w:color="808080"/>
              <w:right w:val="single" w:sz="18" w:space="0" w:color="C0C0C0"/>
            </w:tcBorders>
            <w:shd w:val="clear" w:color="auto" w:fill="A972A9"/>
            <w:vAlign w:val="center"/>
          </w:tcPr>
          <w:p w14:paraId="4D68AA8D" w14:textId="77777777" w:rsidR="00DF019A" w:rsidRPr="008E7494" w:rsidRDefault="00DF019A" w:rsidP="00066DE4">
            <w:pPr>
              <w:spacing w:after="0"/>
              <w:jc w:val="center"/>
              <w:rPr>
                <w:rFonts w:cs="Arial"/>
                <w:sz w:val="16"/>
                <w:szCs w:val="16"/>
              </w:rPr>
            </w:pPr>
          </w:p>
        </w:tc>
        <w:tc>
          <w:tcPr>
            <w:tcW w:w="1131" w:type="dxa"/>
            <w:vMerge/>
            <w:tcBorders>
              <w:left w:val="single" w:sz="18" w:space="0" w:color="C0C0C0"/>
              <w:bottom w:val="single" w:sz="18" w:space="0" w:color="808080"/>
              <w:right w:val="single" w:sz="18" w:space="0" w:color="C0C0C0"/>
            </w:tcBorders>
            <w:shd w:val="clear" w:color="auto" w:fill="768968"/>
            <w:vAlign w:val="center"/>
          </w:tcPr>
          <w:p w14:paraId="4363AFE0" w14:textId="77777777" w:rsidR="00DF019A" w:rsidRPr="008E7494" w:rsidRDefault="00DF019A" w:rsidP="00066DE4">
            <w:pPr>
              <w:spacing w:after="0"/>
              <w:jc w:val="center"/>
              <w:rPr>
                <w:rFonts w:cs="Arial"/>
                <w:sz w:val="16"/>
                <w:szCs w:val="16"/>
              </w:rPr>
            </w:pPr>
          </w:p>
        </w:tc>
        <w:tc>
          <w:tcPr>
            <w:tcW w:w="1704" w:type="dxa"/>
            <w:vMerge/>
            <w:tcBorders>
              <w:left w:val="single" w:sz="18" w:space="0" w:color="C0C0C0"/>
              <w:bottom w:val="single" w:sz="18" w:space="0" w:color="808080"/>
              <w:right w:val="single" w:sz="18" w:space="0" w:color="808080"/>
            </w:tcBorders>
            <w:vAlign w:val="center"/>
          </w:tcPr>
          <w:p w14:paraId="625EF73E" w14:textId="77777777" w:rsidR="00DF019A" w:rsidRPr="008E7494" w:rsidRDefault="00DF019A" w:rsidP="00066DE4">
            <w:pPr>
              <w:spacing w:after="0"/>
              <w:jc w:val="center"/>
              <w:rPr>
                <w:rFonts w:cs="Arial"/>
                <w:bCs/>
                <w:sz w:val="16"/>
                <w:szCs w:val="16"/>
              </w:rPr>
            </w:pPr>
          </w:p>
        </w:tc>
        <w:tc>
          <w:tcPr>
            <w:tcW w:w="2806" w:type="dxa"/>
            <w:vMerge/>
            <w:tcBorders>
              <w:left w:val="single" w:sz="18" w:space="0" w:color="808080"/>
              <w:bottom w:val="single" w:sz="18" w:space="0" w:color="808080"/>
              <w:right w:val="single" w:sz="18" w:space="0" w:color="808080"/>
            </w:tcBorders>
            <w:vAlign w:val="center"/>
          </w:tcPr>
          <w:p w14:paraId="704001AD" w14:textId="77777777" w:rsidR="00DF019A" w:rsidRPr="008E7494" w:rsidRDefault="00DF019A" w:rsidP="00066DE4">
            <w:pPr>
              <w:spacing w:after="0"/>
              <w:jc w:val="center"/>
              <w:rPr>
                <w:rFonts w:cs="Arial"/>
                <w:sz w:val="16"/>
                <w:szCs w:val="16"/>
              </w:rPr>
            </w:pPr>
          </w:p>
        </w:tc>
      </w:tr>
      <w:tr w:rsidR="00DF019A" w:rsidRPr="008E7494" w14:paraId="64E86ED2" w14:textId="77777777" w:rsidTr="00066DE4">
        <w:trPr>
          <w:trHeight w:val="397"/>
          <w:jc w:val="center"/>
        </w:trPr>
        <w:tc>
          <w:tcPr>
            <w:tcW w:w="1730" w:type="dxa"/>
            <w:tcBorders>
              <w:top w:val="single" w:sz="18" w:space="0" w:color="808080" w:themeColor="background1" w:themeShade="80"/>
              <w:left w:val="single" w:sz="18" w:space="0" w:color="808080"/>
              <w:right w:val="single" w:sz="18" w:space="0" w:color="C0C0C0"/>
            </w:tcBorders>
            <w:vAlign w:val="center"/>
          </w:tcPr>
          <w:p w14:paraId="613F07D1" w14:textId="77777777" w:rsidR="00DF019A" w:rsidRPr="008E7494" w:rsidRDefault="00DF019A" w:rsidP="00066DE4">
            <w:pPr>
              <w:spacing w:after="0"/>
              <w:jc w:val="center"/>
              <w:rPr>
                <w:rFonts w:cs="Arial"/>
                <w:sz w:val="16"/>
                <w:szCs w:val="16"/>
              </w:rPr>
            </w:pPr>
            <w:r>
              <w:rPr>
                <w:rFonts w:cs="Arial"/>
                <w:sz w:val="16"/>
                <w:szCs w:val="16"/>
              </w:rPr>
              <w:t>6</w:t>
            </w:r>
            <w:r w:rsidRPr="008E7494">
              <w:rPr>
                <w:rFonts w:cs="Arial"/>
                <w:sz w:val="16"/>
                <w:szCs w:val="16"/>
              </w:rPr>
              <w:t xml:space="preserve"> August</w:t>
            </w:r>
          </w:p>
        </w:tc>
        <w:tc>
          <w:tcPr>
            <w:tcW w:w="1418" w:type="dxa"/>
            <w:tcBorders>
              <w:top w:val="single" w:sz="18" w:space="0" w:color="808080" w:themeColor="background1" w:themeShade="80"/>
              <w:left w:val="single" w:sz="18" w:space="0" w:color="C0C0C0"/>
              <w:bottom w:val="single" w:sz="18" w:space="0" w:color="BFBFBF"/>
              <w:right w:val="single" w:sz="18" w:space="0" w:color="C0C0C0"/>
            </w:tcBorders>
            <w:shd w:val="clear" w:color="auto" w:fill="auto"/>
            <w:vAlign w:val="center"/>
          </w:tcPr>
          <w:p w14:paraId="4A1BBD49" w14:textId="77777777" w:rsidR="00DF019A" w:rsidRPr="008E7494" w:rsidRDefault="00DF019A" w:rsidP="00066DE4">
            <w:pPr>
              <w:spacing w:after="0"/>
              <w:jc w:val="center"/>
              <w:rPr>
                <w:rFonts w:cs="Arial"/>
                <w:sz w:val="16"/>
                <w:szCs w:val="16"/>
              </w:rPr>
            </w:pPr>
            <w:r w:rsidRPr="008E7494">
              <w:rPr>
                <w:rFonts w:cs="Arial"/>
                <w:sz w:val="16"/>
                <w:szCs w:val="16"/>
              </w:rPr>
              <w:t>Public Holiday</w:t>
            </w:r>
          </w:p>
        </w:tc>
        <w:tc>
          <w:tcPr>
            <w:tcW w:w="1275" w:type="dxa"/>
            <w:tcBorders>
              <w:top w:val="single" w:sz="18" w:space="0" w:color="808080" w:themeColor="background1" w:themeShade="80"/>
              <w:left w:val="single" w:sz="18" w:space="0" w:color="C0C0C0"/>
              <w:bottom w:val="single" w:sz="18" w:space="0" w:color="C0C0C0"/>
              <w:right w:val="single" w:sz="18" w:space="0" w:color="C0C0C0"/>
            </w:tcBorders>
            <w:shd w:val="clear" w:color="auto" w:fill="A64D2C"/>
            <w:vAlign w:val="center"/>
          </w:tcPr>
          <w:p w14:paraId="253963A0" w14:textId="77777777" w:rsidR="00DF019A" w:rsidRPr="008E7494" w:rsidRDefault="00DF019A" w:rsidP="00066DE4">
            <w:pPr>
              <w:spacing w:after="0"/>
              <w:jc w:val="center"/>
              <w:rPr>
                <w:rFonts w:cs="Arial"/>
                <w:sz w:val="16"/>
                <w:szCs w:val="16"/>
              </w:rPr>
            </w:pPr>
            <w:r>
              <w:rPr>
                <w:rFonts w:cs="Arial"/>
                <w:sz w:val="16"/>
                <w:szCs w:val="16"/>
              </w:rPr>
              <w:t>7</w:t>
            </w:r>
          </w:p>
        </w:tc>
        <w:tc>
          <w:tcPr>
            <w:tcW w:w="1418" w:type="dxa"/>
            <w:tcBorders>
              <w:top w:val="single" w:sz="18" w:space="0" w:color="808080"/>
              <w:left w:val="single" w:sz="18" w:space="0" w:color="C0C0C0"/>
              <w:bottom w:val="single" w:sz="18" w:space="0" w:color="C0C0C0"/>
              <w:right w:val="single" w:sz="18" w:space="0" w:color="C0C0C0"/>
            </w:tcBorders>
            <w:shd w:val="clear" w:color="auto" w:fill="A64D2C"/>
            <w:vAlign w:val="center"/>
          </w:tcPr>
          <w:p w14:paraId="25AFBD41" w14:textId="77777777" w:rsidR="00DF019A" w:rsidRPr="008E7494" w:rsidRDefault="00DF019A" w:rsidP="00066DE4">
            <w:pPr>
              <w:spacing w:after="0"/>
              <w:jc w:val="center"/>
              <w:rPr>
                <w:rFonts w:cs="Arial"/>
                <w:sz w:val="16"/>
                <w:szCs w:val="16"/>
              </w:rPr>
            </w:pPr>
            <w:r>
              <w:rPr>
                <w:rFonts w:cs="Arial"/>
                <w:sz w:val="16"/>
                <w:szCs w:val="16"/>
              </w:rPr>
              <w:t>8</w:t>
            </w:r>
          </w:p>
        </w:tc>
        <w:tc>
          <w:tcPr>
            <w:tcW w:w="1131" w:type="dxa"/>
            <w:tcBorders>
              <w:top w:val="single" w:sz="18" w:space="0" w:color="808080"/>
              <w:left w:val="single" w:sz="18" w:space="0" w:color="C0C0C0"/>
              <w:bottom w:val="single" w:sz="18" w:space="0" w:color="C0C0C0"/>
              <w:right w:val="single" w:sz="18" w:space="0" w:color="C0C0C0"/>
            </w:tcBorders>
            <w:shd w:val="clear" w:color="auto" w:fill="A64D2C"/>
            <w:vAlign w:val="center"/>
          </w:tcPr>
          <w:p w14:paraId="61FC2F11" w14:textId="77777777" w:rsidR="00DF019A" w:rsidRPr="008E7494" w:rsidRDefault="00DF019A" w:rsidP="00066DE4">
            <w:pPr>
              <w:spacing w:after="0"/>
              <w:jc w:val="center"/>
              <w:rPr>
                <w:rFonts w:cs="Arial"/>
                <w:sz w:val="16"/>
                <w:szCs w:val="16"/>
              </w:rPr>
            </w:pPr>
            <w:r>
              <w:rPr>
                <w:rFonts w:cs="Arial"/>
                <w:sz w:val="16"/>
                <w:szCs w:val="16"/>
              </w:rPr>
              <w:t>9</w:t>
            </w:r>
          </w:p>
        </w:tc>
        <w:tc>
          <w:tcPr>
            <w:tcW w:w="1704" w:type="dxa"/>
            <w:tcBorders>
              <w:top w:val="single" w:sz="18" w:space="0" w:color="808080"/>
              <w:left w:val="single" w:sz="18" w:space="0" w:color="C0C0C0"/>
              <w:right w:val="single" w:sz="18" w:space="0" w:color="808080"/>
            </w:tcBorders>
            <w:vAlign w:val="center"/>
          </w:tcPr>
          <w:p w14:paraId="22A691D1" w14:textId="77777777" w:rsidR="00DF019A" w:rsidRPr="008E7494" w:rsidRDefault="00DF019A" w:rsidP="00066DE4">
            <w:pPr>
              <w:spacing w:after="0"/>
              <w:jc w:val="center"/>
              <w:rPr>
                <w:rFonts w:cs="Arial"/>
                <w:bCs/>
                <w:sz w:val="16"/>
                <w:szCs w:val="16"/>
              </w:rPr>
            </w:pPr>
          </w:p>
        </w:tc>
        <w:tc>
          <w:tcPr>
            <w:tcW w:w="2806" w:type="dxa"/>
            <w:tcBorders>
              <w:top w:val="single" w:sz="18" w:space="0" w:color="808080"/>
              <w:left w:val="single" w:sz="18" w:space="0" w:color="808080"/>
              <w:right w:val="single" w:sz="18" w:space="0" w:color="808080"/>
            </w:tcBorders>
            <w:vAlign w:val="center"/>
          </w:tcPr>
          <w:p w14:paraId="6B34D551" w14:textId="77777777" w:rsidR="00DF019A" w:rsidRPr="008E7494" w:rsidRDefault="00DF019A" w:rsidP="00066DE4">
            <w:pPr>
              <w:spacing w:after="0"/>
              <w:jc w:val="center"/>
              <w:rPr>
                <w:rFonts w:cs="Arial"/>
                <w:sz w:val="16"/>
                <w:szCs w:val="16"/>
              </w:rPr>
            </w:pPr>
            <w:r>
              <w:rPr>
                <w:rFonts w:cs="Arial"/>
                <w:sz w:val="16"/>
                <w:szCs w:val="16"/>
              </w:rPr>
              <w:t>6</w:t>
            </w:r>
            <w:r w:rsidRPr="008E7494">
              <w:rPr>
                <w:rFonts w:cs="Arial"/>
                <w:sz w:val="16"/>
                <w:szCs w:val="16"/>
              </w:rPr>
              <w:t xml:space="preserve"> Aurukun Day</w:t>
            </w:r>
          </w:p>
        </w:tc>
      </w:tr>
      <w:tr w:rsidR="00DF019A" w:rsidRPr="008E7494" w14:paraId="07A11E2E" w14:textId="77777777" w:rsidTr="00066DE4">
        <w:trPr>
          <w:trHeight w:hRule="exact" w:val="284"/>
          <w:jc w:val="center"/>
        </w:trPr>
        <w:tc>
          <w:tcPr>
            <w:tcW w:w="1730" w:type="dxa"/>
            <w:vMerge w:val="restart"/>
            <w:tcBorders>
              <w:top w:val="single" w:sz="18" w:space="0" w:color="BFBFBF"/>
              <w:left w:val="single" w:sz="18" w:space="0" w:color="808080"/>
              <w:right w:val="single" w:sz="18" w:space="0" w:color="C0C0C0"/>
            </w:tcBorders>
            <w:vAlign w:val="center"/>
          </w:tcPr>
          <w:p w14:paraId="43F06BCB" w14:textId="77777777" w:rsidR="00DF019A" w:rsidRPr="008E7494" w:rsidRDefault="00DF019A" w:rsidP="00066DE4">
            <w:pPr>
              <w:spacing w:after="0"/>
              <w:jc w:val="center"/>
              <w:rPr>
                <w:rFonts w:cs="Arial"/>
                <w:sz w:val="16"/>
                <w:szCs w:val="16"/>
              </w:rPr>
            </w:pPr>
            <w:r w:rsidRPr="008E7494">
              <w:rPr>
                <w:rFonts w:cs="Arial"/>
                <w:sz w:val="16"/>
                <w:szCs w:val="16"/>
              </w:rPr>
              <w:t>1</w:t>
            </w:r>
            <w:r>
              <w:rPr>
                <w:rFonts w:cs="Arial"/>
                <w:sz w:val="16"/>
                <w:szCs w:val="16"/>
              </w:rPr>
              <w:t>3</w:t>
            </w:r>
            <w:r w:rsidRPr="008E7494">
              <w:rPr>
                <w:rFonts w:cs="Arial"/>
                <w:sz w:val="16"/>
                <w:szCs w:val="16"/>
              </w:rPr>
              <w:t xml:space="preserve"> August</w:t>
            </w:r>
          </w:p>
        </w:tc>
        <w:tc>
          <w:tcPr>
            <w:tcW w:w="1418" w:type="dxa"/>
            <w:vMerge w:val="restart"/>
            <w:tcBorders>
              <w:top w:val="single" w:sz="18" w:space="0" w:color="BFBFBF"/>
              <w:left w:val="single" w:sz="18" w:space="0" w:color="C0C0C0"/>
              <w:right w:val="single" w:sz="18" w:space="0" w:color="C0C0C0"/>
            </w:tcBorders>
            <w:vAlign w:val="center"/>
          </w:tcPr>
          <w:p w14:paraId="79642E19" w14:textId="77777777" w:rsidR="00DF019A" w:rsidRPr="008E7494" w:rsidRDefault="00DF019A" w:rsidP="00066DE4">
            <w:pPr>
              <w:spacing w:after="0"/>
              <w:jc w:val="center"/>
              <w:rPr>
                <w:rFonts w:cs="Arial"/>
                <w:color w:val="000000"/>
                <w:sz w:val="16"/>
                <w:szCs w:val="16"/>
              </w:rPr>
            </w:pPr>
          </w:p>
        </w:tc>
        <w:tc>
          <w:tcPr>
            <w:tcW w:w="1275" w:type="dxa"/>
            <w:tcBorders>
              <w:top w:val="single" w:sz="18" w:space="0" w:color="C0C0C0"/>
              <w:left w:val="single" w:sz="18" w:space="0" w:color="C0C0C0"/>
              <w:bottom w:val="nil"/>
              <w:right w:val="single" w:sz="18" w:space="0" w:color="C0C0C0"/>
            </w:tcBorders>
            <w:shd w:val="clear" w:color="auto" w:fill="A972A9"/>
            <w:vAlign w:val="center"/>
          </w:tcPr>
          <w:p w14:paraId="13496FBE" w14:textId="77777777" w:rsidR="00DF019A" w:rsidRPr="008E7494" w:rsidRDefault="00DF019A" w:rsidP="00066DE4">
            <w:pPr>
              <w:spacing w:after="0"/>
              <w:jc w:val="center"/>
              <w:rPr>
                <w:rFonts w:cs="Arial"/>
                <w:color w:val="000000"/>
                <w:sz w:val="16"/>
                <w:szCs w:val="16"/>
              </w:rPr>
            </w:pPr>
            <w:r w:rsidRPr="008E7494">
              <w:rPr>
                <w:rFonts w:cs="Arial"/>
                <w:color w:val="000000"/>
                <w:sz w:val="16"/>
                <w:szCs w:val="16"/>
              </w:rPr>
              <w:t>1</w:t>
            </w:r>
            <w:r>
              <w:rPr>
                <w:rFonts w:cs="Arial"/>
                <w:color w:val="000000"/>
                <w:sz w:val="16"/>
                <w:szCs w:val="16"/>
              </w:rPr>
              <w:t>4</w:t>
            </w:r>
          </w:p>
        </w:tc>
        <w:tc>
          <w:tcPr>
            <w:tcW w:w="1418" w:type="dxa"/>
            <w:vMerge w:val="restart"/>
            <w:tcBorders>
              <w:top w:val="single" w:sz="18" w:space="0" w:color="C0C0C0"/>
              <w:left w:val="single" w:sz="18" w:space="0" w:color="C0C0C0"/>
              <w:right w:val="single" w:sz="18" w:space="0" w:color="C0C0C0"/>
            </w:tcBorders>
            <w:shd w:val="clear" w:color="auto" w:fill="A972A9"/>
            <w:vAlign w:val="center"/>
          </w:tcPr>
          <w:p w14:paraId="03508CD7" w14:textId="77777777" w:rsidR="00DF019A" w:rsidRPr="008E7494" w:rsidRDefault="00DF019A" w:rsidP="00066DE4">
            <w:pPr>
              <w:spacing w:after="0"/>
              <w:jc w:val="center"/>
              <w:rPr>
                <w:rFonts w:cs="Arial"/>
                <w:color w:val="000000"/>
                <w:sz w:val="16"/>
                <w:szCs w:val="16"/>
              </w:rPr>
            </w:pPr>
            <w:r>
              <w:rPr>
                <w:rFonts w:cs="Arial"/>
                <w:color w:val="000000"/>
                <w:sz w:val="16"/>
                <w:szCs w:val="16"/>
              </w:rPr>
              <w:t>15</w:t>
            </w:r>
          </w:p>
        </w:tc>
        <w:tc>
          <w:tcPr>
            <w:tcW w:w="1131" w:type="dxa"/>
            <w:vMerge w:val="restart"/>
            <w:tcBorders>
              <w:top w:val="single" w:sz="18" w:space="0" w:color="C0C0C0"/>
              <w:left w:val="single" w:sz="18" w:space="0" w:color="C0C0C0"/>
              <w:right w:val="single" w:sz="18" w:space="0" w:color="C0C0C0"/>
            </w:tcBorders>
            <w:shd w:val="clear" w:color="auto" w:fill="768968"/>
            <w:vAlign w:val="center"/>
          </w:tcPr>
          <w:p w14:paraId="4437CC27" w14:textId="77777777" w:rsidR="00DF019A" w:rsidRPr="008E7494" w:rsidRDefault="00DF019A" w:rsidP="00066DE4">
            <w:pPr>
              <w:spacing w:after="0"/>
              <w:jc w:val="center"/>
              <w:rPr>
                <w:rFonts w:cs="Arial"/>
                <w:color w:val="000000"/>
                <w:sz w:val="16"/>
                <w:szCs w:val="16"/>
              </w:rPr>
            </w:pPr>
            <w:r>
              <w:rPr>
                <w:rFonts w:cs="Arial"/>
                <w:color w:val="000000"/>
                <w:sz w:val="16"/>
                <w:szCs w:val="16"/>
              </w:rPr>
              <w:t>16</w:t>
            </w:r>
          </w:p>
        </w:tc>
        <w:tc>
          <w:tcPr>
            <w:tcW w:w="1704" w:type="dxa"/>
            <w:vMerge w:val="restart"/>
            <w:tcBorders>
              <w:top w:val="single" w:sz="18" w:space="0" w:color="BFBFBF"/>
              <w:left w:val="single" w:sz="18" w:space="0" w:color="C0C0C0"/>
              <w:right w:val="single" w:sz="18" w:space="0" w:color="808080"/>
            </w:tcBorders>
            <w:vAlign w:val="center"/>
          </w:tcPr>
          <w:p w14:paraId="2B9FC8EA" w14:textId="77777777" w:rsidR="00DF019A" w:rsidRPr="008E7494" w:rsidRDefault="00DF019A" w:rsidP="00066DE4">
            <w:pPr>
              <w:spacing w:after="0"/>
              <w:jc w:val="center"/>
              <w:rPr>
                <w:rFonts w:cs="Arial"/>
                <w:bCs/>
                <w:sz w:val="16"/>
                <w:szCs w:val="16"/>
              </w:rPr>
            </w:pPr>
          </w:p>
        </w:tc>
        <w:tc>
          <w:tcPr>
            <w:tcW w:w="2806" w:type="dxa"/>
            <w:vMerge w:val="restart"/>
            <w:tcBorders>
              <w:top w:val="single" w:sz="18" w:space="0" w:color="BFBFBF"/>
              <w:left w:val="single" w:sz="18" w:space="0" w:color="808080"/>
              <w:right w:val="single" w:sz="18" w:space="0" w:color="808080"/>
            </w:tcBorders>
            <w:vAlign w:val="center"/>
          </w:tcPr>
          <w:p w14:paraId="2BEB9432" w14:textId="77777777" w:rsidR="00DF019A" w:rsidRPr="008E7494" w:rsidRDefault="00DF019A" w:rsidP="00066DE4">
            <w:pPr>
              <w:spacing w:after="0"/>
              <w:jc w:val="center"/>
              <w:rPr>
                <w:rFonts w:cs="Arial"/>
                <w:sz w:val="16"/>
                <w:szCs w:val="16"/>
              </w:rPr>
            </w:pPr>
          </w:p>
        </w:tc>
      </w:tr>
      <w:tr w:rsidR="00DF019A" w:rsidRPr="008E7494" w14:paraId="47DD4131" w14:textId="77777777" w:rsidTr="00066DE4">
        <w:trPr>
          <w:trHeight w:hRule="exact" w:val="284"/>
          <w:jc w:val="center"/>
        </w:trPr>
        <w:tc>
          <w:tcPr>
            <w:tcW w:w="1730" w:type="dxa"/>
            <w:vMerge/>
            <w:tcBorders>
              <w:left w:val="single" w:sz="18" w:space="0" w:color="808080"/>
              <w:right w:val="single" w:sz="18" w:space="0" w:color="C0C0C0"/>
            </w:tcBorders>
            <w:vAlign w:val="center"/>
          </w:tcPr>
          <w:p w14:paraId="4B0F8049" w14:textId="77777777" w:rsidR="00DF019A" w:rsidRPr="008E7494" w:rsidRDefault="00DF019A" w:rsidP="00066DE4">
            <w:pPr>
              <w:spacing w:after="0"/>
              <w:jc w:val="center"/>
              <w:rPr>
                <w:rFonts w:cs="Arial"/>
                <w:sz w:val="16"/>
                <w:szCs w:val="16"/>
              </w:rPr>
            </w:pPr>
          </w:p>
        </w:tc>
        <w:tc>
          <w:tcPr>
            <w:tcW w:w="1418" w:type="dxa"/>
            <w:vMerge/>
            <w:tcBorders>
              <w:left w:val="single" w:sz="18" w:space="0" w:color="C0C0C0"/>
              <w:right w:val="single" w:sz="18" w:space="0" w:color="C0C0C0"/>
            </w:tcBorders>
            <w:vAlign w:val="center"/>
          </w:tcPr>
          <w:p w14:paraId="2CB9457D" w14:textId="77777777" w:rsidR="00DF019A" w:rsidRPr="008E7494" w:rsidRDefault="00DF019A" w:rsidP="00066DE4">
            <w:pPr>
              <w:spacing w:after="0"/>
              <w:jc w:val="center"/>
              <w:rPr>
                <w:rFonts w:cs="Arial"/>
                <w:color w:val="000000"/>
                <w:sz w:val="16"/>
                <w:szCs w:val="16"/>
              </w:rPr>
            </w:pPr>
          </w:p>
        </w:tc>
        <w:tc>
          <w:tcPr>
            <w:tcW w:w="1275" w:type="dxa"/>
            <w:tcBorders>
              <w:top w:val="nil"/>
              <w:left w:val="single" w:sz="18" w:space="0" w:color="C0C0C0"/>
              <w:bottom w:val="single" w:sz="18" w:space="0" w:color="C0C0C0"/>
              <w:right w:val="single" w:sz="18" w:space="0" w:color="C0C0C0"/>
            </w:tcBorders>
            <w:shd w:val="clear" w:color="auto" w:fill="DDB136"/>
            <w:vAlign w:val="center"/>
          </w:tcPr>
          <w:p w14:paraId="5AABA580" w14:textId="77777777" w:rsidR="00DF019A" w:rsidRPr="008E7494" w:rsidRDefault="00DF019A" w:rsidP="00066DE4">
            <w:pPr>
              <w:spacing w:after="0"/>
              <w:jc w:val="center"/>
              <w:rPr>
                <w:rFonts w:cs="Arial"/>
                <w:color w:val="000000"/>
                <w:sz w:val="16"/>
                <w:szCs w:val="16"/>
              </w:rPr>
            </w:pPr>
            <w:r>
              <w:rPr>
                <w:rFonts w:cs="Arial"/>
                <w:color w:val="000000"/>
                <w:sz w:val="16"/>
                <w:szCs w:val="16"/>
              </w:rPr>
              <w:t>14</w:t>
            </w:r>
          </w:p>
        </w:tc>
        <w:tc>
          <w:tcPr>
            <w:tcW w:w="1418" w:type="dxa"/>
            <w:vMerge/>
            <w:tcBorders>
              <w:left w:val="single" w:sz="18" w:space="0" w:color="C0C0C0"/>
              <w:right w:val="single" w:sz="18" w:space="0" w:color="C0C0C0"/>
            </w:tcBorders>
            <w:shd w:val="clear" w:color="auto" w:fill="A972A9"/>
            <w:vAlign w:val="center"/>
          </w:tcPr>
          <w:p w14:paraId="05F8F838" w14:textId="77777777" w:rsidR="00DF019A" w:rsidRDefault="00DF019A" w:rsidP="00066DE4">
            <w:pPr>
              <w:spacing w:after="0"/>
              <w:jc w:val="center"/>
              <w:rPr>
                <w:rFonts w:cs="Arial"/>
                <w:color w:val="000000"/>
                <w:sz w:val="16"/>
                <w:szCs w:val="16"/>
              </w:rPr>
            </w:pPr>
          </w:p>
        </w:tc>
        <w:tc>
          <w:tcPr>
            <w:tcW w:w="1131" w:type="dxa"/>
            <w:vMerge/>
            <w:tcBorders>
              <w:left w:val="single" w:sz="18" w:space="0" w:color="C0C0C0"/>
              <w:bottom w:val="single" w:sz="18" w:space="0" w:color="C0C0C0"/>
              <w:right w:val="single" w:sz="18" w:space="0" w:color="C0C0C0"/>
            </w:tcBorders>
            <w:shd w:val="clear" w:color="auto" w:fill="768968"/>
            <w:vAlign w:val="center"/>
          </w:tcPr>
          <w:p w14:paraId="3B573238" w14:textId="77777777" w:rsidR="00DF019A" w:rsidRDefault="00DF019A" w:rsidP="00066DE4">
            <w:pPr>
              <w:spacing w:after="0"/>
              <w:jc w:val="center"/>
              <w:rPr>
                <w:rFonts w:cs="Arial"/>
                <w:color w:val="000000"/>
                <w:sz w:val="16"/>
                <w:szCs w:val="16"/>
              </w:rPr>
            </w:pPr>
          </w:p>
        </w:tc>
        <w:tc>
          <w:tcPr>
            <w:tcW w:w="1704" w:type="dxa"/>
            <w:vMerge/>
            <w:tcBorders>
              <w:left w:val="single" w:sz="18" w:space="0" w:color="C0C0C0"/>
              <w:right w:val="single" w:sz="18" w:space="0" w:color="808080"/>
            </w:tcBorders>
            <w:vAlign w:val="center"/>
          </w:tcPr>
          <w:p w14:paraId="1B2E58D3" w14:textId="77777777" w:rsidR="00DF019A" w:rsidRPr="008E7494" w:rsidRDefault="00DF019A" w:rsidP="00066DE4">
            <w:pPr>
              <w:spacing w:after="0"/>
              <w:jc w:val="center"/>
              <w:rPr>
                <w:rFonts w:cs="Arial"/>
                <w:bCs/>
                <w:sz w:val="16"/>
                <w:szCs w:val="16"/>
              </w:rPr>
            </w:pPr>
          </w:p>
        </w:tc>
        <w:tc>
          <w:tcPr>
            <w:tcW w:w="2806" w:type="dxa"/>
            <w:vMerge/>
            <w:tcBorders>
              <w:left w:val="single" w:sz="18" w:space="0" w:color="808080"/>
              <w:right w:val="single" w:sz="18" w:space="0" w:color="808080"/>
            </w:tcBorders>
            <w:vAlign w:val="center"/>
          </w:tcPr>
          <w:p w14:paraId="5C125F42" w14:textId="77777777" w:rsidR="00DF019A" w:rsidRPr="008E7494" w:rsidRDefault="00DF019A" w:rsidP="00066DE4">
            <w:pPr>
              <w:spacing w:after="0"/>
              <w:jc w:val="center"/>
              <w:rPr>
                <w:rFonts w:cs="Arial"/>
                <w:sz w:val="16"/>
                <w:szCs w:val="16"/>
              </w:rPr>
            </w:pPr>
          </w:p>
        </w:tc>
      </w:tr>
      <w:tr w:rsidR="00DF019A" w:rsidRPr="008E7494" w14:paraId="205A5CDB" w14:textId="77777777" w:rsidTr="00066DE4">
        <w:trPr>
          <w:trHeight w:val="397"/>
          <w:jc w:val="center"/>
        </w:trPr>
        <w:tc>
          <w:tcPr>
            <w:tcW w:w="1730" w:type="dxa"/>
            <w:tcBorders>
              <w:top w:val="single" w:sz="18" w:space="0" w:color="BFBFBF"/>
              <w:left w:val="single" w:sz="18" w:space="0" w:color="808080"/>
              <w:right w:val="single" w:sz="18" w:space="0" w:color="C0C0C0"/>
            </w:tcBorders>
            <w:vAlign w:val="center"/>
          </w:tcPr>
          <w:p w14:paraId="0E1AC2F4" w14:textId="77777777" w:rsidR="00DF019A" w:rsidRPr="008E7494" w:rsidRDefault="00DF019A" w:rsidP="00066DE4">
            <w:pPr>
              <w:spacing w:after="0"/>
              <w:jc w:val="center"/>
              <w:rPr>
                <w:rFonts w:cs="Arial"/>
                <w:sz w:val="16"/>
                <w:szCs w:val="16"/>
              </w:rPr>
            </w:pPr>
            <w:r w:rsidRPr="008E7494">
              <w:rPr>
                <w:rFonts w:cs="Arial"/>
                <w:sz w:val="16"/>
                <w:szCs w:val="16"/>
              </w:rPr>
              <w:t>2</w:t>
            </w:r>
            <w:r>
              <w:rPr>
                <w:rFonts w:cs="Arial"/>
                <w:sz w:val="16"/>
                <w:szCs w:val="16"/>
              </w:rPr>
              <w:t>0</w:t>
            </w:r>
            <w:r w:rsidRPr="008E7494">
              <w:rPr>
                <w:rFonts w:cs="Arial"/>
                <w:sz w:val="16"/>
                <w:szCs w:val="16"/>
              </w:rPr>
              <w:t xml:space="preserve"> August</w:t>
            </w:r>
          </w:p>
        </w:tc>
        <w:tc>
          <w:tcPr>
            <w:tcW w:w="1418" w:type="dxa"/>
            <w:tcBorders>
              <w:top w:val="single" w:sz="18" w:space="0" w:color="BFBFBF"/>
              <w:left w:val="single" w:sz="18" w:space="0" w:color="C0C0C0"/>
              <w:bottom w:val="single" w:sz="18" w:space="0" w:color="BFBFBF" w:themeColor="background1" w:themeShade="BF"/>
              <w:right w:val="single" w:sz="18" w:space="0" w:color="C0C0C0"/>
            </w:tcBorders>
            <w:shd w:val="clear" w:color="auto" w:fill="auto"/>
            <w:vAlign w:val="center"/>
          </w:tcPr>
          <w:p w14:paraId="33B5CF6D" w14:textId="77777777" w:rsidR="00DF019A" w:rsidRPr="008E7494" w:rsidRDefault="00DF019A" w:rsidP="00066DE4">
            <w:pPr>
              <w:spacing w:after="0"/>
              <w:jc w:val="center"/>
              <w:rPr>
                <w:rFonts w:cs="Arial"/>
                <w:color w:val="000000"/>
                <w:sz w:val="16"/>
                <w:szCs w:val="16"/>
              </w:rPr>
            </w:pPr>
          </w:p>
        </w:tc>
        <w:tc>
          <w:tcPr>
            <w:tcW w:w="1275" w:type="dxa"/>
            <w:tcBorders>
              <w:top w:val="single" w:sz="18" w:space="0" w:color="C0C0C0"/>
              <w:left w:val="single" w:sz="18" w:space="0" w:color="C0C0C0"/>
              <w:right w:val="single" w:sz="18" w:space="0" w:color="C0C0C0"/>
            </w:tcBorders>
            <w:shd w:val="clear" w:color="auto" w:fill="auto"/>
            <w:vAlign w:val="center"/>
          </w:tcPr>
          <w:p w14:paraId="60E358B2" w14:textId="77777777" w:rsidR="00DF019A" w:rsidRPr="008E7494" w:rsidRDefault="00DF019A" w:rsidP="00066DE4">
            <w:pPr>
              <w:spacing w:after="0"/>
              <w:jc w:val="center"/>
              <w:rPr>
                <w:rFonts w:cs="Arial"/>
                <w:color w:val="000000"/>
                <w:sz w:val="16"/>
                <w:szCs w:val="16"/>
              </w:rPr>
            </w:pPr>
          </w:p>
        </w:tc>
        <w:tc>
          <w:tcPr>
            <w:tcW w:w="1418" w:type="dxa"/>
            <w:tcBorders>
              <w:top w:val="single" w:sz="18" w:space="0" w:color="C0C0C0"/>
              <w:left w:val="single" w:sz="18" w:space="0" w:color="C0C0C0"/>
              <w:right w:val="single" w:sz="18" w:space="0" w:color="C0C0C0"/>
            </w:tcBorders>
            <w:shd w:val="clear" w:color="auto" w:fill="A64D2C"/>
            <w:vAlign w:val="center"/>
          </w:tcPr>
          <w:p w14:paraId="0CCE852D" w14:textId="77777777" w:rsidR="00DF019A" w:rsidRPr="008E7494" w:rsidRDefault="00DF019A" w:rsidP="00066DE4">
            <w:pPr>
              <w:spacing w:after="0"/>
              <w:jc w:val="center"/>
              <w:rPr>
                <w:rFonts w:cs="Arial"/>
                <w:color w:val="000000"/>
                <w:sz w:val="16"/>
                <w:szCs w:val="16"/>
              </w:rPr>
            </w:pPr>
            <w:r w:rsidRPr="008E7494">
              <w:rPr>
                <w:rFonts w:cs="Arial"/>
                <w:color w:val="000000"/>
                <w:sz w:val="16"/>
                <w:szCs w:val="16"/>
              </w:rPr>
              <w:t>2</w:t>
            </w:r>
            <w:r>
              <w:rPr>
                <w:rFonts w:cs="Arial"/>
                <w:color w:val="000000"/>
                <w:sz w:val="16"/>
                <w:szCs w:val="16"/>
              </w:rPr>
              <w:t>2</w:t>
            </w:r>
          </w:p>
        </w:tc>
        <w:tc>
          <w:tcPr>
            <w:tcW w:w="1131" w:type="dxa"/>
            <w:tcBorders>
              <w:top w:val="single" w:sz="18" w:space="0" w:color="C0C0C0"/>
              <w:left w:val="single" w:sz="18" w:space="0" w:color="C0C0C0"/>
              <w:right w:val="single" w:sz="18" w:space="0" w:color="C0C0C0"/>
            </w:tcBorders>
            <w:shd w:val="clear" w:color="auto" w:fill="A64D2C"/>
            <w:vAlign w:val="center"/>
          </w:tcPr>
          <w:p w14:paraId="69D7C106" w14:textId="77777777" w:rsidR="00DF019A" w:rsidRPr="008E7494" w:rsidRDefault="00DF019A" w:rsidP="00066DE4">
            <w:pPr>
              <w:spacing w:after="0"/>
              <w:jc w:val="center"/>
              <w:rPr>
                <w:rFonts w:cs="Arial"/>
                <w:color w:val="000000"/>
                <w:sz w:val="16"/>
                <w:szCs w:val="16"/>
              </w:rPr>
            </w:pPr>
            <w:r>
              <w:rPr>
                <w:rFonts w:cs="Arial"/>
                <w:color w:val="000000"/>
                <w:sz w:val="16"/>
                <w:szCs w:val="16"/>
              </w:rPr>
              <w:t>23</w:t>
            </w:r>
          </w:p>
        </w:tc>
        <w:tc>
          <w:tcPr>
            <w:tcW w:w="1704" w:type="dxa"/>
            <w:tcBorders>
              <w:top w:val="single" w:sz="18" w:space="0" w:color="BFBFBF"/>
              <w:left w:val="single" w:sz="18" w:space="0" w:color="C0C0C0"/>
              <w:right w:val="single" w:sz="18" w:space="0" w:color="808080"/>
            </w:tcBorders>
            <w:vAlign w:val="center"/>
          </w:tcPr>
          <w:p w14:paraId="1514ED6E" w14:textId="77777777" w:rsidR="00DF019A" w:rsidRPr="008E7494" w:rsidRDefault="00DF019A" w:rsidP="00066DE4">
            <w:pPr>
              <w:spacing w:after="0"/>
              <w:jc w:val="center"/>
              <w:rPr>
                <w:rFonts w:cs="Arial"/>
                <w:bCs/>
                <w:sz w:val="16"/>
                <w:szCs w:val="16"/>
              </w:rPr>
            </w:pPr>
            <w:r w:rsidRPr="008E7494">
              <w:rPr>
                <w:rFonts w:cs="Arial"/>
                <w:sz w:val="16"/>
                <w:szCs w:val="16"/>
              </w:rPr>
              <w:t>Public Holiday</w:t>
            </w:r>
          </w:p>
        </w:tc>
        <w:tc>
          <w:tcPr>
            <w:tcW w:w="2806" w:type="dxa"/>
            <w:tcBorders>
              <w:top w:val="single" w:sz="18" w:space="0" w:color="BFBFBF"/>
              <w:left w:val="single" w:sz="18" w:space="0" w:color="808080"/>
              <w:right w:val="single" w:sz="18" w:space="0" w:color="808080"/>
            </w:tcBorders>
            <w:vAlign w:val="center"/>
          </w:tcPr>
          <w:p w14:paraId="5EE55E2A" w14:textId="77777777" w:rsidR="00DF019A" w:rsidRPr="008E7494" w:rsidRDefault="00DF019A" w:rsidP="00066DE4">
            <w:pPr>
              <w:spacing w:after="0"/>
              <w:jc w:val="center"/>
              <w:rPr>
                <w:rFonts w:cs="Arial"/>
                <w:sz w:val="16"/>
                <w:szCs w:val="16"/>
              </w:rPr>
            </w:pPr>
            <w:r w:rsidRPr="008E7494">
              <w:rPr>
                <w:rFonts w:cs="Arial"/>
                <w:sz w:val="16"/>
                <w:szCs w:val="16"/>
              </w:rPr>
              <w:t>2</w:t>
            </w:r>
            <w:r>
              <w:rPr>
                <w:rFonts w:cs="Arial"/>
                <w:sz w:val="16"/>
                <w:szCs w:val="16"/>
              </w:rPr>
              <w:t>4</w:t>
            </w:r>
            <w:r w:rsidRPr="008E7494">
              <w:rPr>
                <w:rFonts w:cs="Arial"/>
                <w:sz w:val="16"/>
                <w:szCs w:val="16"/>
              </w:rPr>
              <w:t xml:space="preserve"> Doomadgee Day</w:t>
            </w:r>
          </w:p>
        </w:tc>
      </w:tr>
      <w:tr w:rsidR="00DF019A" w:rsidRPr="008E7494" w14:paraId="1B67037C" w14:textId="77777777" w:rsidTr="00066DE4">
        <w:trPr>
          <w:trHeight w:hRule="exact" w:val="284"/>
          <w:jc w:val="center"/>
        </w:trPr>
        <w:tc>
          <w:tcPr>
            <w:tcW w:w="1730" w:type="dxa"/>
            <w:vMerge w:val="restart"/>
            <w:tcBorders>
              <w:top w:val="single" w:sz="18" w:space="0" w:color="BFBFBF" w:themeColor="background1" w:themeShade="BF"/>
              <w:left w:val="single" w:sz="18" w:space="0" w:color="808080"/>
              <w:right w:val="single" w:sz="18" w:space="0" w:color="C0C0C0"/>
            </w:tcBorders>
            <w:vAlign w:val="center"/>
          </w:tcPr>
          <w:p w14:paraId="45A9111B" w14:textId="77777777" w:rsidR="00DF019A" w:rsidRPr="008E7494" w:rsidRDefault="00DF019A" w:rsidP="00066DE4">
            <w:pPr>
              <w:spacing w:after="0"/>
              <w:jc w:val="center"/>
              <w:rPr>
                <w:rFonts w:cs="Arial"/>
                <w:sz w:val="16"/>
                <w:szCs w:val="16"/>
              </w:rPr>
            </w:pPr>
            <w:r w:rsidRPr="008E7494">
              <w:rPr>
                <w:rFonts w:cs="Arial"/>
                <w:sz w:val="16"/>
                <w:szCs w:val="16"/>
              </w:rPr>
              <w:t>2</w:t>
            </w:r>
            <w:r>
              <w:rPr>
                <w:rFonts w:cs="Arial"/>
                <w:sz w:val="16"/>
                <w:szCs w:val="16"/>
              </w:rPr>
              <w:t>7</w:t>
            </w:r>
            <w:r w:rsidRPr="008E7494">
              <w:rPr>
                <w:rFonts w:cs="Arial"/>
                <w:sz w:val="16"/>
                <w:szCs w:val="16"/>
              </w:rPr>
              <w:t xml:space="preserve"> August</w:t>
            </w:r>
          </w:p>
        </w:tc>
        <w:tc>
          <w:tcPr>
            <w:tcW w:w="1418" w:type="dxa"/>
            <w:vMerge w:val="restart"/>
            <w:tcBorders>
              <w:top w:val="single" w:sz="18" w:space="0" w:color="BFBFBF" w:themeColor="background1" w:themeShade="BF"/>
              <w:left w:val="single" w:sz="18" w:space="0" w:color="C0C0C0"/>
              <w:right w:val="single" w:sz="18" w:space="0" w:color="C0C0C0"/>
            </w:tcBorders>
            <w:vAlign w:val="center"/>
          </w:tcPr>
          <w:p w14:paraId="02020098" w14:textId="77777777" w:rsidR="00DF019A" w:rsidRPr="008E7494" w:rsidRDefault="00DF019A" w:rsidP="00066DE4">
            <w:pPr>
              <w:spacing w:after="0"/>
              <w:jc w:val="center"/>
              <w:rPr>
                <w:rFonts w:cs="Arial"/>
                <w:sz w:val="16"/>
                <w:szCs w:val="16"/>
              </w:rPr>
            </w:pPr>
          </w:p>
        </w:tc>
        <w:tc>
          <w:tcPr>
            <w:tcW w:w="1275" w:type="dxa"/>
            <w:vMerge w:val="restart"/>
            <w:tcBorders>
              <w:top w:val="single" w:sz="18" w:space="0" w:color="C0C0C0"/>
              <w:left w:val="single" w:sz="18" w:space="0" w:color="C0C0C0"/>
              <w:right w:val="single" w:sz="18" w:space="0" w:color="C0C0C0"/>
            </w:tcBorders>
            <w:shd w:val="clear" w:color="auto" w:fill="A972A9"/>
            <w:vAlign w:val="center"/>
          </w:tcPr>
          <w:p w14:paraId="21DD7B25" w14:textId="77777777" w:rsidR="00DF019A" w:rsidRPr="008E7494" w:rsidRDefault="00DF019A" w:rsidP="00066DE4">
            <w:pPr>
              <w:spacing w:after="0"/>
              <w:jc w:val="center"/>
              <w:rPr>
                <w:rFonts w:cs="Arial"/>
                <w:sz w:val="16"/>
                <w:szCs w:val="16"/>
              </w:rPr>
            </w:pPr>
            <w:r w:rsidRPr="008E7494">
              <w:rPr>
                <w:rFonts w:cs="Arial"/>
                <w:sz w:val="16"/>
                <w:szCs w:val="16"/>
              </w:rPr>
              <w:t>2</w:t>
            </w:r>
            <w:r>
              <w:rPr>
                <w:rFonts w:cs="Arial"/>
                <w:sz w:val="16"/>
                <w:szCs w:val="16"/>
              </w:rPr>
              <w:t>8</w:t>
            </w:r>
          </w:p>
        </w:tc>
        <w:tc>
          <w:tcPr>
            <w:tcW w:w="1418" w:type="dxa"/>
            <w:vMerge w:val="restart"/>
            <w:tcBorders>
              <w:top w:val="single" w:sz="18" w:space="0" w:color="C0C0C0"/>
              <w:left w:val="single" w:sz="18" w:space="0" w:color="C0C0C0"/>
              <w:right w:val="single" w:sz="18" w:space="0" w:color="C0C0C0"/>
            </w:tcBorders>
            <w:shd w:val="clear" w:color="auto" w:fill="A972A9"/>
            <w:vAlign w:val="center"/>
          </w:tcPr>
          <w:p w14:paraId="48CA0F90" w14:textId="77777777" w:rsidR="00DF019A" w:rsidRPr="008E7494" w:rsidRDefault="00DF019A" w:rsidP="00066DE4">
            <w:pPr>
              <w:spacing w:after="0"/>
              <w:jc w:val="center"/>
              <w:rPr>
                <w:rFonts w:cs="Arial"/>
                <w:color w:val="000000"/>
                <w:sz w:val="16"/>
                <w:szCs w:val="16"/>
              </w:rPr>
            </w:pPr>
            <w:r>
              <w:rPr>
                <w:rFonts w:cs="Arial"/>
                <w:color w:val="000000"/>
                <w:sz w:val="16"/>
                <w:szCs w:val="16"/>
              </w:rPr>
              <w:t>29</w:t>
            </w:r>
          </w:p>
        </w:tc>
        <w:tc>
          <w:tcPr>
            <w:tcW w:w="1131" w:type="dxa"/>
            <w:tcBorders>
              <w:top w:val="single" w:sz="18" w:space="0" w:color="C0C0C0"/>
              <w:left w:val="single" w:sz="18" w:space="0" w:color="C0C0C0"/>
              <w:bottom w:val="nil"/>
              <w:right w:val="single" w:sz="18" w:space="0" w:color="C0C0C0"/>
            </w:tcBorders>
            <w:shd w:val="clear" w:color="auto" w:fill="A972A9"/>
            <w:vAlign w:val="center"/>
          </w:tcPr>
          <w:p w14:paraId="0AC3DEFB" w14:textId="77777777" w:rsidR="00DF019A" w:rsidRPr="008E7494" w:rsidRDefault="00DF019A" w:rsidP="00066DE4">
            <w:pPr>
              <w:spacing w:after="0"/>
              <w:jc w:val="center"/>
              <w:rPr>
                <w:rFonts w:cs="Arial"/>
                <w:sz w:val="16"/>
                <w:szCs w:val="16"/>
              </w:rPr>
            </w:pPr>
            <w:r>
              <w:rPr>
                <w:rFonts w:cs="Arial"/>
                <w:sz w:val="16"/>
                <w:szCs w:val="16"/>
              </w:rPr>
              <w:t>30</w:t>
            </w:r>
          </w:p>
        </w:tc>
        <w:tc>
          <w:tcPr>
            <w:tcW w:w="1704" w:type="dxa"/>
            <w:vMerge w:val="restart"/>
            <w:tcBorders>
              <w:top w:val="single" w:sz="18" w:space="0" w:color="BFBFBF" w:themeColor="background1" w:themeShade="BF"/>
              <w:left w:val="single" w:sz="18" w:space="0" w:color="C0C0C0"/>
              <w:right w:val="single" w:sz="18" w:space="0" w:color="808080"/>
            </w:tcBorders>
            <w:vAlign w:val="center"/>
          </w:tcPr>
          <w:p w14:paraId="174E0A98" w14:textId="77777777" w:rsidR="00DF019A" w:rsidRPr="008E7494" w:rsidRDefault="00DF019A" w:rsidP="00066DE4">
            <w:pPr>
              <w:spacing w:after="0"/>
              <w:jc w:val="center"/>
              <w:rPr>
                <w:rFonts w:cs="Arial"/>
                <w:bCs/>
                <w:sz w:val="16"/>
                <w:szCs w:val="16"/>
              </w:rPr>
            </w:pPr>
          </w:p>
        </w:tc>
        <w:tc>
          <w:tcPr>
            <w:tcW w:w="2806" w:type="dxa"/>
            <w:vMerge w:val="restart"/>
            <w:tcBorders>
              <w:top w:val="single" w:sz="18" w:space="0" w:color="BFBFBF" w:themeColor="background1" w:themeShade="BF"/>
              <w:left w:val="single" w:sz="18" w:space="0" w:color="808080"/>
              <w:right w:val="single" w:sz="18" w:space="0" w:color="808080"/>
            </w:tcBorders>
            <w:vAlign w:val="center"/>
          </w:tcPr>
          <w:p w14:paraId="27F920AB" w14:textId="77777777" w:rsidR="00DF019A" w:rsidRPr="008E7494" w:rsidRDefault="00DF019A" w:rsidP="00066DE4">
            <w:pPr>
              <w:spacing w:after="0"/>
              <w:jc w:val="center"/>
              <w:rPr>
                <w:rFonts w:cs="Arial"/>
                <w:sz w:val="16"/>
                <w:szCs w:val="16"/>
              </w:rPr>
            </w:pPr>
          </w:p>
        </w:tc>
      </w:tr>
      <w:tr w:rsidR="00DF019A" w:rsidRPr="008E7494" w14:paraId="70E69428" w14:textId="77777777" w:rsidTr="00066DE4">
        <w:trPr>
          <w:trHeight w:hRule="exact" w:val="284"/>
          <w:jc w:val="center"/>
        </w:trPr>
        <w:tc>
          <w:tcPr>
            <w:tcW w:w="1730" w:type="dxa"/>
            <w:vMerge/>
            <w:tcBorders>
              <w:left w:val="single" w:sz="18" w:space="0" w:color="808080"/>
              <w:right w:val="single" w:sz="18" w:space="0" w:color="C0C0C0"/>
            </w:tcBorders>
            <w:vAlign w:val="center"/>
          </w:tcPr>
          <w:p w14:paraId="59FD6AD6" w14:textId="77777777" w:rsidR="00DF019A" w:rsidRPr="008E7494" w:rsidRDefault="00DF019A" w:rsidP="00066DE4">
            <w:pPr>
              <w:spacing w:after="0"/>
              <w:jc w:val="center"/>
              <w:rPr>
                <w:rFonts w:cs="Arial"/>
                <w:sz w:val="16"/>
                <w:szCs w:val="16"/>
              </w:rPr>
            </w:pPr>
          </w:p>
        </w:tc>
        <w:tc>
          <w:tcPr>
            <w:tcW w:w="1418" w:type="dxa"/>
            <w:vMerge/>
            <w:tcBorders>
              <w:left w:val="single" w:sz="18" w:space="0" w:color="C0C0C0"/>
              <w:right w:val="single" w:sz="18" w:space="0" w:color="C0C0C0"/>
            </w:tcBorders>
            <w:vAlign w:val="center"/>
          </w:tcPr>
          <w:p w14:paraId="69F875D2" w14:textId="77777777" w:rsidR="00DF019A" w:rsidRPr="008E7494" w:rsidRDefault="00DF019A" w:rsidP="00066DE4">
            <w:pPr>
              <w:spacing w:after="0"/>
              <w:jc w:val="center"/>
              <w:rPr>
                <w:rFonts w:cs="Arial"/>
                <w:sz w:val="16"/>
                <w:szCs w:val="16"/>
              </w:rPr>
            </w:pPr>
          </w:p>
        </w:tc>
        <w:tc>
          <w:tcPr>
            <w:tcW w:w="1275" w:type="dxa"/>
            <w:vMerge/>
            <w:tcBorders>
              <w:left w:val="single" w:sz="18" w:space="0" w:color="C0C0C0"/>
              <w:right w:val="single" w:sz="18" w:space="0" w:color="C0C0C0"/>
            </w:tcBorders>
            <w:shd w:val="clear" w:color="auto" w:fill="A972A9"/>
            <w:vAlign w:val="center"/>
          </w:tcPr>
          <w:p w14:paraId="7BCCF092" w14:textId="77777777" w:rsidR="00DF019A" w:rsidRPr="008E7494" w:rsidRDefault="00DF019A" w:rsidP="00066DE4">
            <w:pPr>
              <w:spacing w:after="0"/>
              <w:jc w:val="center"/>
              <w:rPr>
                <w:rFonts w:cs="Arial"/>
                <w:sz w:val="16"/>
                <w:szCs w:val="16"/>
              </w:rPr>
            </w:pPr>
          </w:p>
        </w:tc>
        <w:tc>
          <w:tcPr>
            <w:tcW w:w="1418" w:type="dxa"/>
            <w:vMerge/>
            <w:tcBorders>
              <w:left w:val="single" w:sz="18" w:space="0" w:color="C0C0C0"/>
              <w:right w:val="single" w:sz="18" w:space="0" w:color="C0C0C0"/>
            </w:tcBorders>
            <w:shd w:val="clear" w:color="auto" w:fill="A972A9"/>
            <w:vAlign w:val="center"/>
          </w:tcPr>
          <w:p w14:paraId="003617D7" w14:textId="77777777" w:rsidR="00DF019A" w:rsidRDefault="00DF019A" w:rsidP="00066DE4">
            <w:pPr>
              <w:spacing w:after="0"/>
              <w:jc w:val="center"/>
              <w:rPr>
                <w:rFonts w:cs="Arial"/>
                <w:color w:val="000000"/>
                <w:sz w:val="16"/>
                <w:szCs w:val="16"/>
              </w:rPr>
            </w:pPr>
          </w:p>
        </w:tc>
        <w:tc>
          <w:tcPr>
            <w:tcW w:w="1131" w:type="dxa"/>
            <w:tcBorders>
              <w:top w:val="nil"/>
              <w:left w:val="single" w:sz="18" w:space="0" w:color="C0C0C0"/>
              <w:bottom w:val="single" w:sz="18" w:space="0" w:color="808080" w:themeColor="background1" w:themeShade="80"/>
              <w:right w:val="single" w:sz="18" w:space="0" w:color="C0C0C0"/>
            </w:tcBorders>
            <w:shd w:val="clear" w:color="auto" w:fill="768968"/>
            <w:vAlign w:val="center"/>
          </w:tcPr>
          <w:p w14:paraId="363D3DE4" w14:textId="77777777" w:rsidR="00DF019A" w:rsidRPr="008E7494" w:rsidRDefault="00DF019A" w:rsidP="00066DE4">
            <w:pPr>
              <w:spacing w:after="0"/>
              <w:jc w:val="center"/>
              <w:rPr>
                <w:rFonts w:cs="Arial"/>
                <w:sz w:val="16"/>
                <w:szCs w:val="16"/>
              </w:rPr>
            </w:pPr>
            <w:r>
              <w:rPr>
                <w:rFonts w:cs="Arial"/>
                <w:sz w:val="16"/>
                <w:szCs w:val="16"/>
              </w:rPr>
              <w:t>30</w:t>
            </w:r>
          </w:p>
        </w:tc>
        <w:tc>
          <w:tcPr>
            <w:tcW w:w="1704" w:type="dxa"/>
            <w:vMerge/>
            <w:tcBorders>
              <w:left w:val="single" w:sz="18" w:space="0" w:color="C0C0C0"/>
              <w:right w:val="single" w:sz="18" w:space="0" w:color="808080"/>
            </w:tcBorders>
            <w:vAlign w:val="center"/>
          </w:tcPr>
          <w:p w14:paraId="667C22CD" w14:textId="77777777" w:rsidR="00DF019A" w:rsidRPr="008E7494" w:rsidRDefault="00DF019A" w:rsidP="00066DE4">
            <w:pPr>
              <w:spacing w:after="0"/>
              <w:jc w:val="center"/>
              <w:rPr>
                <w:rFonts w:cs="Arial"/>
                <w:bCs/>
                <w:sz w:val="16"/>
                <w:szCs w:val="16"/>
              </w:rPr>
            </w:pPr>
          </w:p>
        </w:tc>
        <w:tc>
          <w:tcPr>
            <w:tcW w:w="2806" w:type="dxa"/>
            <w:vMerge/>
            <w:tcBorders>
              <w:left w:val="single" w:sz="18" w:space="0" w:color="808080"/>
              <w:right w:val="single" w:sz="18" w:space="0" w:color="808080"/>
            </w:tcBorders>
            <w:vAlign w:val="center"/>
          </w:tcPr>
          <w:p w14:paraId="43500BEE" w14:textId="77777777" w:rsidR="00DF019A" w:rsidRPr="008E7494" w:rsidRDefault="00DF019A" w:rsidP="00066DE4">
            <w:pPr>
              <w:spacing w:after="0"/>
              <w:jc w:val="center"/>
              <w:rPr>
                <w:rFonts w:cs="Arial"/>
                <w:sz w:val="16"/>
                <w:szCs w:val="16"/>
              </w:rPr>
            </w:pPr>
          </w:p>
        </w:tc>
      </w:tr>
      <w:tr w:rsidR="00DF019A" w:rsidRPr="008E7494" w14:paraId="4B4C0884" w14:textId="77777777" w:rsidTr="00066DE4">
        <w:trPr>
          <w:trHeight w:val="397"/>
          <w:jc w:val="center"/>
        </w:trPr>
        <w:tc>
          <w:tcPr>
            <w:tcW w:w="1730" w:type="dxa"/>
            <w:tcBorders>
              <w:top w:val="single" w:sz="18" w:space="0" w:color="808080"/>
              <w:left w:val="single" w:sz="18" w:space="0" w:color="808080"/>
              <w:right w:val="single" w:sz="18" w:space="0" w:color="C0C0C0"/>
            </w:tcBorders>
            <w:vAlign w:val="center"/>
          </w:tcPr>
          <w:p w14:paraId="58CEB58C" w14:textId="77777777" w:rsidR="00DF019A" w:rsidRPr="008E7494" w:rsidRDefault="00DF019A" w:rsidP="00066DE4">
            <w:pPr>
              <w:spacing w:after="0"/>
              <w:jc w:val="center"/>
              <w:rPr>
                <w:rFonts w:cs="Arial"/>
                <w:sz w:val="16"/>
                <w:szCs w:val="16"/>
              </w:rPr>
            </w:pPr>
            <w:r>
              <w:rPr>
                <w:rFonts w:cs="Arial"/>
                <w:sz w:val="16"/>
                <w:szCs w:val="16"/>
              </w:rPr>
              <w:t>3</w:t>
            </w:r>
            <w:r w:rsidRPr="008E7494">
              <w:rPr>
                <w:rFonts w:cs="Arial"/>
                <w:sz w:val="16"/>
                <w:szCs w:val="16"/>
              </w:rPr>
              <w:t xml:space="preserve"> September</w:t>
            </w:r>
          </w:p>
        </w:tc>
        <w:tc>
          <w:tcPr>
            <w:tcW w:w="1418" w:type="dxa"/>
            <w:tcBorders>
              <w:top w:val="single" w:sz="18" w:space="0" w:color="808080"/>
              <w:left w:val="single" w:sz="18" w:space="0" w:color="C0C0C0"/>
              <w:bottom w:val="single" w:sz="18" w:space="0" w:color="C0C0C0"/>
              <w:right w:val="single" w:sz="18" w:space="0" w:color="C0C0C0"/>
            </w:tcBorders>
            <w:shd w:val="clear" w:color="auto" w:fill="auto"/>
            <w:vAlign w:val="center"/>
          </w:tcPr>
          <w:p w14:paraId="0D178ECF" w14:textId="77777777" w:rsidR="00DF019A" w:rsidRPr="008E7494" w:rsidRDefault="00DF019A" w:rsidP="00066DE4">
            <w:pPr>
              <w:spacing w:after="0"/>
              <w:jc w:val="center"/>
              <w:rPr>
                <w:rFonts w:cs="Arial"/>
                <w:sz w:val="16"/>
                <w:szCs w:val="16"/>
              </w:rPr>
            </w:pPr>
          </w:p>
        </w:tc>
        <w:tc>
          <w:tcPr>
            <w:tcW w:w="1275" w:type="dxa"/>
            <w:tcBorders>
              <w:top w:val="single" w:sz="18" w:space="0" w:color="808080" w:themeColor="background1" w:themeShade="80"/>
              <w:left w:val="single" w:sz="18" w:space="0" w:color="C0C0C0"/>
              <w:bottom w:val="single" w:sz="18" w:space="0" w:color="C0C0C0"/>
              <w:right w:val="single" w:sz="18" w:space="0" w:color="C0C0C0"/>
            </w:tcBorders>
            <w:shd w:val="clear" w:color="auto" w:fill="A64D2C"/>
            <w:vAlign w:val="center"/>
          </w:tcPr>
          <w:p w14:paraId="5BCE5199" w14:textId="77777777" w:rsidR="00DF019A" w:rsidRPr="008E7494" w:rsidRDefault="00DF019A" w:rsidP="00066DE4">
            <w:pPr>
              <w:spacing w:after="0"/>
              <w:jc w:val="center"/>
              <w:rPr>
                <w:rFonts w:cs="Arial"/>
                <w:sz w:val="16"/>
                <w:szCs w:val="16"/>
              </w:rPr>
            </w:pPr>
            <w:r>
              <w:rPr>
                <w:rFonts w:cs="Arial"/>
                <w:sz w:val="16"/>
                <w:szCs w:val="16"/>
              </w:rPr>
              <w:t>4</w:t>
            </w:r>
          </w:p>
        </w:tc>
        <w:tc>
          <w:tcPr>
            <w:tcW w:w="1418" w:type="dxa"/>
            <w:tcBorders>
              <w:top w:val="single" w:sz="18" w:space="0" w:color="808080" w:themeColor="background1" w:themeShade="80"/>
              <w:left w:val="single" w:sz="18" w:space="0" w:color="C0C0C0"/>
              <w:bottom w:val="single" w:sz="18" w:space="0" w:color="C0C0C0"/>
              <w:right w:val="single" w:sz="18" w:space="0" w:color="C0C0C0"/>
            </w:tcBorders>
            <w:shd w:val="clear" w:color="auto" w:fill="A64D2C"/>
            <w:vAlign w:val="center"/>
          </w:tcPr>
          <w:p w14:paraId="151D2F7B" w14:textId="77777777" w:rsidR="00DF019A" w:rsidRPr="008E7494" w:rsidRDefault="00DF019A" w:rsidP="00066DE4">
            <w:pPr>
              <w:spacing w:after="0"/>
              <w:jc w:val="center"/>
              <w:rPr>
                <w:rFonts w:cs="Arial"/>
                <w:sz w:val="16"/>
                <w:szCs w:val="16"/>
              </w:rPr>
            </w:pPr>
            <w:r>
              <w:rPr>
                <w:rFonts w:cs="Arial"/>
                <w:sz w:val="16"/>
                <w:szCs w:val="16"/>
              </w:rPr>
              <w:t>5</w:t>
            </w:r>
          </w:p>
        </w:tc>
        <w:tc>
          <w:tcPr>
            <w:tcW w:w="1131" w:type="dxa"/>
            <w:tcBorders>
              <w:top w:val="single" w:sz="18" w:space="0" w:color="808080" w:themeColor="background1" w:themeShade="80"/>
              <w:left w:val="single" w:sz="18" w:space="0" w:color="C0C0C0"/>
              <w:bottom w:val="single" w:sz="18" w:space="0" w:color="C0C0C0"/>
              <w:right w:val="single" w:sz="18" w:space="0" w:color="C0C0C0"/>
            </w:tcBorders>
            <w:shd w:val="clear" w:color="auto" w:fill="A64D2C"/>
            <w:vAlign w:val="center"/>
          </w:tcPr>
          <w:p w14:paraId="1BB32D72" w14:textId="77777777" w:rsidR="00DF019A" w:rsidRPr="008E7494" w:rsidRDefault="00DF019A" w:rsidP="00066DE4">
            <w:pPr>
              <w:spacing w:after="0"/>
              <w:jc w:val="center"/>
              <w:rPr>
                <w:rFonts w:cs="Arial"/>
                <w:sz w:val="16"/>
                <w:szCs w:val="16"/>
              </w:rPr>
            </w:pPr>
            <w:r>
              <w:rPr>
                <w:rFonts w:cs="Arial"/>
                <w:sz w:val="16"/>
                <w:szCs w:val="16"/>
              </w:rPr>
              <w:t>6</w:t>
            </w:r>
          </w:p>
        </w:tc>
        <w:tc>
          <w:tcPr>
            <w:tcW w:w="1704" w:type="dxa"/>
            <w:tcBorders>
              <w:top w:val="single" w:sz="18" w:space="0" w:color="808080"/>
              <w:left w:val="single" w:sz="18" w:space="0" w:color="C0C0C0"/>
              <w:right w:val="single" w:sz="18" w:space="0" w:color="808080"/>
            </w:tcBorders>
            <w:vAlign w:val="center"/>
          </w:tcPr>
          <w:p w14:paraId="43E324E3" w14:textId="77777777" w:rsidR="00DF019A" w:rsidRPr="008E7494" w:rsidRDefault="00DF019A" w:rsidP="00066DE4">
            <w:pPr>
              <w:spacing w:after="0"/>
              <w:jc w:val="center"/>
              <w:rPr>
                <w:rFonts w:cs="Arial"/>
                <w:sz w:val="16"/>
                <w:szCs w:val="16"/>
              </w:rPr>
            </w:pPr>
          </w:p>
        </w:tc>
        <w:tc>
          <w:tcPr>
            <w:tcW w:w="2806" w:type="dxa"/>
            <w:tcBorders>
              <w:top w:val="single" w:sz="18" w:space="0" w:color="808080"/>
              <w:left w:val="single" w:sz="18" w:space="0" w:color="808080"/>
              <w:right w:val="single" w:sz="18" w:space="0" w:color="808080"/>
            </w:tcBorders>
            <w:vAlign w:val="center"/>
          </w:tcPr>
          <w:p w14:paraId="7C0AF453" w14:textId="77777777" w:rsidR="00DF019A" w:rsidRPr="008E7494" w:rsidRDefault="00DF019A" w:rsidP="00066DE4">
            <w:pPr>
              <w:spacing w:after="0"/>
              <w:jc w:val="center"/>
              <w:rPr>
                <w:rFonts w:cs="Arial"/>
                <w:sz w:val="16"/>
                <w:szCs w:val="16"/>
              </w:rPr>
            </w:pPr>
          </w:p>
        </w:tc>
      </w:tr>
      <w:tr w:rsidR="00DF019A" w:rsidRPr="008E7494" w14:paraId="546D3285" w14:textId="77777777" w:rsidTr="00066DE4">
        <w:trPr>
          <w:trHeight w:hRule="exact" w:val="284"/>
          <w:jc w:val="center"/>
        </w:trPr>
        <w:tc>
          <w:tcPr>
            <w:tcW w:w="1730" w:type="dxa"/>
            <w:vMerge w:val="restart"/>
            <w:tcBorders>
              <w:top w:val="single" w:sz="18" w:space="0" w:color="C0C0C0"/>
              <w:left w:val="single" w:sz="18" w:space="0" w:color="808080"/>
              <w:right w:val="single" w:sz="18" w:space="0" w:color="C0C0C0"/>
            </w:tcBorders>
            <w:vAlign w:val="center"/>
          </w:tcPr>
          <w:p w14:paraId="3EEF8D3D" w14:textId="77777777" w:rsidR="00DF019A" w:rsidRPr="008E7494" w:rsidRDefault="00DF019A" w:rsidP="00066DE4">
            <w:pPr>
              <w:spacing w:after="0"/>
              <w:jc w:val="center"/>
              <w:rPr>
                <w:rFonts w:cs="Arial"/>
                <w:sz w:val="16"/>
                <w:szCs w:val="16"/>
              </w:rPr>
            </w:pPr>
            <w:r w:rsidRPr="008E7494">
              <w:rPr>
                <w:rFonts w:cs="Arial"/>
                <w:sz w:val="16"/>
                <w:szCs w:val="16"/>
              </w:rPr>
              <w:t>1</w:t>
            </w:r>
            <w:r>
              <w:rPr>
                <w:rFonts w:cs="Arial"/>
                <w:sz w:val="16"/>
                <w:szCs w:val="16"/>
              </w:rPr>
              <w:t>0</w:t>
            </w:r>
            <w:r w:rsidRPr="008E7494">
              <w:rPr>
                <w:rFonts w:cs="Arial"/>
                <w:sz w:val="16"/>
                <w:szCs w:val="16"/>
              </w:rPr>
              <w:t xml:space="preserve"> September</w:t>
            </w:r>
          </w:p>
        </w:tc>
        <w:tc>
          <w:tcPr>
            <w:tcW w:w="1418" w:type="dxa"/>
            <w:vMerge w:val="restart"/>
            <w:tcBorders>
              <w:top w:val="single" w:sz="18" w:space="0" w:color="C0C0C0"/>
              <w:left w:val="single" w:sz="18" w:space="0" w:color="C0C0C0"/>
              <w:right w:val="single" w:sz="18" w:space="0" w:color="C0C0C0"/>
            </w:tcBorders>
            <w:vAlign w:val="center"/>
          </w:tcPr>
          <w:p w14:paraId="070A3C79" w14:textId="77777777" w:rsidR="00DF019A" w:rsidRPr="008E7494" w:rsidRDefault="00DF019A" w:rsidP="00066DE4">
            <w:pPr>
              <w:spacing w:after="0"/>
              <w:jc w:val="center"/>
              <w:rPr>
                <w:rFonts w:cs="Arial"/>
                <w:color w:val="000000"/>
                <w:sz w:val="16"/>
                <w:szCs w:val="16"/>
              </w:rPr>
            </w:pPr>
          </w:p>
        </w:tc>
        <w:tc>
          <w:tcPr>
            <w:tcW w:w="1275" w:type="dxa"/>
            <w:tcBorders>
              <w:top w:val="single" w:sz="18" w:space="0" w:color="C0C0C0"/>
              <w:left w:val="single" w:sz="18" w:space="0" w:color="C0C0C0"/>
              <w:bottom w:val="nil"/>
              <w:right w:val="single" w:sz="18" w:space="0" w:color="C0C0C0"/>
            </w:tcBorders>
            <w:shd w:val="clear" w:color="auto" w:fill="A972A9"/>
            <w:vAlign w:val="center"/>
          </w:tcPr>
          <w:p w14:paraId="2EBEA33C" w14:textId="77777777" w:rsidR="00DF019A" w:rsidRPr="008E7494" w:rsidRDefault="00DF019A" w:rsidP="00066DE4">
            <w:pPr>
              <w:spacing w:after="0"/>
              <w:jc w:val="center"/>
              <w:rPr>
                <w:rFonts w:cs="Arial"/>
                <w:color w:val="000000"/>
                <w:sz w:val="16"/>
                <w:szCs w:val="16"/>
              </w:rPr>
            </w:pPr>
            <w:r w:rsidRPr="008E7494">
              <w:rPr>
                <w:rFonts w:cs="Arial"/>
                <w:color w:val="000000"/>
                <w:sz w:val="16"/>
                <w:szCs w:val="16"/>
              </w:rPr>
              <w:t>1</w:t>
            </w:r>
            <w:r>
              <w:rPr>
                <w:rFonts w:cs="Arial"/>
                <w:color w:val="000000"/>
                <w:sz w:val="16"/>
                <w:szCs w:val="16"/>
              </w:rPr>
              <w:t>1</w:t>
            </w:r>
          </w:p>
        </w:tc>
        <w:tc>
          <w:tcPr>
            <w:tcW w:w="1418" w:type="dxa"/>
            <w:vMerge w:val="restart"/>
            <w:tcBorders>
              <w:top w:val="single" w:sz="18" w:space="0" w:color="C0C0C0"/>
              <w:left w:val="single" w:sz="18" w:space="0" w:color="C0C0C0"/>
              <w:right w:val="single" w:sz="18" w:space="0" w:color="C0C0C0"/>
            </w:tcBorders>
            <w:shd w:val="clear" w:color="auto" w:fill="A972A9"/>
            <w:vAlign w:val="center"/>
          </w:tcPr>
          <w:p w14:paraId="6288EDE4" w14:textId="77777777" w:rsidR="00DF019A" w:rsidRPr="008E7494" w:rsidRDefault="00DF019A" w:rsidP="00066DE4">
            <w:pPr>
              <w:spacing w:after="0"/>
              <w:jc w:val="center"/>
              <w:rPr>
                <w:rFonts w:cs="Arial"/>
                <w:sz w:val="16"/>
                <w:szCs w:val="16"/>
              </w:rPr>
            </w:pPr>
            <w:r>
              <w:rPr>
                <w:rFonts w:cs="Arial"/>
                <w:sz w:val="16"/>
                <w:szCs w:val="16"/>
              </w:rPr>
              <w:t>12</w:t>
            </w:r>
          </w:p>
        </w:tc>
        <w:tc>
          <w:tcPr>
            <w:tcW w:w="1131" w:type="dxa"/>
            <w:vMerge w:val="restart"/>
            <w:tcBorders>
              <w:top w:val="single" w:sz="18" w:space="0" w:color="C0C0C0"/>
              <w:left w:val="single" w:sz="18" w:space="0" w:color="C0C0C0"/>
              <w:right w:val="single" w:sz="18" w:space="0" w:color="C0C0C0"/>
            </w:tcBorders>
            <w:shd w:val="clear" w:color="auto" w:fill="A972A9"/>
            <w:vAlign w:val="center"/>
          </w:tcPr>
          <w:p w14:paraId="3A1B2D67" w14:textId="77777777" w:rsidR="00DF019A" w:rsidRPr="008E7494" w:rsidRDefault="00DF019A" w:rsidP="00066DE4">
            <w:pPr>
              <w:spacing w:after="0"/>
              <w:jc w:val="center"/>
              <w:rPr>
                <w:rFonts w:cs="Arial"/>
                <w:sz w:val="16"/>
                <w:szCs w:val="16"/>
              </w:rPr>
            </w:pPr>
            <w:r>
              <w:rPr>
                <w:rFonts w:cs="Arial"/>
                <w:sz w:val="16"/>
                <w:szCs w:val="16"/>
              </w:rPr>
              <w:t>13</w:t>
            </w:r>
          </w:p>
        </w:tc>
        <w:tc>
          <w:tcPr>
            <w:tcW w:w="1704" w:type="dxa"/>
            <w:vMerge w:val="restart"/>
            <w:tcBorders>
              <w:top w:val="single" w:sz="18" w:space="0" w:color="C0C0C0"/>
              <w:left w:val="single" w:sz="18" w:space="0" w:color="C0C0C0"/>
              <w:right w:val="single" w:sz="18" w:space="0" w:color="808080"/>
            </w:tcBorders>
            <w:vAlign w:val="center"/>
          </w:tcPr>
          <w:p w14:paraId="3FA99FA3" w14:textId="77777777" w:rsidR="00DF019A" w:rsidRPr="008E7494" w:rsidRDefault="00DF019A" w:rsidP="00066DE4">
            <w:pPr>
              <w:spacing w:after="0"/>
              <w:jc w:val="center"/>
              <w:rPr>
                <w:rFonts w:cs="Arial"/>
                <w:bCs/>
                <w:sz w:val="16"/>
                <w:szCs w:val="16"/>
              </w:rPr>
            </w:pPr>
          </w:p>
        </w:tc>
        <w:tc>
          <w:tcPr>
            <w:tcW w:w="2806" w:type="dxa"/>
            <w:vMerge w:val="restart"/>
            <w:tcBorders>
              <w:top w:val="single" w:sz="18" w:space="0" w:color="C0C0C0"/>
              <w:left w:val="single" w:sz="18" w:space="0" w:color="808080"/>
              <w:right w:val="single" w:sz="18" w:space="0" w:color="808080"/>
            </w:tcBorders>
            <w:vAlign w:val="center"/>
          </w:tcPr>
          <w:p w14:paraId="695DF42C" w14:textId="77777777" w:rsidR="00DF019A" w:rsidRPr="008E7494" w:rsidRDefault="00DF019A" w:rsidP="00066DE4">
            <w:pPr>
              <w:spacing w:after="0"/>
              <w:jc w:val="center"/>
              <w:rPr>
                <w:rFonts w:cs="Arial"/>
                <w:sz w:val="16"/>
                <w:szCs w:val="16"/>
              </w:rPr>
            </w:pPr>
          </w:p>
        </w:tc>
      </w:tr>
      <w:tr w:rsidR="00DF019A" w:rsidRPr="008E7494" w14:paraId="276652B2" w14:textId="77777777" w:rsidTr="00066DE4">
        <w:trPr>
          <w:trHeight w:hRule="exact" w:val="284"/>
          <w:jc w:val="center"/>
        </w:trPr>
        <w:tc>
          <w:tcPr>
            <w:tcW w:w="1730" w:type="dxa"/>
            <w:vMerge/>
            <w:tcBorders>
              <w:left w:val="single" w:sz="18" w:space="0" w:color="808080"/>
              <w:right w:val="single" w:sz="18" w:space="0" w:color="C0C0C0"/>
            </w:tcBorders>
            <w:vAlign w:val="center"/>
          </w:tcPr>
          <w:p w14:paraId="7C37FFCA" w14:textId="77777777" w:rsidR="00DF019A" w:rsidRPr="008E7494" w:rsidRDefault="00DF019A" w:rsidP="00066DE4">
            <w:pPr>
              <w:spacing w:after="0"/>
              <w:jc w:val="center"/>
              <w:rPr>
                <w:rFonts w:cs="Arial"/>
                <w:sz w:val="16"/>
                <w:szCs w:val="16"/>
              </w:rPr>
            </w:pPr>
          </w:p>
        </w:tc>
        <w:tc>
          <w:tcPr>
            <w:tcW w:w="1418" w:type="dxa"/>
            <w:vMerge/>
            <w:tcBorders>
              <w:left w:val="single" w:sz="18" w:space="0" w:color="C0C0C0"/>
              <w:right w:val="single" w:sz="18" w:space="0" w:color="C0C0C0"/>
            </w:tcBorders>
            <w:vAlign w:val="center"/>
          </w:tcPr>
          <w:p w14:paraId="0B5CE2AB" w14:textId="77777777" w:rsidR="00DF019A" w:rsidRPr="008E7494" w:rsidRDefault="00DF019A" w:rsidP="00066DE4">
            <w:pPr>
              <w:spacing w:after="0"/>
              <w:jc w:val="center"/>
              <w:rPr>
                <w:rFonts w:cs="Arial"/>
                <w:color w:val="000000"/>
                <w:sz w:val="16"/>
                <w:szCs w:val="16"/>
              </w:rPr>
            </w:pPr>
          </w:p>
        </w:tc>
        <w:tc>
          <w:tcPr>
            <w:tcW w:w="1275" w:type="dxa"/>
            <w:tcBorders>
              <w:top w:val="nil"/>
              <w:left w:val="single" w:sz="18" w:space="0" w:color="C0C0C0"/>
              <w:bottom w:val="single" w:sz="18" w:space="0" w:color="C0C0C0"/>
              <w:right w:val="single" w:sz="18" w:space="0" w:color="C0C0C0"/>
            </w:tcBorders>
            <w:shd w:val="clear" w:color="auto" w:fill="DDB136"/>
            <w:vAlign w:val="center"/>
          </w:tcPr>
          <w:p w14:paraId="05707E62" w14:textId="77777777" w:rsidR="00DF019A" w:rsidRPr="008E7494" w:rsidRDefault="00DF019A" w:rsidP="00066DE4">
            <w:pPr>
              <w:spacing w:after="0"/>
              <w:jc w:val="center"/>
              <w:rPr>
                <w:rFonts w:cs="Arial"/>
                <w:color w:val="000000"/>
                <w:sz w:val="16"/>
                <w:szCs w:val="16"/>
              </w:rPr>
            </w:pPr>
            <w:r>
              <w:rPr>
                <w:rFonts w:cs="Arial"/>
                <w:color w:val="000000"/>
                <w:sz w:val="16"/>
                <w:szCs w:val="16"/>
              </w:rPr>
              <w:t>11</w:t>
            </w:r>
          </w:p>
        </w:tc>
        <w:tc>
          <w:tcPr>
            <w:tcW w:w="1418" w:type="dxa"/>
            <w:vMerge/>
            <w:tcBorders>
              <w:left w:val="single" w:sz="18" w:space="0" w:color="C0C0C0"/>
              <w:right w:val="single" w:sz="18" w:space="0" w:color="C0C0C0"/>
            </w:tcBorders>
            <w:shd w:val="clear" w:color="auto" w:fill="A972A9"/>
            <w:vAlign w:val="center"/>
          </w:tcPr>
          <w:p w14:paraId="47AD3B49" w14:textId="77777777" w:rsidR="00DF019A" w:rsidRPr="008E7494" w:rsidRDefault="00DF019A" w:rsidP="00066DE4">
            <w:pPr>
              <w:spacing w:after="0"/>
              <w:jc w:val="center"/>
              <w:rPr>
                <w:rFonts w:cs="Arial"/>
                <w:sz w:val="16"/>
                <w:szCs w:val="16"/>
              </w:rPr>
            </w:pPr>
          </w:p>
        </w:tc>
        <w:tc>
          <w:tcPr>
            <w:tcW w:w="1131" w:type="dxa"/>
            <w:vMerge/>
            <w:tcBorders>
              <w:left w:val="single" w:sz="18" w:space="0" w:color="C0C0C0"/>
              <w:bottom w:val="single" w:sz="18" w:space="0" w:color="C0C0C0"/>
              <w:right w:val="single" w:sz="18" w:space="0" w:color="C0C0C0"/>
            </w:tcBorders>
            <w:shd w:val="clear" w:color="auto" w:fill="A972A9"/>
            <w:vAlign w:val="center"/>
          </w:tcPr>
          <w:p w14:paraId="5BC83683" w14:textId="77777777" w:rsidR="00DF019A" w:rsidRPr="008E7494" w:rsidRDefault="00DF019A" w:rsidP="00066DE4">
            <w:pPr>
              <w:spacing w:after="0"/>
              <w:jc w:val="center"/>
              <w:rPr>
                <w:rFonts w:cs="Arial"/>
                <w:sz w:val="16"/>
                <w:szCs w:val="16"/>
              </w:rPr>
            </w:pPr>
          </w:p>
        </w:tc>
        <w:tc>
          <w:tcPr>
            <w:tcW w:w="1704" w:type="dxa"/>
            <w:vMerge/>
            <w:tcBorders>
              <w:left w:val="single" w:sz="18" w:space="0" w:color="C0C0C0"/>
              <w:right w:val="single" w:sz="18" w:space="0" w:color="808080"/>
            </w:tcBorders>
            <w:vAlign w:val="center"/>
          </w:tcPr>
          <w:p w14:paraId="2AE01502" w14:textId="77777777" w:rsidR="00DF019A" w:rsidRPr="008E7494" w:rsidRDefault="00DF019A" w:rsidP="00066DE4">
            <w:pPr>
              <w:spacing w:after="0"/>
              <w:jc w:val="center"/>
              <w:rPr>
                <w:rFonts w:cs="Arial"/>
                <w:bCs/>
                <w:sz w:val="16"/>
                <w:szCs w:val="16"/>
              </w:rPr>
            </w:pPr>
          </w:p>
        </w:tc>
        <w:tc>
          <w:tcPr>
            <w:tcW w:w="2806" w:type="dxa"/>
            <w:vMerge/>
            <w:tcBorders>
              <w:left w:val="single" w:sz="18" w:space="0" w:color="808080"/>
              <w:right w:val="single" w:sz="18" w:space="0" w:color="808080"/>
            </w:tcBorders>
            <w:vAlign w:val="center"/>
          </w:tcPr>
          <w:p w14:paraId="7192CA43" w14:textId="77777777" w:rsidR="00DF019A" w:rsidRPr="008E7494" w:rsidRDefault="00DF019A" w:rsidP="00066DE4">
            <w:pPr>
              <w:spacing w:after="0"/>
              <w:jc w:val="center"/>
              <w:rPr>
                <w:rFonts w:cs="Arial"/>
                <w:sz w:val="16"/>
                <w:szCs w:val="16"/>
              </w:rPr>
            </w:pPr>
          </w:p>
        </w:tc>
      </w:tr>
      <w:tr w:rsidR="00DF019A" w:rsidRPr="008E7494" w14:paraId="79EBD0CE" w14:textId="77777777" w:rsidTr="00066DE4">
        <w:trPr>
          <w:trHeight w:hRule="exact" w:val="284"/>
          <w:jc w:val="center"/>
        </w:trPr>
        <w:tc>
          <w:tcPr>
            <w:tcW w:w="1730" w:type="dxa"/>
            <w:vMerge w:val="restart"/>
            <w:tcBorders>
              <w:top w:val="single" w:sz="18" w:space="0" w:color="BFBFBF"/>
              <w:left w:val="single" w:sz="18" w:space="0" w:color="808080"/>
              <w:right w:val="single" w:sz="18" w:space="0" w:color="C0C0C0"/>
            </w:tcBorders>
            <w:vAlign w:val="center"/>
          </w:tcPr>
          <w:p w14:paraId="1B7F2EF0" w14:textId="77777777" w:rsidR="00DF019A" w:rsidRPr="008E7494" w:rsidRDefault="00DF019A" w:rsidP="00066DE4">
            <w:pPr>
              <w:spacing w:after="0"/>
              <w:jc w:val="center"/>
              <w:rPr>
                <w:rFonts w:cs="Arial"/>
                <w:sz w:val="16"/>
                <w:szCs w:val="16"/>
              </w:rPr>
            </w:pPr>
            <w:r w:rsidRPr="008E7494">
              <w:rPr>
                <w:rFonts w:cs="Arial"/>
                <w:sz w:val="16"/>
                <w:szCs w:val="16"/>
              </w:rPr>
              <w:t>1</w:t>
            </w:r>
            <w:r>
              <w:rPr>
                <w:rFonts w:cs="Arial"/>
                <w:sz w:val="16"/>
                <w:szCs w:val="16"/>
              </w:rPr>
              <w:t>7</w:t>
            </w:r>
            <w:r w:rsidRPr="008E7494">
              <w:rPr>
                <w:rFonts w:cs="Arial"/>
                <w:sz w:val="16"/>
                <w:szCs w:val="16"/>
              </w:rPr>
              <w:t xml:space="preserve"> September</w:t>
            </w:r>
          </w:p>
        </w:tc>
        <w:tc>
          <w:tcPr>
            <w:tcW w:w="1418" w:type="dxa"/>
            <w:vMerge w:val="restart"/>
            <w:tcBorders>
              <w:top w:val="single" w:sz="18" w:space="0" w:color="BFBFBF"/>
              <w:left w:val="single" w:sz="18" w:space="0" w:color="C0C0C0"/>
              <w:right w:val="single" w:sz="18" w:space="0" w:color="C0C0C0"/>
            </w:tcBorders>
            <w:shd w:val="clear" w:color="auto" w:fill="A64D2C"/>
            <w:vAlign w:val="center"/>
          </w:tcPr>
          <w:p w14:paraId="79387078" w14:textId="77777777" w:rsidR="00DF019A" w:rsidRPr="008E7494" w:rsidRDefault="00DF019A" w:rsidP="00066DE4">
            <w:pPr>
              <w:spacing w:after="0"/>
              <w:jc w:val="center"/>
              <w:rPr>
                <w:rFonts w:cs="Arial"/>
                <w:color w:val="000000"/>
                <w:sz w:val="16"/>
                <w:szCs w:val="16"/>
              </w:rPr>
            </w:pPr>
            <w:r>
              <w:rPr>
                <w:rFonts w:cs="Arial"/>
                <w:color w:val="000000"/>
                <w:sz w:val="16"/>
                <w:szCs w:val="16"/>
              </w:rPr>
              <w:t>17</w:t>
            </w:r>
          </w:p>
        </w:tc>
        <w:tc>
          <w:tcPr>
            <w:tcW w:w="1275" w:type="dxa"/>
            <w:vMerge w:val="restart"/>
            <w:tcBorders>
              <w:top w:val="single" w:sz="18" w:space="0" w:color="C0C0C0"/>
              <w:left w:val="single" w:sz="18" w:space="0" w:color="C0C0C0"/>
              <w:right w:val="single" w:sz="18" w:space="0" w:color="C0C0C0"/>
            </w:tcBorders>
            <w:shd w:val="clear" w:color="auto" w:fill="auto"/>
            <w:vAlign w:val="center"/>
          </w:tcPr>
          <w:p w14:paraId="053FB025" w14:textId="77777777" w:rsidR="00DF019A" w:rsidRPr="008E7494" w:rsidRDefault="00DF019A" w:rsidP="00066DE4">
            <w:pPr>
              <w:spacing w:after="0"/>
              <w:jc w:val="center"/>
              <w:rPr>
                <w:rFonts w:cs="Arial"/>
                <w:color w:val="000000"/>
                <w:sz w:val="16"/>
                <w:szCs w:val="16"/>
              </w:rPr>
            </w:pPr>
          </w:p>
        </w:tc>
        <w:tc>
          <w:tcPr>
            <w:tcW w:w="1418" w:type="dxa"/>
            <w:vMerge w:val="restart"/>
            <w:tcBorders>
              <w:top w:val="single" w:sz="18" w:space="0" w:color="C0C0C0"/>
              <w:left w:val="single" w:sz="18" w:space="0" w:color="C0C0C0"/>
              <w:right w:val="single" w:sz="18" w:space="0" w:color="C0C0C0"/>
            </w:tcBorders>
            <w:shd w:val="clear" w:color="auto" w:fill="A64D2C"/>
            <w:vAlign w:val="center"/>
          </w:tcPr>
          <w:p w14:paraId="77553B5A" w14:textId="77777777" w:rsidR="00DF019A" w:rsidRPr="008E7494" w:rsidRDefault="00DF019A" w:rsidP="00066DE4">
            <w:pPr>
              <w:spacing w:after="0"/>
              <w:jc w:val="center"/>
              <w:rPr>
                <w:rFonts w:cs="Arial"/>
                <w:color w:val="000000"/>
                <w:sz w:val="16"/>
                <w:szCs w:val="16"/>
              </w:rPr>
            </w:pPr>
            <w:r>
              <w:rPr>
                <w:rFonts w:cs="Arial"/>
                <w:color w:val="000000"/>
                <w:sz w:val="16"/>
                <w:szCs w:val="16"/>
              </w:rPr>
              <w:t>19</w:t>
            </w:r>
          </w:p>
        </w:tc>
        <w:tc>
          <w:tcPr>
            <w:tcW w:w="1131" w:type="dxa"/>
            <w:tcBorders>
              <w:top w:val="single" w:sz="18" w:space="0" w:color="C0C0C0"/>
              <w:left w:val="single" w:sz="18" w:space="0" w:color="C0C0C0"/>
              <w:bottom w:val="nil"/>
              <w:right w:val="single" w:sz="18" w:space="0" w:color="C0C0C0"/>
            </w:tcBorders>
            <w:shd w:val="clear" w:color="auto" w:fill="A64D2C"/>
            <w:vAlign w:val="center"/>
          </w:tcPr>
          <w:p w14:paraId="1BD2E994" w14:textId="77777777" w:rsidR="00DF019A" w:rsidRPr="008E7494" w:rsidRDefault="00DF019A" w:rsidP="00066DE4">
            <w:pPr>
              <w:spacing w:after="0"/>
              <w:jc w:val="center"/>
              <w:rPr>
                <w:rFonts w:cs="Arial"/>
                <w:color w:val="000000"/>
                <w:sz w:val="16"/>
                <w:szCs w:val="16"/>
              </w:rPr>
            </w:pPr>
            <w:r>
              <w:rPr>
                <w:rFonts w:cs="Arial"/>
                <w:color w:val="000000"/>
                <w:sz w:val="16"/>
                <w:szCs w:val="16"/>
              </w:rPr>
              <w:t>20</w:t>
            </w:r>
          </w:p>
        </w:tc>
        <w:tc>
          <w:tcPr>
            <w:tcW w:w="1704" w:type="dxa"/>
            <w:vMerge w:val="restart"/>
            <w:tcBorders>
              <w:top w:val="single" w:sz="18" w:space="0" w:color="BFBFBF"/>
              <w:left w:val="single" w:sz="18" w:space="0" w:color="C0C0C0"/>
              <w:right w:val="single" w:sz="18" w:space="0" w:color="808080"/>
            </w:tcBorders>
            <w:shd w:val="clear" w:color="auto" w:fill="auto"/>
            <w:vAlign w:val="center"/>
          </w:tcPr>
          <w:p w14:paraId="05578C3D" w14:textId="77777777" w:rsidR="00DF019A" w:rsidRPr="008E7494" w:rsidRDefault="00DF019A" w:rsidP="00066DE4">
            <w:pPr>
              <w:spacing w:after="0"/>
              <w:jc w:val="center"/>
              <w:rPr>
                <w:rFonts w:cs="Arial"/>
                <w:bCs/>
                <w:sz w:val="16"/>
                <w:szCs w:val="16"/>
              </w:rPr>
            </w:pPr>
          </w:p>
        </w:tc>
        <w:tc>
          <w:tcPr>
            <w:tcW w:w="2806" w:type="dxa"/>
            <w:vMerge w:val="restart"/>
            <w:tcBorders>
              <w:top w:val="single" w:sz="18" w:space="0" w:color="BFBFBF"/>
              <w:left w:val="single" w:sz="18" w:space="0" w:color="808080"/>
              <w:right w:val="single" w:sz="18" w:space="0" w:color="808080"/>
            </w:tcBorders>
            <w:shd w:val="clear" w:color="auto" w:fill="auto"/>
            <w:vAlign w:val="center"/>
          </w:tcPr>
          <w:p w14:paraId="0AABBFDA" w14:textId="77777777" w:rsidR="00DF019A" w:rsidRPr="008E7494" w:rsidRDefault="00DF019A" w:rsidP="00066DE4">
            <w:pPr>
              <w:spacing w:after="0"/>
              <w:jc w:val="center"/>
              <w:rPr>
                <w:rFonts w:cs="Arial"/>
                <w:sz w:val="16"/>
                <w:szCs w:val="16"/>
              </w:rPr>
            </w:pPr>
          </w:p>
        </w:tc>
      </w:tr>
      <w:tr w:rsidR="00DF019A" w:rsidRPr="008E7494" w14:paraId="52A08747" w14:textId="77777777" w:rsidTr="00066DE4">
        <w:trPr>
          <w:trHeight w:hRule="exact" w:val="284"/>
          <w:jc w:val="center"/>
        </w:trPr>
        <w:tc>
          <w:tcPr>
            <w:tcW w:w="1730" w:type="dxa"/>
            <w:vMerge/>
            <w:tcBorders>
              <w:left w:val="single" w:sz="18" w:space="0" w:color="808080"/>
              <w:bottom w:val="single" w:sz="18" w:space="0" w:color="BFBFBF"/>
              <w:right w:val="single" w:sz="18" w:space="0" w:color="C0C0C0"/>
            </w:tcBorders>
            <w:vAlign w:val="center"/>
          </w:tcPr>
          <w:p w14:paraId="66B65B08" w14:textId="77777777" w:rsidR="00DF019A" w:rsidRPr="008E7494" w:rsidRDefault="00DF019A" w:rsidP="00066DE4">
            <w:pPr>
              <w:spacing w:after="0"/>
              <w:jc w:val="center"/>
              <w:rPr>
                <w:rFonts w:cs="Arial"/>
                <w:sz w:val="16"/>
                <w:szCs w:val="16"/>
              </w:rPr>
            </w:pPr>
          </w:p>
        </w:tc>
        <w:tc>
          <w:tcPr>
            <w:tcW w:w="1418" w:type="dxa"/>
            <w:vMerge/>
            <w:tcBorders>
              <w:left w:val="single" w:sz="18" w:space="0" w:color="C0C0C0"/>
              <w:bottom w:val="single" w:sz="18" w:space="0" w:color="BFBFBF"/>
              <w:right w:val="single" w:sz="18" w:space="0" w:color="C0C0C0"/>
            </w:tcBorders>
            <w:shd w:val="clear" w:color="auto" w:fill="A64D2C"/>
            <w:vAlign w:val="center"/>
          </w:tcPr>
          <w:p w14:paraId="7CCF26D5" w14:textId="77777777" w:rsidR="00DF019A" w:rsidRDefault="00DF019A" w:rsidP="00066DE4">
            <w:pPr>
              <w:spacing w:after="0"/>
              <w:jc w:val="center"/>
              <w:rPr>
                <w:rFonts w:cs="Arial"/>
                <w:color w:val="000000"/>
                <w:sz w:val="16"/>
                <w:szCs w:val="16"/>
              </w:rPr>
            </w:pPr>
          </w:p>
        </w:tc>
        <w:tc>
          <w:tcPr>
            <w:tcW w:w="1275" w:type="dxa"/>
            <w:vMerge/>
            <w:tcBorders>
              <w:left w:val="single" w:sz="18" w:space="0" w:color="C0C0C0"/>
              <w:bottom w:val="single" w:sz="18" w:space="0" w:color="C0C0C0"/>
              <w:right w:val="single" w:sz="18" w:space="0" w:color="C0C0C0"/>
            </w:tcBorders>
            <w:shd w:val="clear" w:color="auto" w:fill="auto"/>
            <w:vAlign w:val="center"/>
          </w:tcPr>
          <w:p w14:paraId="3211ACEB" w14:textId="77777777" w:rsidR="00DF019A" w:rsidRPr="008E7494" w:rsidRDefault="00DF019A" w:rsidP="00066DE4">
            <w:pPr>
              <w:spacing w:after="0"/>
              <w:jc w:val="center"/>
              <w:rPr>
                <w:rFonts w:cs="Arial"/>
                <w:color w:val="000000"/>
                <w:sz w:val="16"/>
                <w:szCs w:val="16"/>
              </w:rPr>
            </w:pPr>
          </w:p>
        </w:tc>
        <w:tc>
          <w:tcPr>
            <w:tcW w:w="1418" w:type="dxa"/>
            <w:vMerge/>
            <w:tcBorders>
              <w:left w:val="single" w:sz="18" w:space="0" w:color="C0C0C0"/>
              <w:bottom w:val="single" w:sz="18" w:space="0" w:color="C0C0C0"/>
              <w:right w:val="single" w:sz="18" w:space="0" w:color="C0C0C0"/>
            </w:tcBorders>
            <w:shd w:val="clear" w:color="auto" w:fill="A64D2C"/>
            <w:vAlign w:val="center"/>
          </w:tcPr>
          <w:p w14:paraId="6B2390CE" w14:textId="77777777" w:rsidR="00DF019A" w:rsidRDefault="00DF019A" w:rsidP="00066DE4">
            <w:pPr>
              <w:spacing w:after="0"/>
              <w:jc w:val="center"/>
              <w:rPr>
                <w:rFonts w:cs="Arial"/>
                <w:color w:val="000000"/>
                <w:sz w:val="16"/>
                <w:szCs w:val="16"/>
              </w:rPr>
            </w:pPr>
          </w:p>
        </w:tc>
        <w:tc>
          <w:tcPr>
            <w:tcW w:w="1131" w:type="dxa"/>
            <w:tcBorders>
              <w:top w:val="nil"/>
              <w:left w:val="single" w:sz="18" w:space="0" w:color="C0C0C0"/>
              <w:bottom w:val="single" w:sz="18" w:space="0" w:color="C0C0C0"/>
              <w:right w:val="single" w:sz="18" w:space="0" w:color="C0C0C0"/>
            </w:tcBorders>
            <w:shd w:val="clear" w:color="auto" w:fill="768968"/>
            <w:vAlign w:val="center"/>
          </w:tcPr>
          <w:p w14:paraId="4E771C15" w14:textId="77777777" w:rsidR="00DF019A" w:rsidRDefault="00DF019A" w:rsidP="00066DE4">
            <w:pPr>
              <w:spacing w:after="0"/>
              <w:jc w:val="center"/>
              <w:rPr>
                <w:rFonts w:cs="Arial"/>
                <w:color w:val="000000"/>
                <w:sz w:val="16"/>
                <w:szCs w:val="16"/>
              </w:rPr>
            </w:pPr>
            <w:r>
              <w:rPr>
                <w:rFonts w:cs="Arial"/>
                <w:color w:val="000000"/>
                <w:sz w:val="16"/>
                <w:szCs w:val="16"/>
              </w:rPr>
              <w:t>20</w:t>
            </w:r>
          </w:p>
        </w:tc>
        <w:tc>
          <w:tcPr>
            <w:tcW w:w="1704" w:type="dxa"/>
            <w:vMerge/>
            <w:tcBorders>
              <w:left w:val="single" w:sz="18" w:space="0" w:color="C0C0C0"/>
              <w:bottom w:val="single" w:sz="18" w:space="0" w:color="BFBFBF"/>
              <w:right w:val="single" w:sz="18" w:space="0" w:color="808080"/>
            </w:tcBorders>
            <w:shd w:val="clear" w:color="auto" w:fill="auto"/>
            <w:vAlign w:val="center"/>
          </w:tcPr>
          <w:p w14:paraId="4A7D252C" w14:textId="77777777" w:rsidR="00DF019A" w:rsidRPr="008E7494" w:rsidRDefault="00DF019A" w:rsidP="00066DE4">
            <w:pPr>
              <w:spacing w:after="0"/>
              <w:jc w:val="center"/>
              <w:rPr>
                <w:rFonts w:cs="Arial"/>
                <w:sz w:val="16"/>
                <w:szCs w:val="16"/>
              </w:rPr>
            </w:pPr>
          </w:p>
        </w:tc>
        <w:tc>
          <w:tcPr>
            <w:tcW w:w="2806" w:type="dxa"/>
            <w:vMerge/>
            <w:tcBorders>
              <w:left w:val="single" w:sz="18" w:space="0" w:color="808080"/>
              <w:bottom w:val="single" w:sz="18" w:space="0" w:color="BFBFBF"/>
              <w:right w:val="single" w:sz="18" w:space="0" w:color="808080"/>
            </w:tcBorders>
            <w:shd w:val="clear" w:color="auto" w:fill="auto"/>
            <w:vAlign w:val="center"/>
          </w:tcPr>
          <w:p w14:paraId="3E07F721" w14:textId="77777777" w:rsidR="00DF019A" w:rsidRPr="008E7494" w:rsidRDefault="00DF019A" w:rsidP="00066DE4">
            <w:pPr>
              <w:spacing w:after="0"/>
              <w:jc w:val="center"/>
              <w:rPr>
                <w:rFonts w:cs="Arial"/>
                <w:sz w:val="16"/>
                <w:szCs w:val="16"/>
              </w:rPr>
            </w:pPr>
          </w:p>
        </w:tc>
      </w:tr>
      <w:tr w:rsidR="00DF019A" w:rsidRPr="008E7494" w14:paraId="01AC3281" w14:textId="77777777" w:rsidTr="00066DE4">
        <w:trPr>
          <w:trHeight w:val="397"/>
          <w:jc w:val="center"/>
        </w:trPr>
        <w:tc>
          <w:tcPr>
            <w:tcW w:w="1730" w:type="dxa"/>
            <w:tcBorders>
              <w:top w:val="single" w:sz="18" w:space="0" w:color="BFBFBF"/>
              <w:left w:val="single" w:sz="18" w:space="0" w:color="808080"/>
              <w:bottom w:val="single" w:sz="18" w:space="0" w:color="808080"/>
              <w:right w:val="single" w:sz="18" w:space="0" w:color="C0C0C0"/>
            </w:tcBorders>
            <w:vAlign w:val="center"/>
          </w:tcPr>
          <w:p w14:paraId="737283E9" w14:textId="77777777" w:rsidR="00DF019A" w:rsidRPr="008E7494" w:rsidRDefault="00DF019A" w:rsidP="00066DE4">
            <w:pPr>
              <w:spacing w:after="0"/>
              <w:jc w:val="center"/>
              <w:rPr>
                <w:rFonts w:cs="Arial"/>
                <w:sz w:val="16"/>
                <w:szCs w:val="16"/>
              </w:rPr>
            </w:pPr>
            <w:r w:rsidRPr="008E7494">
              <w:rPr>
                <w:rFonts w:cs="Arial"/>
                <w:sz w:val="16"/>
                <w:szCs w:val="16"/>
              </w:rPr>
              <w:t>2</w:t>
            </w:r>
            <w:r>
              <w:rPr>
                <w:rFonts w:cs="Arial"/>
                <w:sz w:val="16"/>
                <w:szCs w:val="16"/>
              </w:rPr>
              <w:t>4</w:t>
            </w:r>
            <w:r w:rsidRPr="008E7494">
              <w:rPr>
                <w:rFonts w:cs="Arial"/>
                <w:sz w:val="16"/>
                <w:szCs w:val="16"/>
              </w:rPr>
              <w:t xml:space="preserve"> September</w:t>
            </w:r>
          </w:p>
        </w:tc>
        <w:tc>
          <w:tcPr>
            <w:tcW w:w="1418" w:type="dxa"/>
            <w:tcBorders>
              <w:top w:val="single" w:sz="18" w:space="0" w:color="BFBFBF"/>
              <w:left w:val="single" w:sz="18" w:space="0" w:color="C0C0C0"/>
              <w:bottom w:val="single" w:sz="18" w:space="0" w:color="808080"/>
              <w:right w:val="single" w:sz="18" w:space="0" w:color="C0C0C0"/>
            </w:tcBorders>
            <w:shd w:val="clear" w:color="auto" w:fill="D9D9D9"/>
            <w:vAlign w:val="center"/>
          </w:tcPr>
          <w:p w14:paraId="0B3B68AD" w14:textId="77777777" w:rsidR="00DF019A" w:rsidRPr="008E7494" w:rsidRDefault="00DF019A" w:rsidP="00066DE4">
            <w:pPr>
              <w:spacing w:after="0"/>
              <w:jc w:val="center"/>
              <w:rPr>
                <w:rFonts w:cs="Arial"/>
                <w:sz w:val="16"/>
                <w:szCs w:val="16"/>
              </w:rPr>
            </w:pPr>
          </w:p>
        </w:tc>
        <w:tc>
          <w:tcPr>
            <w:tcW w:w="1275" w:type="dxa"/>
            <w:tcBorders>
              <w:top w:val="single" w:sz="18" w:space="0" w:color="C0C0C0"/>
              <w:left w:val="single" w:sz="18" w:space="0" w:color="C0C0C0"/>
              <w:bottom w:val="single" w:sz="18" w:space="0" w:color="808080" w:themeColor="background1" w:themeShade="80"/>
              <w:right w:val="single" w:sz="18" w:space="0" w:color="C0C0C0"/>
            </w:tcBorders>
            <w:shd w:val="clear" w:color="auto" w:fill="D9D9D9"/>
            <w:vAlign w:val="center"/>
          </w:tcPr>
          <w:p w14:paraId="012B5F09" w14:textId="77777777" w:rsidR="00DF019A" w:rsidRPr="008E7494" w:rsidRDefault="00DF019A" w:rsidP="00066DE4">
            <w:pPr>
              <w:spacing w:after="0"/>
              <w:jc w:val="center"/>
              <w:rPr>
                <w:rFonts w:cs="Arial"/>
                <w:color w:val="000000"/>
                <w:sz w:val="16"/>
                <w:szCs w:val="16"/>
              </w:rPr>
            </w:pPr>
          </w:p>
        </w:tc>
        <w:tc>
          <w:tcPr>
            <w:tcW w:w="1418" w:type="dxa"/>
            <w:tcBorders>
              <w:top w:val="single" w:sz="18" w:space="0" w:color="C0C0C0"/>
              <w:left w:val="single" w:sz="18" w:space="0" w:color="C0C0C0"/>
              <w:bottom w:val="single" w:sz="18" w:space="0" w:color="808080" w:themeColor="background1" w:themeShade="80"/>
              <w:right w:val="single" w:sz="18" w:space="0" w:color="C0C0C0"/>
            </w:tcBorders>
            <w:shd w:val="clear" w:color="auto" w:fill="D9D9D9"/>
            <w:vAlign w:val="center"/>
          </w:tcPr>
          <w:p w14:paraId="77E999DC" w14:textId="77777777" w:rsidR="00DF019A" w:rsidRPr="008E7494" w:rsidRDefault="00DF019A" w:rsidP="00066DE4">
            <w:pPr>
              <w:spacing w:after="0"/>
              <w:jc w:val="center"/>
              <w:rPr>
                <w:rFonts w:cs="Arial"/>
                <w:sz w:val="16"/>
                <w:szCs w:val="16"/>
              </w:rPr>
            </w:pPr>
          </w:p>
        </w:tc>
        <w:tc>
          <w:tcPr>
            <w:tcW w:w="1131" w:type="dxa"/>
            <w:tcBorders>
              <w:top w:val="single" w:sz="18" w:space="0" w:color="C0C0C0"/>
              <w:left w:val="single" w:sz="18" w:space="0" w:color="C0C0C0"/>
              <w:bottom w:val="single" w:sz="18" w:space="0" w:color="808080" w:themeColor="background1" w:themeShade="80"/>
              <w:right w:val="single" w:sz="18" w:space="0" w:color="C0C0C0"/>
            </w:tcBorders>
            <w:shd w:val="clear" w:color="auto" w:fill="D9D9D9"/>
            <w:vAlign w:val="center"/>
          </w:tcPr>
          <w:p w14:paraId="57C0729A" w14:textId="77777777" w:rsidR="00DF019A" w:rsidRPr="008E7494" w:rsidRDefault="00DF019A" w:rsidP="00066DE4">
            <w:pPr>
              <w:spacing w:after="0"/>
              <w:jc w:val="center"/>
              <w:rPr>
                <w:rFonts w:cs="Arial"/>
                <w:sz w:val="16"/>
                <w:szCs w:val="16"/>
              </w:rPr>
            </w:pPr>
          </w:p>
        </w:tc>
        <w:tc>
          <w:tcPr>
            <w:tcW w:w="1704" w:type="dxa"/>
            <w:tcBorders>
              <w:top w:val="single" w:sz="18" w:space="0" w:color="BFBFBF"/>
              <w:left w:val="single" w:sz="18" w:space="0" w:color="C0C0C0"/>
              <w:bottom w:val="single" w:sz="18" w:space="0" w:color="808080"/>
              <w:right w:val="single" w:sz="18" w:space="0" w:color="808080"/>
            </w:tcBorders>
            <w:shd w:val="clear" w:color="auto" w:fill="D9D9D9"/>
            <w:vAlign w:val="center"/>
          </w:tcPr>
          <w:p w14:paraId="0CF94FB2" w14:textId="77777777" w:rsidR="00DF019A" w:rsidRPr="008E7494" w:rsidRDefault="00DF019A" w:rsidP="00066DE4">
            <w:pPr>
              <w:spacing w:after="0"/>
              <w:jc w:val="center"/>
              <w:rPr>
                <w:rFonts w:cs="Arial"/>
                <w:bCs/>
                <w:sz w:val="16"/>
                <w:szCs w:val="16"/>
              </w:rPr>
            </w:pPr>
          </w:p>
        </w:tc>
        <w:tc>
          <w:tcPr>
            <w:tcW w:w="2806" w:type="dxa"/>
            <w:tcBorders>
              <w:top w:val="single" w:sz="18" w:space="0" w:color="BFBFBF"/>
              <w:left w:val="single" w:sz="18" w:space="0" w:color="808080"/>
              <w:bottom w:val="single" w:sz="18" w:space="0" w:color="808080"/>
              <w:right w:val="single" w:sz="18" w:space="0" w:color="808080"/>
            </w:tcBorders>
            <w:shd w:val="clear" w:color="auto" w:fill="D9D9D9"/>
            <w:vAlign w:val="center"/>
          </w:tcPr>
          <w:p w14:paraId="537319A8" w14:textId="77777777" w:rsidR="00DF019A" w:rsidRPr="008E7494" w:rsidRDefault="00DF019A" w:rsidP="00066DE4">
            <w:pPr>
              <w:spacing w:after="0"/>
              <w:jc w:val="center"/>
              <w:rPr>
                <w:rFonts w:cs="Arial"/>
                <w:sz w:val="16"/>
                <w:szCs w:val="16"/>
              </w:rPr>
            </w:pPr>
          </w:p>
        </w:tc>
      </w:tr>
      <w:tr w:rsidR="00DF019A" w:rsidRPr="008E7494" w14:paraId="7B2D9E68" w14:textId="77777777" w:rsidTr="00066DE4">
        <w:trPr>
          <w:trHeight w:val="397"/>
          <w:jc w:val="center"/>
        </w:trPr>
        <w:tc>
          <w:tcPr>
            <w:tcW w:w="1730" w:type="dxa"/>
            <w:tcBorders>
              <w:top w:val="single" w:sz="18" w:space="0" w:color="808080"/>
              <w:left w:val="single" w:sz="18" w:space="0" w:color="808080"/>
              <w:right w:val="single" w:sz="18" w:space="0" w:color="C0C0C0"/>
            </w:tcBorders>
            <w:vAlign w:val="center"/>
          </w:tcPr>
          <w:p w14:paraId="461A24A1" w14:textId="77777777" w:rsidR="00DF019A" w:rsidRPr="008E7494" w:rsidRDefault="00DF019A" w:rsidP="00066DE4">
            <w:pPr>
              <w:spacing w:after="0"/>
              <w:jc w:val="center"/>
              <w:rPr>
                <w:rFonts w:cs="Arial"/>
                <w:sz w:val="16"/>
                <w:szCs w:val="16"/>
              </w:rPr>
            </w:pPr>
            <w:r>
              <w:rPr>
                <w:rFonts w:cs="Arial"/>
                <w:sz w:val="16"/>
                <w:szCs w:val="16"/>
              </w:rPr>
              <w:t>1</w:t>
            </w:r>
            <w:r w:rsidRPr="008E7494">
              <w:rPr>
                <w:rFonts w:cs="Arial"/>
                <w:sz w:val="16"/>
                <w:szCs w:val="16"/>
              </w:rPr>
              <w:t xml:space="preserve"> October</w:t>
            </w:r>
          </w:p>
        </w:tc>
        <w:tc>
          <w:tcPr>
            <w:tcW w:w="1418" w:type="dxa"/>
            <w:tcBorders>
              <w:top w:val="single" w:sz="18" w:space="0" w:color="808080"/>
              <w:left w:val="single" w:sz="18" w:space="0" w:color="C0C0C0"/>
              <w:right w:val="single" w:sz="18" w:space="0" w:color="C0C0C0"/>
            </w:tcBorders>
            <w:shd w:val="clear" w:color="auto" w:fill="D9D9D9"/>
            <w:vAlign w:val="center"/>
          </w:tcPr>
          <w:p w14:paraId="73FBFCF2" w14:textId="77777777" w:rsidR="00DF019A" w:rsidRPr="008E7494" w:rsidRDefault="00DF019A" w:rsidP="00066DE4">
            <w:pPr>
              <w:spacing w:after="0"/>
              <w:jc w:val="center"/>
              <w:rPr>
                <w:rFonts w:cs="Arial"/>
                <w:sz w:val="16"/>
                <w:szCs w:val="16"/>
              </w:rPr>
            </w:pPr>
            <w:r w:rsidRPr="008E7494">
              <w:rPr>
                <w:rFonts w:cs="Arial"/>
                <w:sz w:val="16"/>
                <w:szCs w:val="16"/>
              </w:rPr>
              <w:t>Public Holiday</w:t>
            </w:r>
          </w:p>
        </w:tc>
        <w:tc>
          <w:tcPr>
            <w:tcW w:w="1275" w:type="dxa"/>
            <w:tcBorders>
              <w:top w:val="single" w:sz="18" w:space="0" w:color="808080" w:themeColor="background1" w:themeShade="80"/>
              <w:left w:val="single" w:sz="18" w:space="0" w:color="C0C0C0"/>
              <w:bottom w:val="single" w:sz="18" w:space="0" w:color="C0C0C0"/>
              <w:right w:val="single" w:sz="18" w:space="0" w:color="C0C0C0"/>
            </w:tcBorders>
            <w:shd w:val="clear" w:color="auto" w:fill="D9D9D9"/>
            <w:vAlign w:val="center"/>
          </w:tcPr>
          <w:p w14:paraId="2523B332" w14:textId="77777777" w:rsidR="00DF019A" w:rsidRPr="008E7494" w:rsidRDefault="00DF019A" w:rsidP="00066DE4">
            <w:pPr>
              <w:spacing w:after="0"/>
              <w:jc w:val="center"/>
              <w:rPr>
                <w:rFonts w:cs="Arial"/>
                <w:color w:val="000000"/>
                <w:sz w:val="16"/>
                <w:szCs w:val="16"/>
              </w:rPr>
            </w:pPr>
          </w:p>
        </w:tc>
        <w:tc>
          <w:tcPr>
            <w:tcW w:w="1418" w:type="dxa"/>
            <w:tcBorders>
              <w:top w:val="single" w:sz="18" w:space="0" w:color="808080" w:themeColor="background1" w:themeShade="80"/>
              <w:left w:val="single" w:sz="18" w:space="0" w:color="C0C0C0"/>
              <w:bottom w:val="single" w:sz="18" w:space="0" w:color="C0C0C0"/>
              <w:right w:val="single" w:sz="18" w:space="0" w:color="C0C0C0"/>
            </w:tcBorders>
            <w:shd w:val="clear" w:color="auto" w:fill="D9D9D9"/>
            <w:vAlign w:val="center"/>
          </w:tcPr>
          <w:p w14:paraId="659E5290" w14:textId="77777777" w:rsidR="00DF019A" w:rsidRPr="008E7494" w:rsidRDefault="00DF019A" w:rsidP="00066DE4">
            <w:pPr>
              <w:spacing w:after="0"/>
              <w:jc w:val="center"/>
              <w:rPr>
                <w:rFonts w:cs="Arial"/>
                <w:sz w:val="16"/>
                <w:szCs w:val="16"/>
              </w:rPr>
            </w:pPr>
          </w:p>
        </w:tc>
        <w:tc>
          <w:tcPr>
            <w:tcW w:w="1131" w:type="dxa"/>
            <w:tcBorders>
              <w:top w:val="single" w:sz="18" w:space="0" w:color="808080" w:themeColor="background1" w:themeShade="80"/>
              <w:left w:val="single" w:sz="18" w:space="0" w:color="C0C0C0"/>
              <w:bottom w:val="single" w:sz="18" w:space="0" w:color="C0C0C0"/>
              <w:right w:val="single" w:sz="18" w:space="0" w:color="C0C0C0"/>
            </w:tcBorders>
            <w:shd w:val="clear" w:color="auto" w:fill="D9D9D9"/>
            <w:vAlign w:val="center"/>
          </w:tcPr>
          <w:p w14:paraId="05D25082" w14:textId="77777777" w:rsidR="00DF019A" w:rsidRPr="008E7494" w:rsidRDefault="00DF019A" w:rsidP="00066DE4">
            <w:pPr>
              <w:spacing w:after="0"/>
              <w:jc w:val="center"/>
              <w:rPr>
                <w:rFonts w:cs="Arial"/>
                <w:sz w:val="16"/>
                <w:szCs w:val="16"/>
              </w:rPr>
            </w:pPr>
          </w:p>
        </w:tc>
        <w:tc>
          <w:tcPr>
            <w:tcW w:w="1704" w:type="dxa"/>
            <w:tcBorders>
              <w:top w:val="single" w:sz="18" w:space="0" w:color="808080"/>
              <w:left w:val="single" w:sz="18" w:space="0" w:color="C0C0C0"/>
              <w:right w:val="single" w:sz="18" w:space="0" w:color="808080"/>
            </w:tcBorders>
            <w:shd w:val="clear" w:color="auto" w:fill="D9D9D9"/>
            <w:vAlign w:val="center"/>
          </w:tcPr>
          <w:p w14:paraId="706737CE" w14:textId="77777777" w:rsidR="00DF019A" w:rsidRPr="008E7494" w:rsidRDefault="00DF019A" w:rsidP="00066DE4">
            <w:pPr>
              <w:spacing w:after="0"/>
              <w:jc w:val="center"/>
              <w:rPr>
                <w:rFonts w:cs="Arial"/>
                <w:bCs/>
                <w:sz w:val="16"/>
                <w:szCs w:val="16"/>
              </w:rPr>
            </w:pPr>
          </w:p>
        </w:tc>
        <w:tc>
          <w:tcPr>
            <w:tcW w:w="2806" w:type="dxa"/>
            <w:tcBorders>
              <w:top w:val="single" w:sz="18" w:space="0" w:color="808080"/>
              <w:left w:val="single" w:sz="18" w:space="0" w:color="808080"/>
              <w:right w:val="single" w:sz="18" w:space="0" w:color="808080"/>
            </w:tcBorders>
            <w:shd w:val="clear" w:color="auto" w:fill="D9D9D9"/>
            <w:vAlign w:val="center"/>
          </w:tcPr>
          <w:p w14:paraId="42D4DCF6" w14:textId="77777777" w:rsidR="00DF019A" w:rsidRPr="008E7494" w:rsidRDefault="00DF019A" w:rsidP="00066DE4">
            <w:pPr>
              <w:spacing w:after="0"/>
              <w:jc w:val="center"/>
              <w:rPr>
                <w:rFonts w:cs="Arial"/>
                <w:sz w:val="16"/>
                <w:szCs w:val="16"/>
              </w:rPr>
            </w:pPr>
            <w:r>
              <w:rPr>
                <w:rFonts w:cs="Arial"/>
                <w:sz w:val="16"/>
                <w:szCs w:val="16"/>
              </w:rPr>
              <w:t>1</w:t>
            </w:r>
            <w:r w:rsidRPr="008E7494">
              <w:rPr>
                <w:rFonts w:cs="Arial"/>
                <w:sz w:val="16"/>
                <w:szCs w:val="16"/>
              </w:rPr>
              <w:t xml:space="preserve"> Queens Birthday</w:t>
            </w:r>
          </w:p>
        </w:tc>
      </w:tr>
      <w:tr w:rsidR="00DF019A" w:rsidRPr="008E7494" w14:paraId="7C11DCBD" w14:textId="77777777" w:rsidTr="00066DE4">
        <w:trPr>
          <w:trHeight w:val="397"/>
          <w:jc w:val="center"/>
        </w:trPr>
        <w:tc>
          <w:tcPr>
            <w:tcW w:w="1730" w:type="dxa"/>
            <w:tcBorders>
              <w:top w:val="single" w:sz="18" w:space="0" w:color="C0C0C0"/>
              <w:left w:val="single" w:sz="18" w:space="0" w:color="808080"/>
              <w:right w:val="single" w:sz="18" w:space="0" w:color="C0C0C0"/>
            </w:tcBorders>
            <w:vAlign w:val="center"/>
          </w:tcPr>
          <w:p w14:paraId="20230234" w14:textId="77777777" w:rsidR="00DF019A" w:rsidRPr="008E7494" w:rsidRDefault="00DF019A" w:rsidP="00066DE4">
            <w:pPr>
              <w:spacing w:after="0"/>
              <w:jc w:val="center"/>
              <w:rPr>
                <w:rFonts w:cs="Arial"/>
                <w:sz w:val="16"/>
                <w:szCs w:val="16"/>
              </w:rPr>
            </w:pPr>
            <w:r>
              <w:rPr>
                <w:rFonts w:cs="Arial"/>
                <w:sz w:val="16"/>
                <w:szCs w:val="16"/>
              </w:rPr>
              <w:t>8</w:t>
            </w:r>
            <w:r w:rsidRPr="008E7494">
              <w:rPr>
                <w:rFonts w:cs="Arial"/>
                <w:sz w:val="16"/>
                <w:szCs w:val="16"/>
              </w:rPr>
              <w:t xml:space="preserve"> October</w:t>
            </w:r>
          </w:p>
        </w:tc>
        <w:tc>
          <w:tcPr>
            <w:tcW w:w="1418" w:type="dxa"/>
            <w:tcBorders>
              <w:top w:val="single" w:sz="18" w:space="0" w:color="C0C0C0"/>
              <w:left w:val="single" w:sz="18" w:space="0" w:color="C0C0C0"/>
              <w:right w:val="single" w:sz="18" w:space="0" w:color="C0C0C0"/>
            </w:tcBorders>
            <w:vAlign w:val="center"/>
          </w:tcPr>
          <w:p w14:paraId="7A1859A2" w14:textId="77777777" w:rsidR="00DF019A" w:rsidRPr="008E7494" w:rsidRDefault="00DF019A" w:rsidP="00066DE4">
            <w:pPr>
              <w:spacing w:after="0"/>
              <w:jc w:val="center"/>
              <w:rPr>
                <w:rFonts w:cs="Arial"/>
                <w:color w:val="000000"/>
                <w:sz w:val="16"/>
                <w:szCs w:val="16"/>
              </w:rPr>
            </w:pPr>
          </w:p>
        </w:tc>
        <w:tc>
          <w:tcPr>
            <w:tcW w:w="1275" w:type="dxa"/>
            <w:tcBorders>
              <w:top w:val="single" w:sz="18" w:space="0" w:color="C0C0C0"/>
              <w:left w:val="single" w:sz="18" w:space="0" w:color="C0C0C0"/>
              <w:right w:val="single" w:sz="18" w:space="0" w:color="C0C0C0"/>
            </w:tcBorders>
            <w:shd w:val="clear" w:color="auto" w:fill="A972A9"/>
            <w:vAlign w:val="center"/>
          </w:tcPr>
          <w:p w14:paraId="13338667" w14:textId="77777777" w:rsidR="00DF019A" w:rsidRPr="008E7494" w:rsidRDefault="00DF019A" w:rsidP="00066DE4">
            <w:pPr>
              <w:spacing w:after="0"/>
              <w:jc w:val="center"/>
              <w:rPr>
                <w:rFonts w:cs="Arial"/>
                <w:color w:val="000000"/>
                <w:sz w:val="16"/>
                <w:szCs w:val="16"/>
              </w:rPr>
            </w:pPr>
            <w:r>
              <w:rPr>
                <w:rFonts w:cs="Arial"/>
                <w:color w:val="000000"/>
                <w:sz w:val="16"/>
                <w:szCs w:val="16"/>
              </w:rPr>
              <w:t>9</w:t>
            </w:r>
          </w:p>
        </w:tc>
        <w:tc>
          <w:tcPr>
            <w:tcW w:w="1418" w:type="dxa"/>
            <w:tcBorders>
              <w:top w:val="single" w:sz="18" w:space="0" w:color="C0C0C0"/>
              <w:left w:val="single" w:sz="18" w:space="0" w:color="C0C0C0"/>
              <w:right w:val="single" w:sz="18" w:space="0" w:color="C0C0C0"/>
            </w:tcBorders>
            <w:shd w:val="clear" w:color="auto" w:fill="A972A9"/>
            <w:vAlign w:val="center"/>
          </w:tcPr>
          <w:p w14:paraId="3AB7DC49" w14:textId="77777777" w:rsidR="00DF019A" w:rsidRPr="008E7494" w:rsidRDefault="00DF019A" w:rsidP="00066DE4">
            <w:pPr>
              <w:spacing w:after="0"/>
              <w:jc w:val="center"/>
              <w:rPr>
                <w:rFonts w:cs="Arial"/>
                <w:sz w:val="16"/>
                <w:szCs w:val="16"/>
              </w:rPr>
            </w:pPr>
            <w:r>
              <w:rPr>
                <w:rFonts w:cs="Arial"/>
                <w:sz w:val="16"/>
                <w:szCs w:val="16"/>
              </w:rPr>
              <w:t>10</w:t>
            </w:r>
          </w:p>
        </w:tc>
        <w:tc>
          <w:tcPr>
            <w:tcW w:w="1131" w:type="dxa"/>
            <w:tcBorders>
              <w:top w:val="single" w:sz="18" w:space="0" w:color="C0C0C0"/>
              <w:left w:val="single" w:sz="18" w:space="0" w:color="C0C0C0"/>
              <w:right w:val="single" w:sz="18" w:space="0" w:color="C0C0C0"/>
            </w:tcBorders>
            <w:shd w:val="clear" w:color="auto" w:fill="768968"/>
            <w:vAlign w:val="center"/>
          </w:tcPr>
          <w:p w14:paraId="3A8A9F35" w14:textId="77777777" w:rsidR="00DF019A" w:rsidRPr="008E7494" w:rsidRDefault="00DF019A" w:rsidP="00066DE4">
            <w:pPr>
              <w:spacing w:after="0"/>
              <w:jc w:val="center"/>
              <w:rPr>
                <w:rFonts w:cs="Arial"/>
                <w:sz w:val="16"/>
                <w:szCs w:val="16"/>
              </w:rPr>
            </w:pPr>
            <w:r>
              <w:rPr>
                <w:rFonts w:cs="Arial"/>
                <w:sz w:val="16"/>
                <w:szCs w:val="16"/>
              </w:rPr>
              <w:t>11</w:t>
            </w:r>
          </w:p>
        </w:tc>
        <w:tc>
          <w:tcPr>
            <w:tcW w:w="1704" w:type="dxa"/>
            <w:tcBorders>
              <w:top w:val="single" w:sz="18" w:space="0" w:color="C0C0C0"/>
              <w:left w:val="single" w:sz="18" w:space="0" w:color="C0C0C0"/>
              <w:right w:val="single" w:sz="18" w:space="0" w:color="808080"/>
            </w:tcBorders>
            <w:vAlign w:val="center"/>
          </w:tcPr>
          <w:p w14:paraId="730A810D" w14:textId="77777777" w:rsidR="00DF019A" w:rsidRPr="008E7494" w:rsidRDefault="00DF019A" w:rsidP="00066DE4">
            <w:pPr>
              <w:spacing w:after="0"/>
              <w:jc w:val="center"/>
              <w:rPr>
                <w:rFonts w:cs="Arial"/>
                <w:bCs/>
                <w:sz w:val="16"/>
                <w:szCs w:val="16"/>
              </w:rPr>
            </w:pPr>
          </w:p>
        </w:tc>
        <w:tc>
          <w:tcPr>
            <w:tcW w:w="2806" w:type="dxa"/>
            <w:tcBorders>
              <w:top w:val="single" w:sz="18" w:space="0" w:color="C0C0C0"/>
              <w:left w:val="single" w:sz="18" w:space="0" w:color="808080"/>
              <w:right w:val="single" w:sz="18" w:space="0" w:color="808080"/>
            </w:tcBorders>
          </w:tcPr>
          <w:p w14:paraId="7505D6E4" w14:textId="77777777" w:rsidR="00DF019A" w:rsidRPr="008E7494" w:rsidRDefault="00DF019A" w:rsidP="00066DE4">
            <w:pPr>
              <w:spacing w:after="0"/>
              <w:jc w:val="center"/>
              <w:rPr>
                <w:rFonts w:cs="Arial"/>
                <w:sz w:val="16"/>
                <w:szCs w:val="16"/>
              </w:rPr>
            </w:pPr>
          </w:p>
        </w:tc>
      </w:tr>
      <w:tr w:rsidR="00DF019A" w:rsidRPr="008E7494" w14:paraId="38592890" w14:textId="77777777" w:rsidTr="00066DE4">
        <w:trPr>
          <w:trHeight w:hRule="exact" w:val="284"/>
          <w:jc w:val="center"/>
        </w:trPr>
        <w:tc>
          <w:tcPr>
            <w:tcW w:w="1730" w:type="dxa"/>
            <w:vMerge w:val="restart"/>
            <w:tcBorders>
              <w:top w:val="single" w:sz="18" w:space="0" w:color="BFBFBF"/>
              <w:left w:val="single" w:sz="18" w:space="0" w:color="808080"/>
              <w:right w:val="single" w:sz="18" w:space="0" w:color="C0C0C0"/>
            </w:tcBorders>
            <w:vAlign w:val="center"/>
          </w:tcPr>
          <w:p w14:paraId="544E3EDD" w14:textId="77777777" w:rsidR="00DF019A" w:rsidRPr="008E7494" w:rsidRDefault="00DF019A" w:rsidP="00066DE4">
            <w:pPr>
              <w:spacing w:after="0"/>
              <w:jc w:val="center"/>
              <w:rPr>
                <w:rFonts w:cs="Arial"/>
                <w:sz w:val="16"/>
                <w:szCs w:val="16"/>
              </w:rPr>
            </w:pPr>
            <w:r w:rsidRPr="008E7494">
              <w:rPr>
                <w:rFonts w:cs="Arial"/>
                <w:sz w:val="16"/>
                <w:szCs w:val="16"/>
              </w:rPr>
              <w:t>1</w:t>
            </w:r>
            <w:r>
              <w:rPr>
                <w:rFonts w:cs="Arial"/>
                <w:sz w:val="16"/>
                <w:szCs w:val="16"/>
              </w:rPr>
              <w:t>5</w:t>
            </w:r>
            <w:r w:rsidRPr="008E7494">
              <w:rPr>
                <w:rFonts w:cs="Arial"/>
                <w:sz w:val="16"/>
                <w:szCs w:val="16"/>
              </w:rPr>
              <w:t xml:space="preserve"> October</w:t>
            </w:r>
          </w:p>
        </w:tc>
        <w:tc>
          <w:tcPr>
            <w:tcW w:w="1418" w:type="dxa"/>
            <w:vMerge w:val="restart"/>
            <w:tcBorders>
              <w:top w:val="single" w:sz="18" w:space="0" w:color="BFBFBF"/>
              <w:left w:val="single" w:sz="18" w:space="0" w:color="C0C0C0"/>
              <w:right w:val="single" w:sz="18" w:space="0" w:color="C0C0C0"/>
            </w:tcBorders>
            <w:vAlign w:val="center"/>
          </w:tcPr>
          <w:p w14:paraId="58CE7608" w14:textId="77777777" w:rsidR="00DF019A" w:rsidRPr="008E7494" w:rsidRDefault="00DF019A" w:rsidP="00066DE4">
            <w:pPr>
              <w:spacing w:after="0"/>
              <w:jc w:val="center"/>
              <w:rPr>
                <w:rFonts w:cs="Arial"/>
                <w:color w:val="000000"/>
                <w:sz w:val="16"/>
                <w:szCs w:val="16"/>
              </w:rPr>
            </w:pPr>
          </w:p>
        </w:tc>
        <w:tc>
          <w:tcPr>
            <w:tcW w:w="1275" w:type="dxa"/>
            <w:tcBorders>
              <w:top w:val="single" w:sz="18" w:space="0" w:color="C0C0C0"/>
              <w:left w:val="single" w:sz="18" w:space="0" w:color="C0C0C0"/>
              <w:bottom w:val="nil"/>
              <w:right w:val="single" w:sz="18" w:space="0" w:color="C0C0C0"/>
            </w:tcBorders>
            <w:shd w:val="clear" w:color="auto" w:fill="A64D2C"/>
            <w:vAlign w:val="center"/>
          </w:tcPr>
          <w:p w14:paraId="0392F145" w14:textId="77777777" w:rsidR="00DF019A" w:rsidRPr="008E7494" w:rsidRDefault="00DF019A" w:rsidP="00066DE4">
            <w:pPr>
              <w:spacing w:after="0"/>
              <w:jc w:val="center"/>
              <w:rPr>
                <w:rFonts w:cs="Arial"/>
                <w:color w:val="000000"/>
                <w:sz w:val="16"/>
                <w:szCs w:val="16"/>
              </w:rPr>
            </w:pPr>
            <w:r w:rsidRPr="008E7494">
              <w:rPr>
                <w:rFonts w:cs="Arial"/>
                <w:color w:val="000000"/>
                <w:sz w:val="16"/>
                <w:szCs w:val="16"/>
              </w:rPr>
              <w:t>1</w:t>
            </w:r>
            <w:r>
              <w:rPr>
                <w:rFonts w:cs="Arial"/>
                <w:color w:val="000000"/>
                <w:sz w:val="16"/>
                <w:szCs w:val="16"/>
              </w:rPr>
              <w:t>6</w:t>
            </w:r>
          </w:p>
        </w:tc>
        <w:tc>
          <w:tcPr>
            <w:tcW w:w="1418" w:type="dxa"/>
            <w:vMerge w:val="restart"/>
            <w:tcBorders>
              <w:top w:val="single" w:sz="18" w:space="0" w:color="C0C0C0"/>
              <w:left w:val="single" w:sz="18" w:space="0" w:color="C0C0C0"/>
              <w:right w:val="single" w:sz="18" w:space="0" w:color="C0C0C0"/>
            </w:tcBorders>
            <w:shd w:val="clear" w:color="auto" w:fill="A64D2C"/>
            <w:vAlign w:val="center"/>
          </w:tcPr>
          <w:p w14:paraId="373E87CF" w14:textId="77777777" w:rsidR="00DF019A" w:rsidRPr="008E7494" w:rsidRDefault="00DF019A" w:rsidP="00066DE4">
            <w:pPr>
              <w:spacing w:after="0"/>
              <w:jc w:val="center"/>
              <w:rPr>
                <w:rFonts w:cs="Arial"/>
                <w:sz w:val="16"/>
                <w:szCs w:val="16"/>
              </w:rPr>
            </w:pPr>
            <w:r>
              <w:rPr>
                <w:rFonts w:cs="Arial"/>
                <w:sz w:val="16"/>
                <w:szCs w:val="16"/>
              </w:rPr>
              <w:t>17</w:t>
            </w:r>
          </w:p>
        </w:tc>
        <w:tc>
          <w:tcPr>
            <w:tcW w:w="1131" w:type="dxa"/>
            <w:vMerge w:val="restart"/>
            <w:tcBorders>
              <w:top w:val="single" w:sz="18" w:space="0" w:color="C0C0C0"/>
              <w:left w:val="single" w:sz="18" w:space="0" w:color="C0C0C0"/>
              <w:right w:val="single" w:sz="18" w:space="0" w:color="C0C0C0"/>
            </w:tcBorders>
            <w:shd w:val="clear" w:color="auto" w:fill="A64D2C"/>
            <w:vAlign w:val="center"/>
          </w:tcPr>
          <w:p w14:paraId="74ECDC53" w14:textId="77777777" w:rsidR="00DF019A" w:rsidRPr="008E7494" w:rsidRDefault="00DF019A" w:rsidP="00066DE4">
            <w:pPr>
              <w:spacing w:after="0"/>
              <w:jc w:val="center"/>
              <w:rPr>
                <w:rFonts w:cs="Arial"/>
                <w:sz w:val="16"/>
                <w:szCs w:val="16"/>
              </w:rPr>
            </w:pPr>
            <w:r>
              <w:rPr>
                <w:rFonts w:cs="Arial"/>
                <w:sz w:val="16"/>
                <w:szCs w:val="16"/>
              </w:rPr>
              <w:t>18</w:t>
            </w:r>
          </w:p>
        </w:tc>
        <w:tc>
          <w:tcPr>
            <w:tcW w:w="1704" w:type="dxa"/>
            <w:vMerge w:val="restart"/>
            <w:tcBorders>
              <w:top w:val="single" w:sz="18" w:space="0" w:color="BFBFBF"/>
              <w:left w:val="single" w:sz="18" w:space="0" w:color="C0C0C0"/>
              <w:right w:val="single" w:sz="18" w:space="0" w:color="808080"/>
            </w:tcBorders>
            <w:vAlign w:val="center"/>
          </w:tcPr>
          <w:p w14:paraId="3DCD4AF9" w14:textId="77777777" w:rsidR="00DF019A" w:rsidRPr="008E7494" w:rsidRDefault="00DF019A" w:rsidP="00066DE4">
            <w:pPr>
              <w:spacing w:after="0"/>
              <w:jc w:val="center"/>
              <w:rPr>
                <w:rFonts w:cs="Arial"/>
                <w:bCs/>
                <w:sz w:val="16"/>
                <w:szCs w:val="16"/>
              </w:rPr>
            </w:pPr>
          </w:p>
        </w:tc>
        <w:tc>
          <w:tcPr>
            <w:tcW w:w="2806" w:type="dxa"/>
            <w:vMerge w:val="restart"/>
            <w:tcBorders>
              <w:top w:val="single" w:sz="18" w:space="0" w:color="BFBFBF"/>
              <w:left w:val="single" w:sz="18" w:space="0" w:color="808080"/>
              <w:right w:val="single" w:sz="18" w:space="0" w:color="808080"/>
            </w:tcBorders>
            <w:vAlign w:val="center"/>
          </w:tcPr>
          <w:p w14:paraId="07C1FED0" w14:textId="77777777" w:rsidR="00DF019A" w:rsidRPr="008E7494" w:rsidRDefault="00DF019A" w:rsidP="00066DE4">
            <w:pPr>
              <w:spacing w:after="0"/>
              <w:jc w:val="center"/>
              <w:rPr>
                <w:rFonts w:cs="Arial"/>
                <w:sz w:val="16"/>
                <w:szCs w:val="16"/>
              </w:rPr>
            </w:pPr>
          </w:p>
        </w:tc>
      </w:tr>
      <w:tr w:rsidR="00DF019A" w:rsidRPr="008E7494" w14:paraId="2B84930C" w14:textId="77777777" w:rsidTr="00066DE4">
        <w:trPr>
          <w:trHeight w:hRule="exact" w:val="284"/>
          <w:jc w:val="center"/>
        </w:trPr>
        <w:tc>
          <w:tcPr>
            <w:tcW w:w="1730" w:type="dxa"/>
            <w:vMerge/>
            <w:tcBorders>
              <w:left w:val="single" w:sz="18" w:space="0" w:color="808080"/>
              <w:right w:val="single" w:sz="18" w:space="0" w:color="C0C0C0"/>
            </w:tcBorders>
            <w:vAlign w:val="center"/>
          </w:tcPr>
          <w:p w14:paraId="4F75DC3A" w14:textId="77777777" w:rsidR="00DF019A" w:rsidRPr="008E7494" w:rsidRDefault="00DF019A" w:rsidP="00066DE4">
            <w:pPr>
              <w:spacing w:after="0"/>
              <w:jc w:val="center"/>
              <w:rPr>
                <w:rFonts w:cs="Arial"/>
                <w:sz w:val="16"/>
                <w:szCs w:val="16"/>
              </w:rPr>
            </w:pPr>
          </w:p>
        </w:tc>
        <w:tc>
          <w:tcPr>
            <w:tcW w:w="1418" w:type="dxa"/>
            <w:vMerge/>
            <w:tcBorders>
              <w:left w:val="single" w:sz="18" w:space="0" w:color="C0C0C0"/>
              <w:right w:val="single" w:sz="18" w:space="0" w:color="C0C0C0"/>
            </w:tcBorders>
            <w:vAlign w:val="center"/>
          </w:tcPr>
          <w:p w14:paraId="778E7495" w14:textId="77777777" w:rsidR="00DF019A" w:rsidRPr="008E7494" w:rsidRDefault="00DF019A" w:rsidP="00066DE4">
            <w:pPr>
              <w:spacing w:after="0"/>
              <w:jc w:val="center"/>
              <w:rPr>
                <w:rFonts w:cs="Arial"/>
                <w:color w:val="000000"/>
                <w:sz w:val="16"/>
                <w:szCs w:val="16"/>
              </w:rPr>
            </w:pPr>
          </w:p>
        </w:tc>
        <w:tc>
          <w:tcPr>
            <w:tcW w:w="1275" w:type="dxa"/>
            <w:tcBorders>
              <w:top w:val="nil"/>
              <w:left w:val="single" w:sz="18" w:space="0" w:color="C0C0C0"/>
              <w:bottom w:val="single" w:sz="18" w:space="0" w:color="C0C0C0"/>
              <w:right w:val="single" w:sz="18" w:space="0" w:color="C0C0C0"/>
            </w:tcBorders>
            <w:shd w:val="clear" w:color="auto" w:fill="467082"/>
            <w:vAlign w:val="center"/>
          </w:tcPr>
          <w:p w14:paraId="2F1B7E54" w14:textId="77777777" w:rsidR="00DF019A" w:rsidRPr="008E7494" w:rsidRDefault="00DF019A" w:rsidP="00066DE4">
            <w:pPr>
              <w:spacing w:after="0"/>
              <w:jc w:val="center"/>
              <w:rPr>
                <w:rFonts w:cs="Arial"/>
                <w:color w:val="000000"/>
                <w:sz w:val="16"/>
                <w:szCs w:val="16"/>
              </w:rPr>
            </w:pPr>
            <w:r>
              <w:rPr>
                <w:rFonts w:cs="Arial"/>
                <w:color w:val="000000"/>
                <w:sz w:val="16"/>
                <w:szCs w:val="16"/>
              </w:rPr>
              <w:t>16</w:t>
            </w:r>
          </w:p>
        </w:tc>
        <w:tc>
          <w:tcPr>
            <w:tcW w:w="1418" w:type="dxa"/>
            <w:vMerge/>
            <w:tcBorders>
              <w:left w:val="single" w:sz="18" w:space="0" w:color="C0C0C0"/>
              <w:right w:val="single" w:sz="18" w:space="0" w:color="C0C0C0"/>
            </w:tcBorders>
            <w:shd w:val="clear" w:color="auto" w:fill="A64D2C"/>
            <w:vAlign w:val="center"/>
          </w:tcPr>
          <w:p w14:paraId="4CCA1C47" w14:textId="77777777" w:rsidR="00DF019A" w:rsidRDefault="00DF019A" w:rsidP="00066DE4">
            <w:pPr>
              <w:spacing w:after="0"/>
              <w:jc w:val="center"/>
              <w:rPr>
                <w:rFonts w:cs="Arial"/>
                <w:sz w:val="16"/>
                <w:szCs w:val="16"/>
              </w:rPr>
            </w:pPr>
          </w:p>
        </w:tc>
        <w:tc>
          <w:tcPr>
            <w:tcW w:w="1131" w:type="dxa"/>
            <w:vMerge/>
            <w:tcBorders>
              <w:left w:val="single" w:sz="18" w:space="0" w:color="C0C0C0"/>
              <w:right w:val="single" w:sz="18" w:space="0" w:color="C0C0C0"/>
            </w:tcBorders>
            <w:shd w:val="clear" w:color="auto" w:fill="A64D2C"/>
            <w:vAlign w:val="center"/>
          </w:tcPr>
          <w:p w14:paraId="00ABBFBD" w14:textId="77777777" w:rsidR="00DF019A" w:rsidRDefault="00DF019A" w:rsidP="00066DE4">
            <w:pPr>
              <w:spacing w:after="0"/>
              <w:jc w:val="center"/>
              <w:rPr>
                <w:rFonts w:cs="Arial"/>
                <w:sz w:val="16"/>
                <w:szCs w:val="16"/>
              </w:rPr>
            </w:pPr>
          </w:p>
        </w:tc>
        <w:tc>
          <w:tcPr>
            <w:tcW w:w="1704" w:type="dxa"/>
            <w:vMerge/>
            <w:tcBorders>
              <w:left w:val="single" w:sz="18" w:space="0" w:color="C0C0C0"/>
              <w:right w:val="single" w:sz="18" w:space="0" w:color="808080"/>
            </w:tcBorders>
            <w:vAlign w:val="center"/>
          </w:tcPr>
          <w:p w14:paraId="57E7775F" w14:textId="77777777" w:rsidR="00DF019A" w:rsidRPr="008E7494" w:rsidRDefault="00DF019A" w:rsidP="00066DE4">
            <w:pPr>
              <w:spacing w:after="0"/>
              <w:jc w:val="center"/>
              <w:rPr>
                <w:rFonts w:cs="Arial"/>
                <w:bCs/>
                <w:sz w:val="16"/>
                <w:szCs w:val="16"/>
              </w:rPr>
            </w:pPr>
          </w:p>
        </w:tc>
        <w:tc>
          <w:tcPr>
            <w:tcW w:w="2806" w:type="dxa"/>
            <w:vMerge/>
            <w:tcBorders>
              <w:left w:val="single" w:sz="18" w:space="0" w:color="808080"/>
              <w:right w:val="single" w:sz="18" w:space="0" w:color="808080"/>
            </w:tcBorders>
            <w:vAlign w:val="center"/>
          </w:tcPr>
          <w:p w14:paraId="65DB5CD0" w14:textId="77777777" w:rsidR="00DF019A" w:rsidRPr="008E7494" w:rsidRDefault="00DF019A" w:rsidP="00066DE4">
            <w:pPr>
              <w:spacing w:after="0"/>
              <w:jc w:val="center"/>
              <w:rPr>
                <w:rFonts w:cs="Arial"/>
                <w:sz w:val="16"/>
                <w:szCs w:val="16"/>
              </w:rPr>
            </w:pPr>
          </w:p>
        </w:tc>
      </w:tr>
      <w:tr w:rsidR="00DF019A" w:rsidRPr="008E7494" w14:paraId="2CC3096E" w14:textId="77777777" w:rsidTr="00066DE4">
        <w:trPr>
          <w:trHeight w:hRule="exact" w:val="284"/>
          <w:jc w:val="center"/>
        </w:trPr>
        <w:tc>
          <w:tcPr>
            <w:tcW w:w="1730" w:type="dxa"/>
            <w:vMerge w:val="restart"/>
            <w:tcBorders>
              <w:top w:val="single" w:sz="18" w:space="0" w:color="BFBFBF"/>
              <w:left w:val="single" w:sz="18" w:space="0" w:color="808080"/>
              <w:right w:val="single" w:sz="18" w:space="0" w:color="C0C0C0"/>
            </w:tcBorders>
            <w:vAlign w:val="center"/>
          </w:tcPr>
          <w:p w14:paraId="1809F406" w14:textId="77777777" w:rsidR="00DF019A" w:rsidRPr="008E7494" w:rsidRDefault="00DF019A" w:rsidP="00066DE4">
            <w:pPr>
              <w:spacing w:after="0"/>
              <w:jc w:val="center"/>
              <w:rPr>
                <w:rFonts w:cs="Arial"/>
                <w:sz w:val="16"/>
                <w:szCs w:val="16"/>
              </w:rPr>
            </w:pPr>
            <w:r w:rsidRPr="008E7494">
              <w:rPr>
                <w:rFonts w:cs="Arial"/>
                <w:sz w:val="16"/>
                <w:szCs w:val="16"/>
              </w:rPr>
              <w:t>2</w:t>
            </w:r>
            <w:r>
              <w:rPr>
                <w:rFonts w:cs="Arial"/>
                <w:sz w:val="16"/>
                <w:szCs w:val="16"/>
              </w:rPr>
              <w:t>2</w:t>
            </w:r>
            <w:r w:rsidRPr="008E7494">
              <w:rPr>
                <w:rFonts w:cs="Arial"/>
                <w:sz w:val="16"/>
                <w:szCs w:val="16"/>
              </w:rPr>
              <w:t xml:space="preserve"> October</w:t>
            </w:r>
          </w:p>
        </w:tc>
        <w:tc>
          <w:tcPr>
            <w:tcW w:w="1418" w:type="dxa"/>
            <w:vMerge w:val="restart"/>
            <w:tcBorders>
              <w:top w:val="single" w:sz="18" w:space="0" w:color="BFBFBF"/>
              <w:left w:val="single" w:sz="18" w:space="0" w:color="C0C0C0"/>
              <w:right w:val="single" w:sz="18" w:space="0" w:color="C0C0C0"/>
            </w:tcBorders>
            <w:shd w:val="clear" w:color="auto" w:fill="auto"/>
            <w:vAlign w:val="center"/>
          </w:tcPr>
          <w:p w14:paraId="50E35AA7" w14:textId="77777777" w:rsidR="00DF019A" w:rsidRPr="008E7494" w:rsidRDefault="00DF019A" w:rsidP="00066DE4">
            <w:pPr>
              <w:spacing w:after="0"/>
              <w:jc w:val="center"/>
              <w:rPr>
                <w:rFonts w:cs="Arial"/>
                <w:sz w:val="16"/>
                <w:szCs w:val="16"/>
              </w:rPr>
            </w:pPr>
          </w:p>
        </w:tc>
        <w:tc>
          <w:tcPr>
            <w:tcW w:w="1275" w:type="dxa"/>
            <w:tcBorders>
              <w:top w:val="single" w:sz="18" w:space="0" w:color="C0C0C0"/>
              <w:left w:val="single" w:sz="18" w:space="0" w:color="C0C0C0"/>
              <w:bottom w:val="nil"/>
              <w:right w:val="single" w:sz="18" w:space="0" w:color="C0C0C0"/>
            </w:tcBorders>
            <w:shd w:val="clear" w:color="auto" w:fill="A972A9"/>
            <w:vAlign w:val="center"/>
          </w:tcPr>
          <w:p w14:paraId="3D1995A8" w14:textId="77777777" w:rsidR="00DF019A" w:rsidRPr="008E7494" w:rsidRDefault="00DF019A" w:rsidP="00066DE4">
            <w:pPr>
              <w:spacing w:after="0"/>
              <w:jc w:val="center"/>
              <w:rPr>
                <w:rFonts w:cs="Arial"/>
                <w:color w:val="000000"/>
                <w:sz w:val="16"/>
                <w:szCs w:val="16"/>
              </w:rPr>
            </w:pPr>
            <w:r>
              <w:rPr>
                <w:rFonts w:cs="Arial"/>
                <w:color w:val="000000"/>
                <w:sz w:val="16"/>
                <w:szCs w:val="16"/>
              </w:rPr>
              <w:t>23</w:t>
            </w:r>
          </w:p>
        </w:tc>
        <w:tc>
          <w:tcPr>
            <w:tcW w:w="1418" w:type="dxa"/>
            <w:vMerge w:val="restart"/>
            <w:tcBorders>
              <w:top w:val="single" w:sz="18" w:space="0" w:color="C0C0C0"/>
              <w:left w:val="single" w:sz="18" w:space="0" w:color="C0C0C0"/>
              <w:right w:val="single" w:sz="18" w:space="0" w:color="C0C0C0"/>
            </w:tcBorders>
            <w:shd w:val="clear" w:color="auto" w:fill="A972A9"/>
            <w:vAlign w:val="center"/>
          </w:tcPr>
          <w:p w14:paraId="198F1178" w14:textId="77777777" w:rsidR="00DF019A" w:rsidRPr="008E7494" w:rsidRDefault="00DF019A" w:rsidP="00066DE4">
            <w:pPr>
              <w:spacing w:after="0"/>
              <w:jc w:val="center"/>
              <w:rPr>
                <w:rFonts w:cs="Arial"/>
                <w:sz w:val="16"/>
                <w:szCs w:val="16"/>
              </w:rPr>
            </w:pPr>
            <w:r>
              <w:rPr>
                <w:rFonts w:cs="Arial"/>
                <w:sz w:val="16"/>
                <w:szCs w:val="16"/>
              </w:rPr>
              <w:t>24</w:t>
            </w:r>
          </w:p>
        </w:tc>
        <w:tc>
          <w:tcPr>
            <w:tcW w:w="1131" w:type="dxa"/>
            <w:vMerge w:val="restart"/>
            <w:tcBorders>
              <w:top w:val="single" w:sz="18" w:space="0" w:color="C0C0C0"/>
              <w:left w:val="single" w:sz="18" w:space="0" w:color="C0C0C0"/>
              <w:right w:val="single" w:sz="18" w:space="0" w:color="C0C0C0"/>
            </w:tcBorders>
            <w:shd w:val="clear" w:color="auto" w:fill="A972A9"/>
            <w:vAlign w:val="center"/>
          </w:tcPr>
          <w:p w14:paraId="209DEE5B" w14:textId="77777777" w:rsidR="00DF019A" w:rsidRPr="008E7494" w:rsidRDefault="00DF019A" w:rsidP="00066DE4">
            <w:pPr>
              <w:spacing w:after="0"/>
              <w:jc w:val="center"/>
              <w:rPr>
                <w:rFonts w:cs="Arial"/>
                <w:sz w:val="16"/>
                <w:szCs w:val="16"/>
              </w:rPr>
            </w:pPr>
            <w:r>
              <w:rPr>
                <w:rFonts w:cs="Arial"/>
                <w:sz w:val="16"/>
                <w:szCs w:val="16"/>
              </w:rPr>
              <w:t>25</w:t>
            </w:r>
          </w:p>
        </w:tc>
        <w:tc>
          <w:tcPr>
            <w:tcW w:w="1704" w:type="dxa"/>
            <w:vMerge w:val="restart"/>
            <w:tcBorders>
              <w:top w:val="single" w:sz="18" w:space="0" w:color="BFBFBF"/>
              <w:left w:val="single" w:sz="18" w:space="0" w:color="C0C0C0"/>
              <w:right w:val="single" w:sz="18" w:space="0" w:color="808080"/>
            </w:tcBorders>
            <w:vAlign w:val="center"/>
          </w:tcPr>
          <w:p w14:paraId="65CDD0A7" w14:textId="77777777" w:rsidR="00DF019A" w:rsidRPr="008E7494" w:rsidRDefault="00DF019A" w:rsidP="00066DE4">
            <w:pPr>
              <w:spacing w:after="0"/>
              <w:jc w:val="center"/>
              <w:rPr>
                <w:rFonts w:cs="Arial"/>
                <w:bCs/>
                <w:sz w:val="16"/>
                <w:szCs w:val="16"/>
              </w:rPr>
            </w:pPr>
          </w:p>
        </w:tc>
        <w:tc>
          <w:tcPr>
            <w:tcW w:w="2806" w:type="dxa"/>
            <w:vMerge w:val="restart"/>
            <w:tcBorders>
              <w:top w:val="single" w:sz="18" w:space="0" w:color="BFBFBF"/>
              <w:left w:val="single" w:sz="18" w:space="0" w:color="808080"/>
              <w:right w:val="single" w:sz="18" w:space="0" w:color="808080"/>
            </w:tcBorders>
            <w:vAlign w:val="center"/>
          </w:tcPr>
          <w:p w14:paraId="23CA8E55" w14:textId="77777777" w:rsidR="00DF019A" w:rsidRPr="008E7494" w:rsidRDefault="00DF019A" w:rsidP="00066DE4">
            <w:pPr>
              <w:spacing w:after="0"/>
              <w:jc w:val="center"/>
              <w:rPr>
                <w:rFonts w:cs="Arial"/>
                <w:sz w:val="16"/>
                <w:szCs w:val="16"/>
              </w:rPr>
            </w:pPr>
          </w:p>
        </w:tc>
      </w:tr>
      <w:tr w:rsidR="00DF019A" w:rsidRPr="008E7494" w14:paraId="4392595E" w14:textId="77777777" w:rsidTr="00066DE4">
        <w:trPr>
          <w:trHeight w:hRule="exact" w:val="284"/>
          <w:jc w:val="center"/>
        </w:trPr>
        <w:tc>
          <w:tcPr>
            <w:tcW w:w="1730" w:type="dxa"/>
            <w:vMerge/>
            <w:tcBorders>
              <w:left w:val="single" w:sz="18" w:space="0" w:color="808080"/>
              <w:bottom w:val="single" w:sz="18" w:space="0" w:color="BFBFBF" w:themeColor="background1" w:themeShade="BF"/>
              <w:right w:val="single" w:sz="18" w:space="0" w:color="C0C0C0"/>
            </w:tcBorders>
            <w:vAlign w:val="center"/>
          </w:tcPr>
          <w:p w14:paraId="514D7D6D" w14:textId="77777777" w:rsidR="00DF019A" w:rsidRPr="008E7494" w:rsidRDefault="00DF019A" w:rsidP="00066DE4">
            <w:pPr>
              <w:spacing w:after="0"/>
              <w:jc w:val="center"/>
              <w:rPr>
                <w:rFonts w:cs="Arial"/>
                <w:sz w:val="16"/>
                <w:szCs w:val="16"/>
              </w:rPr>
            </w:pPr>
          </w:p>
        </w:tc>
        <w:tc>
          <w:tcPr>
            <w:tcW w:w="1418" w:type="dxa"/>
            <w:vMerge/>
            <w:tcBorders>
              <w:left w:val="single" w:sz="18" w:space="0" w:color="C0C0C0"/>
              <w:bottom w:val="single" w:sz="18" w:space="0" w:color="BFBFBF" w:themeColor="background1" w:themeShade="BF"/>
              <w:right w:val="single" w:sz="18" w:space="0" w:color="C0C0C0"/>
            </w:tcBorders>
            <w:shd w:val="clear" w:color="auto" w:fill="auto"/>
            <w:vAlign w:val="center"/>
          </w:tcPr>
          <w:p w14:paraId="24D1AED8" w14:textId="77777777" w:rsidR="00DF019A" w:rsidRPr="008E7494" w:rsidRDefault="00DF019A" w:rsidP="00066DE4">
            <w:pPr>
              <w:spacing w:after="0"/>
              <w:jc w:val="center"/>
              <w:rPr>
                <w:rFonts w:cs="Arial"/>
                <w:sz w:val="16"/>
                <w:szCs w:val="16"/>
              </w:rPr>
            </w:pPr>
          </w:p>
        </w:tc>
        <w:tc>
          <w:tcPr>
            <w:tcW w:w="1275" w:type="dxa"/>
            <w:tcBorders>
              <w:top w:val="nil"/>
              <w:left w:val="single" w:sz="18" w:space="0" w:color="C0C0C0"/>
              <w:bottom w:val="single" w:sz="18" w:space="0" w:color="C0C0C0"/>
              <w:right w:val="single" w:sz="18" w:space="0" w:color="C0C0C0"/>
            </w:tcBorders>
            <w:shd w:val="clear" w:color="auto" w:fill="DDB136"/>
            <w:vAlign w:val="center"/>
          </w:tcPr>
          <w:p w14:paraId="1B2D4BB2" w14:textId="77777777" w:rsidR="00DF019A" w:rsidRDefault="00DF019A" w:rsidP="00066DE4">
            <w:pPr>
              <w:spacing w:after="0"/>
              <w:jc w:val="center"/>
              <w:rPr>
                <w:rFonts w:cs="Arial"/>
                <w:color w:val="000000"/>
                <w:sz w:val="16"/>
                <w:szCs w:val="16"/>
              </w:rPr>
            </w:pPr>
            <w:r>
              <w:rPr>
                <w:rFonts w:cs="Arial"/>
                <w:color w:val="000000"/>
                <w:sz w:val="16"/>
                <w:szCs w:val="16"/>
              </w:rPr>
              <w:t>23</w:t>
            </w:r>
          </w:p>
        </w:tc>
        <w:tc>
          <w:tcPr>
            <w:tcW w:w="1418" w:type="dxa"/>
            <w:vMerge/>
            <w:tcBorders>
              <w:left w:val="single" w:sz="18" w:space="0" w:color="C0C0C0"/>
              <w:bottom w:val="single" w:sz="18" w:space="0" w:color="C0C0C0"/>
              <w:right w:val="single" w:sz="18" w:space="0" w:color="C0C0C0"/>
            </w:tcBorders>
            <w:shd w:val="clear" w:color="auto" w:fill="A972A9"/>
            <w:vAlign w:val="center"/>
          </w:tcPr>
          <w:p w14:paraId="33BD9A1F" w14:textId="77777777" w:rsidR="00DF019A" w:rsidRDefault="00DF019A" w:rsidP="00066DE4">
            <w:pPr>
              <w:spacing w:after="0"/>
              <w:jc w:val="center"/>
              <w:rPr>
                <w:rFonts w:cs="Arial"/>
                <w:sz w:val="16"/>
                <w:szCs w:val="16"/>
              </w:rPr>
            </w:pPr>
          </w:p>
        </w:tc>
        <w:tc>
          <w:tcPr>
            <w:tcW w:w="1131" w:type="dxa"/>
            <w:vMerge/>
            <w:tcBorders>
              <w:left w:val="single" w:sz="18" w:space="0" w:color="C0C0C0"/>
              <w:bottom w:val="single" w:sz="18" w:space="0" w:color="C0C0C0"/>
              <w:right w:val="single" w:sz="18" w:space="0" w:color="C0C0C0"/>
            </w:tcBorders>
            <w:shd w:val="clear" w:color="auto" w:fill="A972A9"/>
            <w:vAlign w:val="center"/>
          </w:tcPr>
          <w:p w14:paraId="0BCE626B" w14:textId="77777777" w:rsidR="00DF019A" w:rsidRDefault="00DF019A" w:rsidP="00066DE4">
            <w:pPr>
              <w:spacing w:after="0"/>
              <w:jc w:val="center"/>
              <w:rPr>
                <w:rFonts w:cs="Arial"/>
                <w:sz w:val="16"/>
                <w:szCs w:val="16"/>
              </w:rPr>
            </w:pPr>
          </w:p>
        </w:tc>
        <w:tc>
          <w:tcPr>
            <w:tcW w:w="1704" w:type="dxa"/>
            <w:vMerge/>
            <w:tcBorders>
              <w:left w:val="single" w:sz="18" w:space="0" w:color="C0C0C0"/>
              <w:bottom w:val="single" w:sz="18" w:space="0" w:color="BFBFBF" w:themeColor="background1" w:themeShade="BF"/>
              <w:right w:val="single" w:sz="18" w:space="0" w:color="808080"/>
            </w:tcBorders>
            <w:vAlign w:val="center"/>
          </w:tcPr>
          <w:p w14:paraId="07A25D78" w14:textId="77777777" w:rsidR="00DF019A" w:rsidRPr="008E7494" w:rsidRDefault="00DF019A" w:rsidP="00066DE4">
            <w:pPr>
              <w:spacing w:after="0"/>
              <w:jc w:val="center"/>
              <w:rPr>
                <w:rFonts w:cs="Arial"/>
                <w:bCs/>
                <w:sz w:val="16"/>
                <w:szCs w:val="16"/>
              </w:rPr>
            </w:pPr>
          </w:p>
        </w:tc>
        <w:tc>
          <w:tcPr>
            <w:tcW w:w="2806" w:type="dxa"/>
            <w:vMerge/>
            <w:tcBorders>
              <w:left w:val="single" w:sz="18" w:space="0" w:color="808080"/>
              <w:bottom w:val="single" w:sz="18" w:space="0" w:color="BFBFBF" w:themeColor="background1" w:themeShade="BF"/>
              <w:right w:val="single" w:sz="18" w:space="0" w:color="808080"/>
            </w:tcBorders>
            <w:vAlign w:val="center"/>
          </w:tcPr>
          <w:p w14:paraId="7AE879B7" w14:textId="77777777" w:rsidR="00DF019A" w:rsidRPr="008E7494" w:rsidRDefault="00DF019A" w:rsidP="00066DE4">
            <w:pPr>
              <w:spacing w:after="0"/>
              <w:jc w:val="center"/>
              <w:rPr>
                <w:rFonts w:cs="Arial"/>
                <w:sz w:val="16"/>
                <w:szCs w:val="16"/>
              </w:rPr>
            </w:pPr>
          </w:p>
        </w:tc>
      </w:tr>
      <w:tr w:rsidR="00DF019A" w:rsidRPr="008E7494" w14:paraId="0CB60F72" w14:textId="77777777" w:rsidTr="00066DE4">
        <w:trPr>
          <w:trHeight w:val="397"/>
          <w:jc w:val="center"/>
        </w:trPr>
        <w:tc>
          <w:tcPr>
            <w:tcW w:w="1730" w:type="dxa"/>
            <w:tcBorders>
              <w:top w:val="single" w:sz="18" w:space="0" w:color="BFBFBF" w:themeColor="background1" w:themeShade="BF"/>
              <w:left w:val="single" w:sz="18" w:space="0" w:color="808080" w:themeColor="background1" w:themeShade="80"/>
              <w:bottom w:val="single" w:sz="18" w:space="0" w:color="FFFFFF"/>
              <w:right w:val="single" w:sz="18" w:space="0" w:color="C0C0C0"/>
            </w:tcBorders>
            <w:vAlign w:val="center"/>
          </w:tcPr>
          <w:p w14:paraId="607B3699" w14:textId="77777777" w:rsidR="00DF019A" w:rsidRPr="008E7494" w:rsidRDefault="00DF019A" w:rsidP="00066DE4">
            <w:pPr>
              <w:spacing w:after="0"/>
              <w:jc w:val="center"/>
              <w:rPr>
                <w:rFonts w:cs="Arial"/>
                <w:sz w:val="16"/>
                <w:szCs w:val="16"/>
              </w:rPr>
            </w:pPr>
            <w:r>
              <w:rPr>
                <w:rFonts w:cs="Arial"/>
                <w:sz w:val="16"/>
                <w:szCs w:val="16"/>
              </w:rPr>
              <w:t>29</w:t>
            </w:r>
            <w:r w:rsidRPr="008E7494">
              <w:rPr>
                <w:rFonts w:cs="Arial"/>
                <w:sz w:val="16"/>
                <w:szCs w:val="16"/>
              </w:rPr>
              <w:t xml:space="preserve"> October</w:t>
            </w:r>
          </w:p>
        </w:tc>
        <w:tc>
          <w:tcPr>
            <w:tcW w:w="1418" w:type="dxa"/>
            <w:tcBorders>
              <w:top w:val="single" w:sz="18" w:space="0" w:color="BFBFBF" w:themeColor="background1" w:themeShade="BF"/>
              <w:left w:val="single" w:sz="18" w:space="0" w:color="C0C0C0"/>
              <w:bottom w:val="single" w:sz="18" w:space="0" w:color="FFFFFF"/>
              <w:right w:val="single" w:sz="18" w:space="0" w:color="C0C0C0"/>
            </w:tcBorders>
            <w:vAlign w:val="center"/>
          </w:tcPr>
          <w:p w14:paraId="71EA8869" w14:textId="77777777" w:rsidR="00DF019A" w:rsidRPr="008E7494" w:rsidRDefault="00DF019A" w:rsidP="00066DE4">
            <w:pPr>
              <w:spacing w:after="0"/>
              <w:jc w:val="center"/>
              <w:rPr>
                <w:rFonts w:cs="Arial"/>
                <w:color w:val="000000"/>
                <w:sz w:val="16"/>
                <w:szCs w:val="16"/>
              </w:rPr>
            </w:pPr>
          </w:p>
        </w:tc>
        <w:tc>
          <w:tcPr>
            <w:tcW w:w="1275" w:type="dxa"/>
            <w:tcBorders>
              <w:top w:val="single" w:sz="18" w:space="0" w:color="C0C0C0"/>
              <w:left w:val="single" w:sz="18" w:space="0" w:color="C0C0C0"/>
              <w:right w:val="single" w:sz="18" w:space="0" w:color="C0C0C0"/>
            </w:tcBorders>
            <w:shd w:val="clear" w:color="auto" w:fill="A64D2C"/>
            <w:vAlign w:val="center"/>
          </w:tcPr>
          <w:p w14:paraId="4D801583" w14:textId="77777777" w:rsidR="00DF019A" w:rsidRPr="008E7494" w:rsidRDefault="00DF019A" w:rsidP="00066DE4">
            <w:pPr>
              <w:spacing w:after="0"/>
              <w:jc w:val="center"/>
              <w:rPr>
                <w:rFonts w:cs="Arial"/>
                <w:color w:val="000000"/>
                <w:sz w:val="16"/>
                <w:szCs w:val="16"/>
              </w:rPr>
            </w:pPr>
            <w:r w:rsidRPr="008E7494">
              <w:rPr>
                <w:rFonts w:cs="Arial"/>
                <w:color w:val="000000"/>
                <w:sz w:val="16"/>
                <w:szCs w:val="16"/>
              </w:rPr>
              <w:t>3</w:t>
            </w:r>
            <w:r>
              <w:rPr>
                <w:rFonts w:cs="Arial"/>
                <w:color w:val="000000"/>
                <w:sz w:val="16"/>
                <w:szCs w:val="16"/>
              </w:rPr>
              <w:t>0</w:t>
            </w:r>
          </w:p>
        </w:tc>
        <w:tc>
          <w:tcPr>
            <w:tcW w:w="1418" w:type="dxa"/>
            <w:tcBorders>
              <w:top w:val="single" w:sz="18" w:space="0" w:color="C0C0C0"/>
              <w:left w:val="single" w:sz="18" w:space="0" w:color="C0C0C0"/>
              <w:right w:val="single" w:sz="18" w:space="0" w:color="C0C0C0"/>
            </w:tcBorders>
            <w:shd w:val="clear" w:color="auto" w:fill="A64D2C"/>
            <w:vAlign w:val="center"/>
          </w:tcPr>
          <w:p w14:paraId="45C615AF" w14:textId="77777777" w:rsidR="00DF019A" w:rsidRPr="008E7494" w:rsidRDefault="00DF019A" w:rsidP="00066DE4">
            <w:pPr>
              <w:spacing w:after="0"/>
              <w:jc w:val="center"/>
              <w:rPr>
                <w:rFonts w:cs="Arial"/>
                <w:sz w:val="16"/>
                <w:szCs w:val="16"/>
              </w:rPr>
            </w:pPr>
            <w:r>
              <w:rPr>
                <w:rFonts w:cs="Arial"/>
                <w:sz w:val="16"/>
                <w:szCs w:val="16"/>
              </w:rPr>
              <w:t>31</w:t>
            </w:r>
          </w:p>
        </w:tc>
        <w:tc>
          <w:tcPr>
            <w:tcW w:w="1131" w:type="dxa"/>
            <w:tcBorders>
              <w:top w:val="single" w:sz="18" w:space="0" w:color="C0C0C0"/>
              <w:left w:val="single" w:sz="18" w:space="0" w:color="C0C0C0"/>
              <w:bottom w:val="single" w:sz="18" w:space="0" w:color="808080" w:themeColor="background1" w:themeShade="80"/>
              <w:right w:val="single" w:sz="18" w:space="0" w:color="C0C0C0"/>
            </w:tcBorders>
            <w:shd w:val="clear" w:color="auto" w:fill="A64D2C"/>
            <w:vAlign w:val="center"/>
          </w:tcPr>
          <w:p w14:paraId="5B3AC545" w14:textId="77777777" w:rsidR="00DF019A" w:rsidRPr="008E7494" w:rsidRDefault="00DF019A" w:rsidP="00066DE4">
            <w:pPr>
              <w:spacing w:after="0"/>
              <w:jc w:val="center"/>
              <w:rPr>
                <w:rFonts w:cs="Arial"/>
                <w:sz w:val="16"/>
                <w:szCs w:val="16"/>
              </w:rPr>
            </w:pPr>
            <w:r>
              <w:rPr>
                <w:rFonts w:cs="Arial"/>
                <w:sz w:val="16"/>
                <w:szCs w:val="16"/>
              </w:rPr>
              <w:t>1</w:t>
            </w:r>
          </w:p>
        </w:tc>
        <w:tc>
          <w:tcPr>
            <w:tcW w:w="1704" w:type="dxa"/>
            <w:tcBorders>
              <w:top w:val="single" w:sz="18" w:space="0" w:color="BFBFBF" w:themeColor="background1" w:themeShade="BF"/>
              <w:left w:val="single" w:sz="18" w:space="0" w:color="C0C0C0"/>
              <w:bottom w:val="single" w:sz="18" w:space="0" w:color="FFFFFF"/>
              <w:right w:val="single" w:sz="18" w:space="0" w:color="808080"/>
            </w:tcBorders>
            <w:vAlign w:val="center"/>
          </w:tcPr>
          <w:p w14:paraId="78AEDB14" w14:textId="77777777" w:rsidR="00DF019A" w:rsidRPr="008E7494" w:rsidRDefault="00DF019A" w:rsidP="00066DE4">
            <w:pPr>
              <w:spacing w:after="0"/>
              <w:jc w:val="center"/>
              <w:rPr>
                <w:rFonts w:cs="Arial"/>
                <w:bCs/>
                <w:sz w:val="16"/>
                <w:szCs w:val="16"/>
              </w:rPr>
            </w:pPr>
          </w:p>
        </w:tc>
        <w:tc>
          <w:tcPr>
            <w:tcW w:w="2806" w:type="dxa"/>
            <w:tcBorders>
              <w:top w:val="single" w:sz="18" w:space="0" w:color="BFBFBF" w:themeColor="background1" w:themeShade="BF"/>
              <w:left w:val="single" w:sz="18" w:space="0" w:color="808080"/>
              <w:bottom w:val="single" w:sz="18" w:space="0" w:color="FFFFFF"/>
              <w:right w:val="single" w:sz="18" w:space="0" w:color="808080"/>
            </w:tcBorders>
            <w:vAlign w:val="center"/>
          </w:tcPr>
          <w:p w14:paraId="6717877F" w14:textId="77777777" w:rsidR="00DF019A" w:rsidRPr="008E7494" w:rsidRDefault="00DF019A" w:rsidP="00066DE4">
            <w:pPr>
              <w:spacing w:after="0"/>
              <w:jc w:val="center"/>
              <w:rPr>
                <w:rFonts w:cs="Arial"/>
                <w:sz w:val="16"/>
                <w:szCs w:val="16"/>
              </w:rPr>
            </w:pPr>
          </w:p>
        </w:tc>
      </w:tr>
      <w:tr w:rsidR="00DF019A" w:rsidRPr="008E7494" w14:paraId="5C3EA8A7" w14:textId="77777777" w:rsidTr="00066DE4">
        <w:trPr>
          <w:trHeight w:hRule="exact" w:val="284"/>
          <w:jc w:val="center"/>
        </w:trPr>
        <w:tc>
          <w:tcPr>
            <w:tcW w:w="1730" w:type="dxa"/>
            <w:vMerge w:val="restart"/>
            <w:tcBorders>
              <w:top w:val="single" w:sz="18" w:space="0" w:color="808080" w:themeColor="background1" w:themeShade="80"/>
              <w:left w:val="single" w:sz="18" w:space="0" w:color="808080"/>
              <w:right w:val="single" w:sz="18" w:space="0" w:color="C0C0C0"/>
            </w:tcBorders>
            <w:vAlign w:val="center"/>
          </w:tcPr>
          <w:p w14:paraId="3F7B4901" w14:textId="77777777" w:rsidR="00DF019A" w:rsidRPr="008E7494" w:rsidRDefault="00DF019A" w:rsidP="00066DE4">
            <w:pPr>
              <w:spacing w:after="0"/>
              <w:jc w:val="center"/>
              <w:rPr>
                <w:rFonts w:cs="Arial"/>
                <w:sz w:val="16"/>
                <w:szCs w:val="16"/>
              </w:rPr>
            </w:pPr>
            <w:r>
              <w:rPr>
                <w:rFonts w:cs="Arial"/>
                <w:sz w:val="16"/>
                <w:szCs w:val="16"/>
              </w:rPr>
              <w:t>5</w:t>
            </w:r>
            <w:r w:rsidRPr="008E7494">
              <w:rPr>
                <w:rFonts w:cs="Arial"/>
                <w:sz w:val="16"/>
                <w:szCs w:val="16"/>
              </w:rPr>
              <w:t xml:space="preserve"> November</w:t>
            </w:r>
          </w:p>
        </w:tc>
        <w:tc>
          <w:tcPr>
            <w:tcW w:w="1418" w:type="dxa"/>
            <w:vMerge w:val="restart"/>
            <w:tcBorders>
              <w:top w:val="single" w:sz="18" w:space="0" w:color="808080" w:themeColor="background1" w:themeShade="80"/>
              <w:left w:val="single" w:sz="18" w:space="0" w:color="C0C0C0"/>
              <w:right w:val="single" w:sz="18" w:space="0" w:color="C0C0C0"/>
            </w:tcBorders>
            <w:vAlign w:val="center"/>
          </w:tcPr>
          <w:p w14:paraId="77AC74DD" w14:textId="77777777" w:rsidR="00DF019A" w:rsidRPr="008E7494" w:rsidRDefault="00DF019A" w:rsidP="00066DE4">
            <w:pPr>
              <w:spacing w:after="0"/>
              <w:jc w:val="center"/>
              <w:rPr>
                <w:rFonts w:cs="Arial"/>
                <w:color w:val="000000"/>
                <w:sz w:val="16"/>
                <w:szCs w:val="16"/>
              </w:rPr>
            </w:pPr>
          </w:p>
        </w:tc>
        <w:tc>
          <w:tcPr>
            <w:tcW w:w="1275" w:type="dxa"/>
            <w:vMerge w:val="restart"/>
            <w:tcBorders>
              <w:top w:val="single" w:sz="18" w:space="0" w:color="808080" w:themeColor="background1" w:themeShade="80"/>
              <w:left w:val="single" w:sz="18" w:space="0" w:color="C0C0C0"/>
              <w:right w:val="single" w:sz="18" w:space="0" w:color="C0C0C0"/>
            </w:tcBorders>
            <w:shd w:val="clear" w:color="auto" w:fill="A972A9"/>
            <w:vAlign w:val="center"/>
          </w:tcPr>
          <w:p w14:paraId="2E0C49C2" w14:textId="77777777" w:rsidR="00DF019A" w:rsidRPr="008E7494" w:rsidRDefault="00DF019A" w:rsidP="00066DE4">
            <w:pPr>
              <w:spacing w:after="0"/>
              <w:jc w:val="center"/>
              <w:rPr>
                <w:rFonts w:cs="Arial"/>
                <w:color w:val="000000"/>
                <w:sz w:val="16"/>
                <w:szCs w:val="16"/>
              </w:rPr>
            </w:pPr>
            <w:r>
              <w:rPr>
                <w:rFonts w:cs="Arial"/>
                <w:color w:val="000000"/>
                <w:sz w:val="16"/>
                <w:szCs w:val="16"/>
              </w:rPr>
              <w:t>6</w:t>
            </w:r>
          </w:p>
        </w:tc>
        <w:tc>
          <w:tcPr>
            <w:tcW w:w="1418" w:type="dxa"/>
            <w:vMerge w:val="restart"/>
            <w:tcBorders>
              <w:top w:val="single" w:sz="18" w:space="0" w:color="808080" w:themeColor="background1" w:themeShade="80"/>
              <w:left w:val="single" w:sz="18" w:space="0" w:color="C0C0C0"/>
              <w:right w:val="single" w:sz="18" w:space="0" w:color="C0C0C0"/>
            </w:tcBorders>
            <w:shd w:val="clear" w:color="auto" w:fill="A972A9"/>
            <w:vAlign w:val="center"/>
          </w:tcPr>
          <w:p w14:paraId="28765A8A" w14:textId="77777777" w:rsidR="00DF019A" w:rsidRPr="008E7494" w:rsidRDefault="00DF019A" w:rsidP="00066DE4">
            <w:pPr>
              <w:spacing w:after="0"/>
              <w:jc w:val="center"/>
              <w:rPr>
                <w:rFonts w:cs="Arial"/>
                <w:color w:val="000000"/>
                <w:sz w:val="16"/>
                <w:szCs w:val="16"/>
              </w:rPr>
            </w:pPr>
            <w:r>
              <w:rPr>
                <w:rFonts w:cs="Arial"/>
                <w:color w:val="000000"/>
                <w:sz w:val="16"/>
                <w:szCs w:val="16"/>
              </w:rPr>
              <w:t>7</w:t>
            </w:r>
          </w:p>
        </w:tc>
        <w:tc>
          <w:tcPr>
            <w:tcW w:w="1131" w:type="dxa"/>
            <w:tcBorders>
              <w:top w:val="single" w:sz="18" w:space="0" w:color="808080" w:themeColor="background1" w:themeShade="80"/>
              <w:left w:val="single" w:sz="18" w:space="0" w:color="C0C0C0"/>
              <w:bottom w:val="nil"/>
              <w:right w:val="single" w:sz="18" w:space="0" w:color="C0C0C0"/>
            </w:tcBorders>
            <w:shd w:val="clear" w:color="auto" w:fill="A972A9"/>
            <w:vAlign w:val="center"/>
          </w:tcPr>
          <w:p w14:paraId="5F7C2969" w14:textId="77777777" w:rsidR="00DF019A" w:rsidRPr="008E7494" w:rsidRDefault="00DF019A" w:rsidP="00066DE4">
            <w:pPr>
              <w:spacing w:after="0"/>
              <w:jc w:val="center"/>
              <w:rPr>
                <w:rFonts w:cs="Arial"/>
                <w:sz w:val="16"/>
                <w:szCs w:val="16"/>
              </w:rPr>
            </w:pPr>
            <w:r>
              <w:rPr>
                <w:rFonts w:cs="Arial"/>
                <w:sz w:val="16"/>
                <w:szCs w:val="16"/>
              </w:rPr>
              <w:t>8</w:t>
            </w:r>
          </w:p>
        </w:tc>
        <w:tc>
          <w:tcPr>
            <w:tcW w:w="1704" w:type="dxa"/>
            <w:vMerge w:val="restart"/>
            <w:tcBorders>
              <w:top w:val="single" w:sz="18" w:space="0" w:color="808080" w:themeColor="background1" w:themeShade="80"/>
              <w:left w:val="single" w:sz="18" w:space="0" w:color="C0C0C0"/>
              <w:right w:val="single" w:sz="18" w:space="0" w:color="808080"/>
            </w:tcBorders>
            <w:vAlign w:val="center"/>
          </w:tcPr>
          <w:p w14:paraId="394D93B6" w14:textId="77777777" w:rsidR="00DF019A" w:rsidRPr="008E7494" w:rsidRDefault="00DF019A" w:rsidP="00066DE4">
            <w:pPr>
              <w:spacing w:after="0"/>
              <w:jc w:val="center"/>
              <w:rPr>
                <w:rFonts w:cs="Arial"/>
                <w:bCs/>
                <w:sz w:val="16"/>
                <w:szCs w:val="16"/>
              </w:rPr>
            </w:pPr>
          </w:p>
        </w:tc>
        <w:tc>
          <w:tcPr>
            <w:tcW w:w="2806" w:type="dxa"/>
            <w:vMerge w:val="restart"/>
            <w:tcBorders>
              <w:top w:val="single" w:sz="18" w:space="0" w:color="808080" w:themeColor="background1" w:themeShade="80"/>
              <w:left w:val="single" w:sz="18" w:space="0" w:color="808080"/>
              <w:right w:val="single" w:sz="18" w:space="0" w:color="808080"/>
            </w:tcBorders>
            <w:vAlign w:val="center"/>
          </w:tcPr>
          <w:p w14:paraId="70287C8A" w14:textId="77777777" w:rsidR="00DF019A" w:rsidRPr="008E7494" w:rsidRDefault="00DF019A" w:rsidP="00066DE4">
            <w:pPr>
              <w:spacing w:after="0"/>
              <w:jc w:val="center"/>
              <w:rPr>
                <w:rFonts w:cs="Arial"/>
                <w:sz w:val="16"/>
                <w:szCs w:val="16"/>
              </w:rPr>
            </w:pPr>
          </w:p>
        </w:tc>
      </w:tr>
      <w:tr w:rsidR="00DF019A" w:rsidRPr="008E7494" w14:paraId="76D4DEF5" w14:textId="77777777" w:rsidTr="00066DE4">
        <w:trPr>
          <w:trHeight w:hRule="exact" w:val="284"/>
          <w:jc w:val="center"/>
        </w:trPr>
        <w:tc>
          <w:tcPr>
            <w:tcW w:w="1730" w:type="dxa"/>
            <w:vMerge/>
            <w:tcBorders>
              <w:left w:val="single" w:sz="18" w:space="0" w:color="808080"/>
              <w:right w:val="single" w:sz="18" w:space="0" w:color="C0C0C0"/>
            </w:tcBorders>
            <w:vAlign w:val="center"/>
          </w:tcPr>
          <w:p w14:paraId="6AD8E582" w14:textId="77777777" w:rsidR="00DF019A" w:rsidRDefault="00DF019A" w:rsidP="00066DE4">
            <w:pPr>
              <w:spacing w:after="0"/>
              <w:jc w:val="center"/>
              <w:rPr>
                <w:rFonts w:cs="Arial"/>
                <w:sz w:val="16"/>
                <w:szCs w:val="16"/>
              </w:rPr>
            </w:pPr>
          </w:p>
        </w:tc>
        <w:tc>
          <w:tcPr>
            <w:tcW w:w="1418" w:type="dxa"/>
            <w:vMerge/>
            <w:tcBorders>
              <w:left w:val="single" w:sz="18" w:space="0" w:color="C0C0C0"/>
              <w:right w:val="single" w:sz="18" w:space="0" w:color="C0C0C0"/>
            </w:tcBorders>
            <w:vAlign w:val="center"/>
          </w:tcPr>
          <w:p w14:paraId="1DE99A13" w14:textId="77777777" w:rsidR="00DF019A" w:rsidRPr="008E7494" w:rsidRDefault="00DF019A" w:rsidP="00066DE4">
            <w:pPr>
              <w:spacing w:after="0"/>
              <w:jc w:val="center"/>
              <w:rPr>
                <w:rFonts w:cs="Arial"/>
                <w:color w:val="000000"/>
                <w:sz w:val="16"/>
                <w:szCs w:val="16"/>
              </w:rPr>
            </w:pPr>
          </w:p>
        </w:tc>
        <w:tc>
          <w:tcPr>
            <w:tcW w:w="1275" w:type="dxa"/>
            <w:vMerge/>
            <w:tcBorders>
              <w:left w:val="single" w:sz="18" w:space="0" w:color="C0C0C0"/>
              <w:bottom w:val="single" w:sz="18" w:space="0" w:color="C0C0C0"/>
              <w:right w:val="single" w:sz="18" w:space="0" w:color="C0C0C0"/>
            </w:tcBorders>
            <w:shd w:val="clear" w:color="auto" w:fill="A972A9"/>
            <w:vAlign w:val="center"/>
          </w:tcPr>
          <w:p w14:paraId="25C88978" w14:textId="77777777" w:rsidR="00DF019A" w:rsidRDefault="00DF019A" w:rsidP="00066DE4">
            <w:pPr>
              <w:spacing w:after="0"/>
              <w:jc w:val="center"/>
              <w:rPr>
                <w:rFonts w:cs="Arial"/>
                <w:color w:val="000000"/>
                <w:sz w:val="16"/>
                <w:szCs w:val="16"/>
              </w:rPr>
            </w:pPr>
          </w:p>
        </w:tc>
        <w:tc>
          <w:tcPr>
            <w:tcW w:w="1418" w:type="dxa"/>
            <w:vMerge/>
            <w:tcBorders>
              <w:left w:val="single" w:sz="18" w:space="0" w:color="C0C0C0"/>
              <w:bottom w:val="single" w:sz="18" w:space="0" w:color="C0C0C0"/>
              <w:right w:val="single" w:sz="18" w:space="0" w:color="C0C0C0"/>
            </w:tcBorders>
            <w:shd w:val="clear" w:color="auto" w:fill="A972A9"/>
            <w:vAlign w:val="center"/>
          </w:tcPr>
          <w:p w14:paraId="194E8DC6" w14:textId="77777777" w:rsidR="00DF019A" w:rsidRDefault="00DF019A" w:rsidP="00066DE4">
            <w:pPr>
              <w:spacing w:after="0"/>
              <w:jc w:val="center"/>
              <w:rPr>
                <w:rFonts w:cs="Arial"/>
                <w:color w:val="000000"/>
                <w:sz w:val="16"/>
                <w:szCs w:val="16"/>
              </w:rPr>
            </w:pPr>
          </w:p>
        </w:tc>
        <w:tc>
          <w:tcPr>
            <w:tcW w:w="1131" w:type="dxa"/>
            <w:tcBorders>
              <w:top w:val="nil"/>
              <w:left w:val="single" w:sz="18" w:space="0" w:color="C0C0C0"/>
              <w:bottom w:val="single" w:sz="18" w:space="0" w:color="C0C0C0"/>
              <w:right w:val="single" w:sz="18" w:space="0" w:color="C0C0C0"/>
            </w:tcBorders>
            <w:shd w:val="clear" w:color="auto" w:fill="768968"/>
            <w:vAlign w:val="center"/>
          </w:tcPr>
          <w:p w14:paraId="75A19BD9" w14:textId="77777777" w:rsidR="00DF019A" w:rsidRDefault="00DF019A" w:rsidP="00066DE4">
            <w:pPr>
              <w:spacing w:after="0"/>
              <w:jc w:val="center"/>
              <w:rPr>
                <w:rFonts w:cs="Arial"/>
                <w:sz w:val="16"/>
                <w:szCs w:val="16"/>
              </w:rPr>
            </w:pPr>
            <w:r>
              <w:rPr>
                <w:rFonts w:cs="Arial"/>
                <w:sz w:val="16"/>
                <w:szCs w:val="16"/>
              </w:rPr>
              <w:t>8</w:t>
            </w:r>
          </w:p>
        </w:tc>
        <w:tc>
          <w:tcPr>
            <w:tcW w:w="1704" w:type="dxa"/>
            <w:vMerge/>
            <w:tcBorders>
              <w:left w:val="single" w:sz="18" w:space="0" w:color="C0C0C0"/>
              <w:right w:val="single" w:sz="18" w:space="0" w:color="808080"/>
            </w:tcBorders>
            <w:vAlign w:val="center"/>
          </w:tcPr>
          <w:p w14:paraId="53E4D981" w14:textId="77777777" w:rsidR="00DF019A" w:rsidRPr="008E7494" w:rsidRDefault="00DF019A" w:rsidP="00066DE4">
            <w:pPr>
              <w:spacing w:after="0"/>
              <w:jc w:val="center"/>
              <w:rPr>
                <w:rFonts w:cs="Arial"/>
                <w:bCs/>
                <w:sz w:val="16"/>
                <w:szCs w:val="16"/>
              </w:rPr>
            </w:pPr>
          </w:p>
        </w:tc>
        <w:tc>
          <w:tcPr>
            <w:tcW w:w="2806" w:type="dxa"/>
            <w:vMerge/>
            <w:tcBorders>
              <w:left w:val="single" w:sz="18" w:space="0" w:color="808080"/>
              <w:right w:val="single" w:sz="18" w:space="0" w:color="808080"/>
            </w:tcBorders>
            <w:vAlign w:val="center"/>
          </w:tcPr>
          <w:p w14:paraId="0D790581" w14:textId="77777777" w:rsidR="00DF019A" w:rsidRPr="008E7494" w:rsidRDefault="00DF019A" w:rsidP="00066DE4">
            <w:pPr>
              <w:spacing w:after="0"/>
              <w:jc w:val="center"/>
              <w:rPr>
                <w:rFonts w:cs="Arial"/>
                <w:sz w:val="16"/>
                <w:szCs w:val="16"/>
              </w:rPr>
            </w:pPr>
          </w:p>
        </w:tc>
      </w:tr>
      <w:tr w:rsidR="00DF019A" w:rsidRPr="008E7494" w14:paraId="77D3EF21" w14:textId="77777777" w:rsidTr="00066DE4">
        <w:trPr>
          <w:trHeight w:val="397"/>
          <w:jc w:val="center"/>
        </w:trPr>
        <w:tc>
          <w:tcPr>
            <w:tcW w:w="1730" w:type="dxa"/>
            <w:tcBorders>
              <w:top w:val="single" w:sz="18" w:space="0" w:color="BFBFBF"/>
              <w:left w:val="single" w:sz="18" w:space="0" w:color="808080"/>
              <w:right w:val="single" w:sz="18" w:space="0" w:color="C0C0C0"/>
            </w:tcBorders>
            <w:vAlign w:val="center"/>
          </w:tcPr>
          <w:p w14:paraId="5F7A4694" w14:textId="77777777" w:rsidR="00DF019A" w:rsidRPr="008E7494" w:rsidRDefault="00DF019A" w:rsidP="00066DE4">
            <w:pPr>
              <w:spacing w:after="0"/>
              <w:jc w:val="center"/>
              <w:rPr>
                <w:rFonts w:cs="Arial"/>
                <w:sz w:val="16"/>
                <w:szCs w:val="16"/>
              </w:rPr>
            </w:pPr>
            <w:r w:rsidRPr="008E7494">
              <w:rPr>
                <w:rFonts w:cs="Arial"/>
                <w:sz w:val="16"/>
                <w:szCs w:val="16"/>
              </w:rPr>
              <w:t>1</w:t>
            </w:r>
            <w:r>
              <w:rPr>
                <w:rFonts w:cs="Arial"/>
                <w:sz w:val="16"/>
                <w:szCs w:val="16"/>
              </w:rPr>
              <w:t>2</w:t>
            </w:r>
            <w:r w:rsidRPr="008E7494">
              <w:rPr>
                <w:rFonts w:cs="Arial"/>
                <w:sz w:val="16"/>
                <w:szCs w:val="16"/>
              </w:rPr>
              <w:t xml:space="preserve"> November</w:t>
            </w:r>
          </w:p>
        </w:tc>
        <w:tc>
          <w:tcPr>
            <w:tcW w:w="1418" w:type="dxa"/>
            <w:tcBorders>
              <w:top w:val="single" w:sz="18" w:space="0" w:color="BFBFBF"/>
              <w:left w:val="single" w:sz="18" w:space="0" w:color="C0C0C0"/>
              <w:right w:val="single" w:sz="18" w:space="0" w:color="C0C0C0"/>
            </w:tcBorders>
            <w:vAlign w:val="center"/>
          </w:tcPr>
          <w:p w14:paraId="70F2730E" w14:textId="77777777" w:rsidR="00DF019A" w:rsidRPr="008E7494" w:rsidRDefault="00DF019A" w:rsidP="00066DE4">
            <w:pPr>
              <w:spacing w:after="0"/>
              <w:jc w:val="center"/>
              <w:rPr>
                <w:rFonts w:cs="Arial"/>
                <w:color w:val="000000"/>
                <w:sz w:val="16"/>
                <w:szCs w:val="16"/>
              </w:rPr>
            </w:pPr>
          </w:p>
        </w:tc>
        <w:tc>
          <w:tcPr>
            <w:tcW w:w="1275" w:type="dxa"/>
            <w:tcBorders>
              <w:top w:val="single" w:sz="18" w:space="0" w:color="C0C0C0"/>
              <w:left w:val="single" w:sz="18" w:space="0" w:color="C0C0C0"/>
              <w:right w:val="single" w:sz="18" w:space="0" w:color="C0C0C0"/>
            </w:tcBorders>
            <w:shd w:val="clear" w:color="auto" w:fill="A64D2C"/>
            <w:vAlign w:val="center"/>
          </w:tcPr>
          <w:p w14:paraId="2034D161" w14:textId="77777777" w:rsidR="00DF019A" w:rsidRPr="008E7494" w:rsidRDefault="00DF019A" w:rsidP="00066DE4">
            <w:pPr>
              <w:spacing w:after="0"/>
              <w:jc w:val="center"/>
              <w:rPr>
                <w:rFonts w:cs="Arial"/>
                <w:color w:val="000000"/>
                <w:sz w:val="16"/>
                <w:szCs w:val="16"/>
              </w:rPr>
            </w:pPr>
            <w:r w:rsidRPr="008E7494">
              <w:rPr>
                <w:rFonts w:cs="Arial"/>
                <w:color w:val="000000"/>
                <w:sz w:val="16"/>
                <w:szCs w:val="16"/>
              </w:rPr>
              <w:t>1</w:t>
            </w:r>
            <w:r>
              <w:rPr>
                <w:rFonts w:cs="Arial"/>
                <w:color w:val="000000"/>
                <w:sz w:val="16"/>
                <w:szCs w:val="16"/>
              </w:rPr>
              <w:t>3</w:t>
            </w:r>
          </w:p>
        </w:tc>
        <w:tc>
          <w:tcPr>
            <w:tcW w:w="1418" w:type="dxa"/>
            <w:tcBorders>
              <w:top w:val="single" w:sz="18" w:space="0" w:color="C0C0C0"/>
              <w:left w:val="single" w:sz="18" w:space="0" w:color="C0C0C0"/>
              <w:right w:val="single" w:sz="18" w:space="0" w:color="C0C0C0"/>
            </w:tcBorders>
            <w:shd w:val="clear" w:color="auto" w:fill="A64D2C"/>
            <w:vAlign w:val="center"/>
          </w:tcPr>
          <w:p w14:paraId="2551424B" w14:textId="77777777" w:rsidR="00DF019A" w:rsidRPr="008E7494" w:rsidRDefault="00DF019A" w:rsidP="00066DE4">
            <w:pPr>
              <w:spacing w:after="0"/>
              <w:jc w:val="center"/>
              <w:rPr>
                <w:rFonts w:cs="Arial"/>
                <w:color w:val="000000"/>
                <w:sz w:val="16"/>
                <w:szCs w:val="16"/>
              </w:rPr>
            </w:pPr>
            <w:r>
              <w:rPr>
                <w:rFonts w:cs="Arial"/>
                <w:color w:val="000000"/>
                <w:sz w:val="16"/>
                <w:szCs w:val="16"/>
              </w:rPr>
              <w:t>14</w:t>
            </w:r>
          </w:p>
        </w:tc>
        <w:tc>
          <w:tcPr>
            <w:tcW w:w="1131" w:type="dxa"/>
            <w:tcBorders>
              <w:top w:val="single" w:sz="18" w:space="0" w:color="C0C0C0"/>
              <w:left w:val="single" w:sz="18" w:space="0" w:color="C0C0C0"/>
              <w:bottom w:val="single" w:sz="18" w:space="0" w:color="C0C0C0"/>
              <w:right w:val="single" w:sz="18" w:space="0" w:color="C0C0C0"/>
            </w:tcBorders>
            <w:shd w:val="clear" w:color="auto" w:fill="A64D2C"/>
            <w:vAlign w:val="center"/>
          </w:tcPr>
          <w:p w14:paraId="3968F8BC" w14:textId="77777777" w:rsidR="00DF019A" w:rsidRPr="008E7494" w:rsidRDefault="00DF019A" w:rsidP="00066DE4">
            <w:pPr>
              <w:spacing w:after="0"/>
              <w:jc w:val="center"/>
              <w:rPr>
                <w:rFonts w:cs="Arial"/>
                <w:color w:val="000000"/>
                <w:sz w:val="16"/>
                <w:szCs w:val="16"/>
              </w:rPr>
            </w:pPr>
            <w:r>
              <w:rPr>
                <w:rFonts w:cs="Arial"/>
                <w:color w:val="000000"/>
                <w:sz w:val="16"/>
                <w:szCs w:val="16"/>
              </w:rPr>
              <w:t>15</w:t>
            </w:r>
          </w:p>
        </w:tc>
        <w:tc>
          <w:tcPr>
            <w:tcW w:w="1704" w:type="dxa"/>
            <w:tcBorders>
              <w:top w:val="single" w:sz="18" w:space="0" w:color="BFBFBF"/>
              <w:left w:val="single" w:sz="18" w:space="0" w:color="C0C0C0"/>
              <w:right w:val="single" w:sz="18" w:space="0" w:color="808080"/>
            </w:tcBorders>
            <w:vAlign w:val="center"/>
          </w:tcPr>
          <w:p w14:paraId="0B1B14B3" w14:textId="77777777" w:rsidR="00DF019A" w:rsidRPr="008E7494" w:rsidRDefault="00DF019A" w:rsidP="00066DE4">
            <w:pPr>
              <w:spacing w:after="0"/>
              <w:jc w:val="center"/>
              <w:rPr>
                <w:rFonts w:cs="Arial"/>
                <w:bCs/>
                <w:sz w:val="16"/>
                <w:szCs w:val="16"/>
              </w:rPr>
            </w:pPr>
          </w:p>
        </w:tc>
        <w:tc>
          <w:tcPr>
            <w:tcW w:w="2806" w:type="dxa"/>
            <w:tcBorders>
              <w:top w:val="single" w:sz="18" w:space="0" w:color="BFBFBF"/>
              <w:left w:val="single" w:sz="18" w:space="0" w:color="808080"/>
              <w:right w:val="single" w:sz="18" w:space="0" w:color="808080"/>
            </w:tcBorders>
            <w:vAlign w:val="center"/>
          </w:tcPr>
          <w:p w14:paraId="28F5C6AF" w14:textId="77777777" w:rsidR="00DF019A" w:rsidRPr="008E7494" w:rsidRDefault="00DF019A" w:rsidP="00066DE4">
            <w:pPr>
              <w:spacing w:after="0"/>
              <w:jc w:val="center"/>
              <w:rPr>
                <w:rFonts w:cs="Arial"/>
                <w:sz w:val="16"/>
                <w:szCs w:val="16"/>
              </w:rPr>
            </w:pPr>
          </w:p>
        </w:tc>
      </w:tr>
      <w:tr w:rsidR="00DF019A" w:rsidRPr="008E7494" w14:paraId="4A4B4077" w14:textId="77777777" w:rsidTr="00066DE4">
        <w:trPr>
          <w:trHeight w:hRule="exact" w:val="284"/>
          <w:jc w:val="center"/>
        </w:trPr>
        <w:tc>
          <w:tcPr>
            <w:tcW w:w="1730" w:type="dxa"/>
            <w:vMerge w:val="restart"/>
            <w:tcBorders>
              <w:top w:val="single" w:sz="18" w:space="0" w:color="BFBFBF"/>
              <w:left w:val="single" w:sz="18" w:space="0" w:color="808080"/>
              <w:right w:val="single" w:sz="18" w:space="0" w:color="C0C0C0"/>
            </w:tcBorders>
            <w:vAlign w:val="center"/>
          </w:tcPr>
          <w:p w14:paraId="1889B0BD" w14:textId="77777777" w:rsidR="00DF019A" w:rsidRPr="008E7494" w:rsidRDefault="00DF019A" w:rsidP="00066DE4">
            <w:pPr>
              <w:spacing w:after="0"/>
              <w:jc w:val="center"/>
              <w:rPr>
                <w:rFonts w:cs="Arial"/>
                <w:sz w:val="16"/>
                <w:szCs w:val="16"/>
              </w:rPr>
            </w:pPr>
            <w:r>
              <w:rPr>
                <w:rFonts w:cs="Arial"/>
                <w:sz w:val="16"/>
                <w:szCs w:val="16"/>
              </w:rPr>
              <w:t>19</w:t>
            </w:r>
            <w:r w:rsidRPr="008E7494">
              <w:rPr>
                <w:rFonts w:cs="Arial"/>
                <w:sz w:val="16"/>
                <w:szCs w:val="16"/>
              </w:rPr>
              <w:t xml:space="preserve"> November</w:t>
            </w:r>
          </w:p>
        </w:tc>
        <w:tc>
          <w:tcPr>
            <w:tcW w:w="1418" w:type="dxa"/>
            <w:vMerge w:val="restart"/>
            <w:tcBorders>
              <w:top w:val="single" w:sz="18" w:space="0" w:color="BFBFBF"/>
              <w:left w:val="single" w:sz="18" w:space="0" w:color="C0C0C0"/>
              <w:bottom w:val="single" w:sz="18" w:space="0" w:color="BFBFBF" w:themeColor="background1" w:themeShade="BF"/>
              <w:right w:val="single" w:sz="18" w:space="0" w:color="C0C0C0"/>
            </w:tcBorders>
            <w:vAlign w:val="center"/>
          </w:tcPr>
          <w:p w14:paraId="754DFDED" w14:textId="77777777" w:rsidR="00DF019A" w:rsidRPr="008E7494" w:rsidRDefault="00DF019A" w:rsidP="00066DE4">
            <w:pPr>
              <w:spacing w:after="0"/>
              <w:jc w:val="center"/>
              <w:rPr>
                <w:rFonts w:cs="Arial"/>
                <w:color w:val="000000"/>
                <w:sz w:val="16"/>
                <w:szCs w:val="16"/>
              </w:rPr>
            </w:pPr>
          </w:p>
        </w:tc>
        <w:tc>
          <w:tcPr>
            <w:tcW w:w="1275" w:type="dxa"/>
            <w:tcBorders>
              <w:top w:val="single" w:sz="18" w:space="0" w:color="C0C0C0"/>
              <w:left w:val="single" w:sz="18" w:space="0" w:color="C0C0C0"/>
              <w:bottom w:val="nil"/>
              <w:right w:val="single" w:sz="18" w:space="0" w:color="C0C0C0"/>
            </w:tcBorders>
            <w:shd w:val="clear" w:color="auto" w:fill="A972A9"/>
            <w:vAlign w:val="center"/>
          </w:tcPr>
          <w:p w14:paraId="4C1360F0" w14:textId="77777777" w:rsidR="00DF019A" w:rsidRPr="008E7494" w:rsidRDefault="00DF019A" w:rsidP="00066DE4">
            <w:pPr>
              <w:spacing w:after="0"/>
              <w:jc w:val="center"/>
              <w:rPr>
                <w:rFonts w:cs="Arial"/>
                <w:color w:val="000000"/>
                <w:sz w:val="16"/>
                <w:szCs w:val="16"/>
              </w:rPr>
            </w:pPr>
            <w:r w:rsidRPr="008E7494">
              <w:rPr>
                <w:rFonts w:cs="Arial"/>
                <w:color w:val="000000"/>
                <w:sz w:val="16"/>
                <w:szCs w:val="16"/>
              </w:rPr>
              <w:t>2</w:t>
            </w:r>
            <w:r>
              <w:rPr>
                <w:rFonts w:cs="Arial"/>
                <w:color w:val="000000"/>
                <w:sz w:val="16"/>
                <w:szCs w:val="16"/>
              </w:rPr>
              <w:t>0</w:t>
            </w:r>
          </w:p>
        </w:tc>
        <w:tc>
          <w:tcPr>
            <w:tcW w:w="1418" w:type="dxa"/>
            <w:vMerge w:val="restart"/>
            <w:tcBorders>
              <w:top w:val="single" w:sz="18" w:space="0" w:color="C0C0C0"/>
              <w:left w:val="single" w:sz="18" w:space="0" w:color="C0C0C0"/>
              <w:bottom w:val="single" w:sz="18" w:space="0" w:color="C0C0C0"/>
              <w:right w:val="single" w:sz="18" w:space="0" w:color="C0C0C0"/>
            </w:tcBorders>
            <w:shd w:val="clear" w:color="auto" w:fill="A972A9"/>
            <w:vAlign w:val="center"/>
          </w:tcPr>
          <w:p w14:paraId="1E7AAA23" w14:textId="77777777" w:rsidR="00DF019A" w:rsidRPr="008E7494" w:rsidRDefault="00DF019A" w:rsidP="00066DE4">
            <w:pPr>
              <w:spacing w:after="0"/>
              <w:jc w:val="center"/>
              <w:rPr>
                <w:rFonts w:cs="Arial"/>
                <w:color w:val="000000"/>
                <w:sz w:val="16"/>
                <w:szCs w:val="16"/>
              </w:rPr>
            </w:pPr>
            <w:r w:rsidRPr="008E7494">
              <w:rPr>
                <w:rFonts w:cs="Arial"/>
                <w:color w:val="000000"/>
                <w:sz w:val="16"/>
                <w:szCs w:val="16"/>
              </w:rPr>
              <w:t>2</w:t>
            </w:r>
            <w:r>
              <w:rPr>
                <w:rFonts w:cs="Arial"/>
                <w:color w:val="000000"/>
                <w:sz w:val="16"/>
                <w:szCs w:val="16"/>
              </w:rPr>
              <w:t>1</w:t>
            </w:r>
          </w:p>
        </w:tc>
        <w:tc>
          <w:tcPr>
            <w:tcW w:w="1131" w:type="dxa"/>
            <w:vMerge w:val="restart"/>
            <w:tcBorders>
              <w:top w:val="single" w:sz="18" w:space="0" w:color="C0C0C0"/>
              <w:left w:val="single" w:sz="18" w:space="0" w:color="C0C0C0"/>
              <w:bottom w:val="single" w:sz="18" w:space="0" w:color="C0C0C0"/>
              <w:right w:val="single" w:sz="18" w:space="0" w:color="C0C0C0"/>
            </w:tcBorders>
            <w:shd w:val="clear" w:color="auto" w:fill="768968"/>
            <w:vAlign w:val="center"/>
          </w:tcPr>
          <w:p w14:paraId="62DDB71C" w14:textId="77777777" w:rsidR="00DF019A" w:rsidRPr="008E7494" w:rsidRDefault="00DF019A" w:rsidP="00066DE4">
            <w:pPr>
              <w:spacing w:after="0"/>
              <w:jc w:val="center"/>
              <w:rPr>
                <w:rFonts w:cs="Arial"/>
                <w:color w:val="000000"/>
                <w:sz w:val="16"/>
                <w:szCs w:val="16"/>
              </w:rPr>
            </w:pPr>
            <w:r>
              <w:rPr>
                <w:rFonts w:cs="Arial"/>
                <w:color w:val="000000"/>
                <w:sz w:val="16"/>
                <w:szCs w:val="16"/>
              </w:rPr>
              <w:t>22</w:t>
            </w:r>
          </w:p>
        </w:tc>
        <w:tc>
          <w:tcPr>
            <w:tcW w:w="1704" w:type="dxa"/>
            <w:vMerge w:val="restart"/>
            <w:tcBorders>
              <w:top w:val="single" w:sz="18" w:space="0" w:color="BFBFBF"/>
              <w:left w:val="single" w:sz="18" w:space="0" w:color="C0C0C0"/>
              <w:right w:val="single" w:sz="18" w:space="0" w:color="808080"/>
            </w:tcBorders>
            <w:vAlign w:val="center"/>
          </w:tcPr>
          <w:p w14:paraId="6EC6A86D" w14:textId="77777777" w:rsidR="00DF019A" w:rsidRPr="008E7494" w:rsidRDefault="00DF019A" w:rsidP="00066DE4">
            <w:pPr>
              <w:spacing w:after="0"/>
              <w:jc w:val="center"/>
              <w:rPr>
                <w:rFonts w:cs="Arial"/>
                <w:bCs/>
                <w:sz w:val="16"/>
                <w:szCs w:val="16"/>
              </w:rPr>
            </w:pPr>
          </w:p>
        </w:tc>
        <w:tc>
          <w:tcPr>
            <w:tcW w:w="2806" w:type="dxa"/>
            <w:vMerge w:val="restart"/>
            <w:tcBorders>
              <w:top w:val="single" w:sz="18" w:space="0" w:color="BFBFBF"/>
              <w:left w:val="single" w:sz="18" w:space="0" w:color="808080"/>
              <w:right w:val="single" w:sz="18" w:space="0" w:color="808080"/>
            </w:tcBorders>
            <w:vAlign w:val="center"/>
          </w:tcPr>
          <w:p w14:paraId="56385615" w14:textId="77777777" w:rsidR="00DF019A" w:rsidRPr="008E7494" w:rsidRDefault="00DF019A" w:rsidP="00066DE4">
            <w:pPr>
              <w:spacing w:after="0"/>
              <w:jc w:val="center"/>
              <w:rPr>
                <w:rFonts w:cs="Arial"/>
                <w:color w:val="000000"/>
                <w:sz w:val="16"/>
                <w:szCs w:val="16"/>
              </w:rPr>
            </w:pPr>
          </w:p>
        </w:tc>
      </w:tr>
      <w:tr w:rsidR="00DF019A" w:rsidRPr="008E7494" w14:paraId="587874AD" w14:textId="77777777" w:rsidTr="00066DE4">
        <w:trPr>
          <w:trHeight w:hRule="exact" w:val="284"/>
          <w:jc w:val="center"/>
        </w:trPr>
        <w:tc>
          <w:tcPr>
            <w:tcW w:w="1730" w:type="dxa"/>
            <w:vMerge/>
            <w:tcBorders>
              <w:left w:val="single" w:sz="18" w:space="0" w:color="808080"/>
              <w:bottom w:val="single" w:sz="18" w:space="0" w:color="BFBFBF" w:themeColor="background1" w:themeShade="BF"/>
              <w:right w:val="single" w:sz="18" w:space="0" w:color="C0C0C0"/>
            </w:tcBorders>
            <w:vAlign w:val="center"/>
          </w:tcPr>
          <w:p w14:paraId="43F4F118" w14:textId="77777777" w:rsidR="00DF019A" w:rsidRPr="008E7494" w:rsidRDefault="00DF019A" w:rsidP="00066DE4">
            <w:pPr>
              <w:spacing w:after="0"/>
              <w:jc w:val="center"/>
              <w:rPr>
                <w:rFonts w:cs="Arial"/>
                <w:sz w:val="16"/>
                <w:szCs w:val="16"/>
              </w:rPr>
            </w:pPr>
          </w:p>
        </w:tc>
        <w:tc>
          <w:tcPr>
            <w:tcW w:w="1418" w:type="dxa"/>
            <w:vMerge/>
            <w:tcBorders>
              <w:left w:val="single" w:sz="18" w:space="0" w:color="C0C0C0"/>
              <w:bottom w:val="single" w:sz="18" w:space="0" w:color="BFBFBF" w:themeColor="background1" w:themeShade="BF"/>
              <w:right w:val="single" w:sz="18" w:space="0" w:color="C0C0C0"/>
            </w:tcBorders>
            <w:vAlign w:val="center"/>
          </w:tcPr>
          <w:p w14:paraId="26D1F3B9" w14:textId="77777777" w:rsidR="00DF019A" w:rsidRPr="008E7494" w:rsidRDefault="00DF019A" w:rsidP="00066DE4">
            <w:pPr>
              <w:spacing w:after="0"/>
              <w:jc w:val="center"/>
              <w:rPr>
                <w:rFonts w:cs="Arial"/>
                <w:color w:val="000000"/>
                <w:sz w:val="16"/>
                <w:szCs w:val="16"/>
              </w:rPr>
            </w:pPr>
          </w:p>
        </w:tc>
        <w:tc>
          <w:tcPr>
            <w:tcW w:w="1275" w:type="dxa"/>
            <w:tcBorders>
              <w:top w:val="nil"/>
              <w:left w:val="single" w:sz="18" w:space="0" w:color="C0C0C0"/>
              <w:bottom w:val="single" w:sz="18" w:space="0" w:color="C0C0C0"/>
              <w:right w:val="single" w:sz="18" w:space="0" w:color="C0C0C0"/>
            </w:tcBorders>
            <w:shd w:val="clear" w:color="auto" w:fill="DDB136"/>
            <w:vAlign w:val="center"/>
          </w:tcPr>
          <w:p w14:paraId="5F7FB70E" w14:textId="77777777" w:rsidR="00DF019A" w:rsidRPr="008E7494" w:rsidRDefault="00DF019A" w:rsidP="00066DE4">
            <w:pPr>
              <w:spacing w:after="0"/>
              <w:jc w:val="center"/>
              <w:rPr>
                <w:rFonts w:cs="Arial"/>
                <w:color w:val="000000"/>
                <w:sz w:val="16"/>
                <w:szCs w:val="16"/>
              </w:rPr>
            </w:pPr>
            <w:r w:rsidRPr="008E7494">
              <w:rPr>
                <w:rFonts w:cs="Arial"/>
                <w:color w:val="000000"/>
                <w:sz w:val="16"/>
                <w:szCs w:val="16"/>
              </w:rPr>
              <w:t>2</w:t>
            </w:r>
            <w:r>
              <w:rPr>
                <w:rFonts w:cs="Arial"/>
                <w:color w:val="000000"/>
                <w:sz w:val="16"/>
                <w:szCs w:val="16"/>
              </w:rPr>
              <w:t>0</w:t>
            </w:r>
          </w:p>
        </w:tc>
        <w:tc>
          <w:tcPr>
            <w:tcW w:w="1418" w:type="dxa"/>
            <w:vMerge/>
            <w:tcBorders>
              <w:top w:val="single" w:sz="18" w:space="0" w:color="C0C0C0"/>
              <w:left w:val="single" w:sz="18" w:space="0" w:color="C0C0C0"/>
              <w:bottom w:val="single" w:sz="18" w:space="0" w:color="C0C0C0"/>
              <w:right w:val="single" w:sz="18" w:space="0" w:color="C0C0C0"/>
            </w:tcBorders>
            <w:shd w:val="clear" w:color="auto" w:fill="A64D2C"/>
            <w:vAlign w:val="center"/>
          </w:tcPr>
          <w:p w14:paraId="419E6C6D" w14:textId="77777777" w:rsidR="00DF019A" w:rsidRPr="008E7494" w:rsidRDefault="00DF019A" w:rsidP="00066DE4">
            <w:pPr>
              <w:spacing w:after="0"/>
              <w:jc w:val="center"/>
              <w:rPr>
                <w:rFonts w:cs="Arial"/>
                <w:color w:val="000000"/>
                <w:sz w:val="16"/>
                <w:szCs w:val="16"/>
              </w:rPr>
            </w:pPr>
          </w:p>
        </w:tc>
        <w:tc>
          <w:tcPr>
            <w:tcW w:w="1131" w:type="dxa"/>
            <w:vMerge/>
            <w:tcBorders>
              <w:top w:val="single" w:sz="18" w:space="0" w:color="C0C0C0"/>
              <w:left w:val="single" w:sz="18" w:space="0" w:color="C0C0C0"/>
              <w:bottom w:val="single" w:sz="18" w:space="0" w:color="C0C0C0"/>
              <w:right w:val="single" w:sz="18" w:space="0" w:color="C0C0C0"/>
            </w:tcBorders>
            <w:shd w:val="clear" w:color="auto" w:fill="768968"/>
            <w:vAlign w:val="center"/>
          </w:tcPr>
          <w:p w14:paraId="75B2715A" w14:textId="77777777" w:rsidR="00DF019A" w:rsidRPr="008E7494" w:rsidRDefault="00DF019A" w:rsidP="00066DE4">
            <w:pPr>
              <w:spacing w:after="0"/>
              <w:jc w:val="center"/>
              <w:rPr>
                <w:rFonts w:cs="Arial"/>
                <w:color w:val="000000"/>
                <w:sz w:val="16"/>
                <w:szCs w:val="16"/>
              </w:rPr>
            </w:pPr>
          </w:p>
        </w:tc>
        <w:tc>
          <w:tcPr>
            <w:tcW w:w="1704" w:type="dxa"/>
            <w:vMerge/>
            <w:tcBorders>
              <w:left w:val="single" w:sz="18" w:space="0" w:color="C0C0C0"/>
              <w:bottom w:val="single" w:sz="18" w:space="0" w:color="BFBFBF" w:themeColor="background1" w:themeShade="BF"/>
              <w:right w:val="single" w:sz="18" w:space="0" w:color="808080"/>
            </w:tcBorders>
            <w:vAlign w:val="center"/>
          </w:tcPr>
          <w:p w14:paraId="59B38F24" w14:textId="77777777" w:rsidR="00DF019A" w:rsidRPr="008E7494" w:rsidRDefault="00DF019A" w:rsidP="00066DE4">
            <w:pPr>
              <w:spacing w:after="0"/>
              <w:jc w:val="center"/>
              <w:rPr>
                <w:rFonts w:cs="Arial"/>
                <w:bCs/>
                <w:sz w:val="16"/>
                <w:szCs w:val="16"/>
              </w:rPr>
            </w:pPr>
          </w:p>
        </w:tc>
        <w:tc>
          <w:tcPr>
            <w:tcW w:w="2806" w:type="dxa"/>
            <w:vMerge/>
            <w:tcBorders>
              <w:left w:val="single" w:sz="18" w:space="0" w:color="808080"/>
              <w:bottom w:val="single" w:sz="18" w:space="0" w:color="BFBFBF" w:themeColor="background1" w:themeShade="BF"/>
              <w:right w:val="single" w:sz="18" w:space="0" w:color="808080"/>
            </w:tcBorders>
            <w:vAlign w:val="center"/>
          </w:tcPr>
          <w:p w14:paraId="5887453F" w14:textId="77777777" w:rsidR="00DF019A" w:rsidRPr="008E7494" w:rsidRDefault="00DF019A" w:rsidP="00066DE4">
            <w:pPr>
              <w:spacing w:after="0"/>
              <w:jc w:val="center"/>
              <w:rPr>
                <w:rFonts w:cs="Arial"/>
                <w:color w:val="000000"/>
                <w:sz w:val="16"/>
                <w:szCs w:val="16"/>
              </w:rPr>
            </w:pPr>
          </w:p>
        </w:tc>
      </w:tr>
      <w:tr w:rsidR="00DF019A" w:rsidRPr="008E7494" w14:paraId="39A24F14" w14:textId="77777777" w:rsidTr="00066DE4">
        <w:trPr>
          <w:trHeight w:val="397"/>
          <w:jc w:val="center"/>
        </w:trPr>
        <w:tc>
          <w:tcPr>
            <w:tcW w:w="1730" w:type="dxa"/>
            <w:tcBorders>
              <w:top w:val="single" w:sz="18" w:space="0" w:color="BFBFBF" w:themeColor="background1" w:themeShade="BF"/>
              <w:left w:val="single" w:sz="18" w:space="0" w:color="808080"/>
              <w:right w:val="single" w:sz="18" w:space="0" w:color="C0C0C0"/>
            </w:tcBorders>
            <w:vAlign w:val="center"/>
          </w:tcPr>
          <w:p w14:paraId="2020F52E" w14:textId="77777777" w:rsidR="00DF019A" w:rsidRPr="008E7494" w:rsidRDefault="00DF019A" w:rsidP="00066DE4">
            <w:pPr>
              <w:spacing w:after="0"/>
              <w:jc w:val="center"/>
              <w:rPr>
                <w:rFonts w:cs="Arial"/>
                <w:sz w:val="16"/>
                <w:szCs w:val="16"/>
              </w:rPr>
            </w:pPr>
            <w:r w:rsidRPr="008E7494">
              <w:rPr>
                <w:rFonts w:cs="Arial"/>
                <w:sz w:val="16"/>
                <w:szCs w:val="16"/>
              </w:rPr>
              <w:t>2</w:t>
            </w:r>
            <w:r>
              <w:rPr>
                <w:rFonts w:cs="Arial"/>
                <w:sz w:val="16"/>
                <w:szCs w:val="16"/>
              </w:rPr>
              <w:t>6</w:t>
            </w:r>
            <w:r w:rsidRPr="008E7494">
              <w:rPr>
                <w:rFonts w:cs="Arial"/>
                <w:sz w:val="16"/>
                <w:szCs w:val="16"/>
              </w:rPr>
              <w:t xml:space="preserve"> November</w:t>
            </w:r>
          </w:p>
        </w:tc>
        <w:tc>
          <w:tcPr>
            <w:tcW w:w="1418" w:type="dxa"/>
            <w:tcBorders>
              <w:top w:val="single" w:sz="18" w:space="0" w:color="BFBFBF" w:themeColor="background1" w:themeShade="BF"/>
              <w:left w:val="single" w:sz="18" w:space="0" w:color="C0C0C0"/>
              <w:right w:val="single" w:sz="18" w:space="0" w:color="C0C0C0"/>
            </w:tcBorders>
            <w:vAlign w:val="center"/>
          </w:tcPr>
          <w:p w14:paraId="2B6AA181" w14:textId="77777777" w:rsidR="00DF019A" w:rsidRPr="008E7494" w:rsidRDefault="00DF019A" w:rsidP="00066DE4">
            <w:pPr>
              <w:spacing w:after="0"/>
              <w:jc w:val="center"/>
              <w:rPr>
                <w:rFonts w:cs="Arial"/>
                <w:color w:val="000000"/>
                <w:sz w:val="16"/>
                <w:szCs w:val="16"/>
              </w:rPr>
            </w:pPr>
          </w:p>
        </w:tc>
        <w:tc>
          <w:tcPr>
            <w:tcW w:w="1275" w:type="dxa"/>
            <w:tcBorders>
              <w:top w:val="single" w:sz="18" w:space="0" w:color="C0C0C0"/>
              <w:left w:val="single" w:sz="18" w:space="0" w:color="C0C0C0"/>
              <w:right w:val="single" w:sz="18" w:space="0" w:color="C0C0C0"/>
            </w:tcBorders>
            <w:shd w:val="clear" w:color="auto" w:fill="A64D2C"/>
            <w:vAlign w:val="center"/>
          </w:tcPr>
          <w:p w14:paraId="34C2A9C1" w14:textId="77777777" w:rsidR="00DF019A" w:rsidRPr="008E7494" w:rsidRDefault="00DF019A" w:rsidP="00066DE4">
            <w:pPr>
              <w:spacing w:after="0"/>
              <w:jc w:val="center"/>
              <w:rPr>
                <w:rFonts w:cs="Arial"/>
                <w:color w:val="000000"/>
                <w:sz w:val="16"/>
                <w:szCs w:val="16"/>
              </w:rPr>
            </w:pPr>
            <w:r w:rsidRPr="008E7494">
              <w:rPr>
                <w:rFonts w:cs="Arial"/>
                <w:color w:val="000000"/>
                <w:sz w:val="16"/>
                <w:szCs w:val="16"/>
              </w:rPr>
              <w:t>2</w:t>
            </w:r>
            <w:r>
              <w:rPr>
                <w:rFonts w:cs="Arial"/>
                <w:color w:val="000000"/>
                <w:sz w:val="16"/>
                <w:szCs w:val="16"/>
              </w:rPr>
              <w:t>7</w:t>
            </w:r>
          </w:p>
        </w:tc>
        <w:tc>
          <w:tcPr>
            <w:tcW w:w="1418" w:type="dxa"/>
            <w:tcBorders>
              <w:top w:val="single" w:sz="18" w:space="0" w:color="C0C0C0"/>
              <w:left w:val="single" w:sz="18" w:space="0" w:color="C0C0C0"/>
              <w:right w:val="single" w:sz="18" w:space="0" w:color="C0C0C0"/>
            </w:tcBorders>
            <w:shd w:val="clear" w:color="auto" w:fill="auto"/>
            <w:vAlign w:val="center"/>
          </w:tcPr>
          <w:p w14:paraId="2AF72D6D" w14:textId="77777777" w:rsidR="00DF019A" w:rsidRPr="008E7494" w:rsidRDefault="00DF019A" w:rsidP="00066DE4">
            <w:pPr>
              <w:spacing w:after="0"/>
              <w:jc w:val="center"/>
              <w:rPr>
                <w:rFonts w:cs="Arial"/>
                <w:sz w:val="16"/>
                <w:szCs w:val="16"/>
              </w:rPr>
            </w:pPr>
          </w:p>
        </w:tc>
        <w:tc>
          <w:tcPr>
            <w:tcW w:w="1131" w:type="dxa"/>
            <w:tcBorders>
              <w:top w:val="single" w:sz="18" w:space="0" w:color="C0C0C0"/>
              <w:left w:val="single" w:sz="18" w:space="0" w:color="C0C0C0"/>
              <w:bottom w:val="single" w:sz="18" w:space="0" w:color="808080" w:themeColor="background1" w:themeShade="80"/>
              <w:right w:val="single" w:sz="18" w:space="0" w:color="C0C0C0"/>
            </w:tcBorders>
            <w:shd w:val="clear" w:color="auto" w:fill="A64D2C"/>
            <w:vAlign w:val="center"/>
          </w:tcPr>
          <w:p w14:paraId="6796800B" w14:textId="77777777" w:rsidR="00DF019A" w:rsidRPr="008E7494" w:rsidRDefault="00DF019A" w:rsidP="00066DE4">
            <w:pPr>
              <w:spacing w:after="0"/>
              <w:jc w:val="center"/>
              <w:rPr>
                <w:rFonts w:cs="Arial"/>
                <w:sz w:val="16"/>
                <w:szCs w:val="16"/>
              </w:rPr>
            </w:pPr>
            <w:r>
              <w:rPr>
                <w:rFonts w:cs="Arial"/>
                <w:sz w:val="16"/>
                <w:szCs w:val="16"/>
              </w:rPr>
              <w:t>29</w:t>
            </w:r>
          </w:p>
        </w:tc>
        <w:tc>
          <w:tcPr>
            <w:tcW w:w="1704" w:type="dxa"/>
            <w:tcBorders>
              <w:top w:val="single" w:sz="18" w:space="0" w:color="BFBFBF" w:themeColor="background1" w:themeShade="BF"/>
              <w:left w:val="single" w:sz="18" w:space="0" w:color="C0C0C0"/>
              <w:right w:val="single" w:sz="18" w:space="0" w:color="808080"/>
            </w:tcBorders>
            <w:shd w:val="clear" w:color="auto" w:fill="A64D2C"/>
            <w:vAlign w:val="center"/>
          </w:tcPr>
          <w:p w14:paraId="13BB10D9" w14:textId="77777777" w:rsidR="00DF019A" w:rsidRPr="008E7494" w:rsidRDefault="00DF019A" w:rsidP="00066DE4">
            <w:pPr>
              <w:spacing w:after="0"/>
              <w:jc w:val="center"/>
              <w:rPr>
                <w:rFonts w:cs="Arial"/>
                <w:bCs/>
                <w:sz w:val="16"/>
                <w:szCs w:val="16"/>
              </w:rPr>
            </w:pPr>
            <w:r>
              <w:rPr>
                <w:rFonts w:cs="Arial"/>
                <w:bCs/>
                <w:sz w:val="16"/>
                <w:szCs w:val="16"/>
              </w:rPr>
              <w:t>30</w:t>
            </w:r>
          </w:p>
        </w:tc>
        <w:tc>
          <w:tcPr>
            <w:tcW w:w="2806" w:type="dxa"/>
            <w:tcBorders>
              <w:top w:val="single" w:sz="18" w:space="0" w:color="BFBFBF" w:themeColor="background1" w:themeShade="BF"/>
              <w:left w:val="single" w:sz="18" w:space="0" w:color="808080"/>
              <w:right w:val="single" w:sz="18" w:space="0" w:color="808080"/>
            </w:tcBorders>
            <w:vAlign w:val="center"/>
          </w:tcPr>
          <w:p w14:paraId="0A820910" w14:textId="77777777" w:rsidR="00DF019A" w:rsidRPr="008E7494" w:rsidRDefault="00DF019A" w:rsidP="00066DE4">
            <w:pPr>
              <w:spacing w:after="0"/>
              <w:jc w:val="center"/>
              <w:rPr>
                <w:rFonts w:cs="Arial"/>
                <w:color w:val="000000"/>
                <w:sz w:val="16"/>
                <w:szCs w:val="16"/>
              </w:rPr>
            </w:pPr>
          </w:p>
        </w:tc>
      </w:tr>
      <w:tr w:rsidR="00DF019A" w:rsidRPr="008E7494" w14:paraId="18CC07C0" w14:textId="77777777" w:rsidTr="00066DE4">
        <w:trPr>
          <w:trHeight w:hRule="exact" w:val="284"/>
          <w:jc w:val="center"/>
        </w:trPr>
        <w:tc>
          <w:tcPr>
            <w:tcW w:w="1730" w:type="dxa"/>
            <w:vMerge w:val="restart"/>
            <w:tcBorders>
              <w:top w:val="single" w:sz="18" w:space="0" w:color="808080"/>
              <w:left w:val="single" w:sz="18" w:space="0" w:color="808080"/>
              <w:right w:val="single" w:sz="18" w:space="0" w:color="C0C0C0"/>
            </w:tcBorders>
            <w:vAlign w:val="center"/>
          </w:tcPr>
          <w:p w14:paraId="22C088CF" w14:textId="77777777" w:rsidR="00DF019A" w:rsidRPr="008E7494" w:rsidRDefault="00DF019A" w:rsidP="00066DE4">
            <w:pPr>
              <w:spacing w:after="0"/>
              <w:jc w:val="center"/>
              <w:rPr>
                <w:rFonts w:cs="Arial"/>
                <w:sz w:val="16"/>
                <w:szCs w:val="16"/>
              </w:rPr>
            </w:pPr>
            <w:r>
              <w:rPr>
                <w:rFonts w:cs="Arial"/>
                <w:sz w:val="16"/>
                <w:szCs w:val="16"/>
              </w:rPr>
              <w:t>3</w:t>
            </w:r>
            <w:r w:rsidRPr="008E7494">
              <w:rPr>
                <w:rFonts w:cs="Arial"/>
                <w:sz w:val="16"/>
                <w:szCs w:val="16"/>
              </w:rPr>
              <w:t xml:space="preserve"> December</w:t>
            </w:r>
          </w:p>
        </w:tc>
        <w:tc>
          <w:tcPr>
            <w:tcW w:w="1418" w:type="dxa"/>
            <w:vMerge w:val="restart"/>
            <w:tcBorders>
              <w:top w:val="single" w:sz="18" w:space="0" w:color="808080"/>
              <w:left w:val="single" w:sz="18" w:space="0" w:color="C0C0C0"/>
              <w:right w:val="single" w:sz="18" w:space="0" w:color="C0C0C0"/>
            </w:tcBorders>
            <w:shd w:val="clear" w:color="auto" w:fill="auto"/>
            <w:vAlign w:val="center"/>
          </w:tcPr>
          <w:p w14:paraId="4F4D3F2C" w14:textId="77777777" w:rsidR="00DF019A" w:rsidRPr="008E7494" w:rsidRDefault="00DF019A" w:rsidP="00066DE4">
            <w:pPr>
              <w:spacing w:after="0"/>
              <w:jc w:val="center"/>
              <w:rPr>
                <w:rFonts w:cs="Arial"/>
                <w:color w:val="000000"/>
                <w:sz w:val="16"/>
                <w:szCs w:val="16"/>
              </w:rPr>
            </w:pPr>
          </w:p>
        </w:tc>
        <w:tc>
          <w:tcPr>
            <w:tcW w:w="1275" w:type="dxa"/>
            <w:tcBorders>
              <w:top w:val="single" w:sz="18" w:space="0" w:color="808080" w:themeColor="background1" w:themeShade="80"/>
              <w:left w:val="single" w:sz="18" w:space="0" w:color="C0C0C0"/>
              <w:bottom w:val="nil"/>
              <w:right w:val="single" w:sz="18" w:space="0" w:color="BFBFBF" w:themeColor="background1" w:themeShade="BF"/>
            </w:tcBorders>
            <w:shd w:val="clear" w:color="auto" w:fill="A972A9"/>
            <w:vAlign w:val="center"/>
          </w:tcPr>
          <w:p w14:paraId="617D49E2" w14:textId="77777777" w:rsidR="00DF019A" w:rsidRPr="008E7494" w:rsidRDefault="00DF019A" w:rsidP="00066DE4">
            <w:pPr>
              <w:spacing w:after="0"/>
              <w:jc w:val="center"/>
              <w:rPr>
                <w:rFonts w:cs="Arial"/>
                <w:color w:val="000000"/>
                <w:sz w:val="16"/>
                <w:szCs w:val="16"/>
              </w:rPr>
            </w:pPr>
            <w:r>
              <w:rPr>
                <w:rFonts w:cs="Arial"/>
                <w:color w:val="000000"/>
                <w:sz w:val="16"/>
                <w:szCs w:val="16"/>
              </w:rPr>
              <w:t>4</w:t>
            </w:r>
          </w:p>
        </w:tc>
        <w:tc>
          <w:tcPr>
            <w:tcW w:w="1418" w:type="dxa"/>
            <w:vMerge w:val="restart"/>
            <w:tcBorders>
              <w:top w:val="single" w:sz="18" w:space="0" w:color="808080" w:themeColor="background1" w:themeShade="80"/>
              <w:left w:val="single" w:sz="18" w:space="0" w:color="BFBFBF" w:themeColor="background1" w:themeShade="BF"/>
              <w:right w:val="single" w:sz="18" w:space="0" w:color="BFBFBF" w:themeColor="background1" w:themeShade="BF"/>
            </w:tcBorders>
            <w:shd w:val="clear" w:color="auto" w:fill="A972A9"/>
            <w:vAlign w:val="center"/>
          </w:tcPr>
          <w:p w14:paraId="1E884735" w14:textId="77777777" w:rsidR="00DF019A" w:rsidRPr="008E7494" w:rsidRDefault="00DF019A" w:rsidP="00066DE4">
            <w:pPr>
              <w:spacing w:after="0"/>
              <w:jc w:val="center"/>
              <w:rPr>
                <w:rFonts w:cs="Arial"/>
                <w:sz w:val="16"/>
                <w:szCs w:val="16"/>
              </w:rPr>
            </w:pPr>
            <w:r>
              <w:rPr>
                <w:rFonts w:cs="Arial"/>
                <w:sz w:val="16"/>
                <w:szCs w:val="16"/>
              </w:rPr>
              <w:t>5</w:t>
            </w:r>
          </w:p>
        </w:tc>
        <w:tc>
          <w:tcPr>
            <w:tcW w:w="1131" w:type="dxa"/>
            <w:vMerge w:val="restart"/>
            <w:tcBorders>
              <w:top w:val="single" w:sz="18" w:space="0" w:color="808080" w:themeColor="background1" w:themeShade="80"/>
              <w:left w:val="single" w:sz="18" w:space="0" w:color="BFBFBF" w:themeColor="background1" w:themeShade="BF"/>
              <w:right w:val="single" w:sz="18" w:space="0" w:color="C0C0C0"/>
            </w:tcBorders>
            <w:shd w:val="clear" w:color="auto" w:fill="auto"/>
            <w:vAlign w:val="center"/>
          </w:tcPr>
          <w:p w14:paraId="6D208981" w14:textId="77777777" w:rsidR="00DF019A" w:rsidRPr="008E7494" w:rsidRDefault="00DF019A" w:rsidP="00066DE4">
            <w:pPr>
              <w:spacing w:after="0"/>
              <w:jc w:val="center"/>
              <w:rPr>
                <w:rFonts w:cs="Arial"/>
                <w:sz w:val="16"/>
                <w:szCs w:val="16"/>
              </w:rPr>
            </w:pPr>
          </w:p>
        </w:tc>
        <w:tc>
          <w:tcPr>
            <w:tcW w:w="1704" w:type="dxa"/>
            <w:vMerge w:val="restart"/>
            <w:tcBorders>
              <w:top w:val="single" w:sz="18" w:space="0" w:color="808080"/>
              <w:left w:val="single" w:sz="18" w:space="0" w:color="C0C0C0"/>
              <w:right w:val="single" w:sz="18" w:space="0" w:color="808080"/>
            </w:tcBorders>
            <w:shd w:val="clear" w:color="auto" w:fill="auto"/>
            <w:vAlign w:val="center"/>
          </w:tcPr>
          <w:p w14:paraId="1447FE1F" w14:textId="77777777" w:rsidR="00DF019A" w:rsidRPr="008E7494" w:rsidRDefault="00DF019A" w:rsidP="00066DE4">
            <w:pPr>
              <w:spacing w:after="0"/>
              <w:jc w:val="center"/>
              <w:rPr>
                <w:rFonts w:cs="Arial"/>
                <w:bCs/>
                <w:sz w:val="16"/>
                <w:szCs w:val="16"/>
              </w:rPr>
            </w:pPr>
          </w:p>
        </w:tc>
        <w:tc>
          <w:tcPr>
            <w:tcW w:w="2806" w:type="dxa"/>
            <w:vMerge w:val="restart"/>
            <w:tcBorders>
              <w:top w:val="single" w:sz="18" w:space="0" w:color="808080"/>
              <w:left w:val="single" w:sz="18" w:space="0" w:color="808080"/>
              <w:right w:val="single" w:sz="18" w:space="0" w:color="808080"/>
            </w:tcBorders>
            <w:shd w:val="clear" w:color="auto" w:fill="auto"/>
            <w:vAlign w:val="center"/>
          </w:tcPr>
          <w:p w14:paraId="28ECA03D" w14:textId="77777777" w:rsidR="00DF019A" w:rsidRPr="008E7494" w:rsidRDefault="00DF019A" w:rsidP="00066DE4">
            <w:pPr>
              <w:spacing w:after="0"/>
              <w:jc w:val="center"/>
              <w:rPr>
                <w:rFonts w:cs="Arial"/>
                <w:color w:val="000000"/>
                <w:sz w:val="16"/>
                <w:szCs w:val="16"/>
              </w:rPr>
            </w:pPr>
          </w:p>
        </w:tc>
      </w:tr>
      <w:tr w:rsidR="00DF019A" w:rsidRPr="008E7494" w14:paraId="7093DFD6" w14:textId="77777777" w:rsidTr="00066DE4">
        <w:trPr>
          <w:trHeight w:hRule="exact" w:val="284"/>
          <w:jc w:val="center"/>
        </w:trPr>
        <w:tc>
          <w:tcPr>
            <w:tcW w:w="1730" w:type="dxa"/>
            <w:vMerge/>
            <w:tcBorders>
              <w:left w:val="single" w:sz="18" w:space="0" w:color="808080"/>
              <w:bottom w:val="single" w:sz="18" w:space="0" w:color="C0C0C0"/>
              <w:right w:val="single" w:sz="18" w:space="0" w:color="C0C0C0"/>
            </w:tcBorders>
            <w:vAlign w:val="center"/>
          </w:tcPr>
          <w:p w14:paraId="6651FE14" w14:textId="77777777" w:rsidR="00DF019A" w:rsidRPr="008E7494" w:rsidRDefault="00DF019A" w:rsidP="00066DE4">
            <w:pPr>
              <w:spacing w:after="0"/>
              <w:jc w:val="center"/>
              <w:rPr>
                <w:rFonts w:cs="Arial"/>
                <w:sz w:val="16"/>
                <w:szCs w:val="16"/>
              </w:rPr>
            </w:pPr>
          </w:p>
        </w:tc>
        <w:tc>
          <w:tcPr>
            <w:tcW w:w="1418" w:type="dxa"/>
            <w:vMerge/>
            <w:tcBorders>
              <w:left w:val="single" w:sz="18" w:space="0" w:color="C0C0C0"/>
              <w:bottom w:val="single" w:sz="18" w:space="0" w:color="C0C0C0"/>
              <w:right w:val="single" w:sz="18" w:space="0" w:color="C0C0C0"/>
            </w:tcBorders>
            <w:shd w:val="clear" w:color="auto" w:fill="auto"/>
            <w:vAlign w:val="center"/>
          </w:tcPr>
          <w:p w14:paraId="728D4158" w14:textId="77777777" w:rsidR="00DF019A" w:rsidRPr="008E7494" w:rsidRDefault="00DF019A" w:rsidP="00066DE4">
            <w:pPr>
              <w:spacing w:after="0"/>
              <w:jc w:val="center"/>
              <w:rPr>
                <w:rFonts w:cs="Arial"/>
                <w:color w:val="000000"/>
                <w:sz w:val="16"/>
                <w:szCs w:val="16"/>
              </w:rPr>
            </w:pPr>
          </w:p>
        </w:tc>
        <w:tc>
          <w:tcPr>
            <w:tcW w:w="1275" w:type="dxa"/>
            <w:tcBorders>
              <w:top w:val="nil"/>
              <w:left w:val="single" w:sz="18" w:space="0" w:color="C0C0C0"/>
              <w:bottom w:val="single" w:sz="18" w:space="0" w:color="C0C0C0"/>
              <w:right w:val="single" w:sz="18" w:space="0" w:color="BFBFBF" w:themeColor="background1" w:themeShade="BF"/>
            </w:tcBorders>
            <w:shd w:val="clear" w:color="auto" w:fill="467082"/>
            <w:vAlign w:val="center"/>
          </w:tcPr>
          <w:p w14:paraId="3010C561" w14:textId="77777777" w:rsidR="00DF019A" w:rsidRPr="008E7494" w:rsidRDefault="00DF019A" w:rsidP="00066DE4">
            <w:pPr>
              <w:spacing w:after="0"/>
              <w:jc w:val="center"/>
              <w:rPr>
                <w:rFonts w:cs="Arial"/>
                <w:color w:val="000000"/>
                <w:sz w:val="16"/>
                <w:szCs w:val="16"/>
              </w:rPr>
            </w:pPr>
            <w:r>
              <w:rPr>
                <w:rFonts w:cs="Arial"/>
                <w:color w:val="000000"/>
                <w:sz w:val="16"/>
                <w:szCs w:val="16"/>
              </w:rPr>
              <w:t>4</w:t>
            </w:r>
          </w:p>
        </w:tc>
        <w:tc>
          <w:tcPr>
            <w:tcW w:w="1418" w:type="dxa"/>
            <w:vMerge/>
            <w:tcBorders>
              <w:left w:val="single" w:sz="18" w:space="0" w:color="BFBFBF" w:themeColor="background1" w:themeShade="BF"/>
              <w:bottom w:val="single" w:sz="18" w:space="0" w:color="C0C0C0"/>
              <w:right w:val="single" w:sz="18" w:space="0" w:color="BFBFBF" w:themeColor="background1" w:themeShade="BF"/>
            </w:tcBorders>
            <w:shd w:val="clear" w:color="auto" w:fill="D9D9D9"/>
            <w:vAlign w:val="center"/>
          </w:tcPr>
          <w:p w14:paraId="0E70F02F" w14:textId="77777777" w:rsidR="00DF019A" w:rsidRPr="008E7494" w:rsidRDefault="00DF019A" w:rsidP="00066DE4">
            <w:pPr>
              <w:spacing w:after="0"/>
              <w:jc w:val="center"/>
              <w:rPr>
                <w:rFonts w:cs="Arial"/>
                <w:sz w:val="16"/>
                <w:szCs w:val="16"/>
              </w:rPr>
            </w:pPr>
          </w:p>
        </w:tc>
        <w:tc>
          <w:tcPr>
            <w:tcW w:w="1131" w:type="dxa"/>
            <w:vMerge/>
            <w:tcBorders>
              <w:left w:val="single" w:sz="18" w:space="0" w:color="BFBFBF" w:themeColor="background1" w:themeShade="BF"/>
              <w:bottom w:val="single" w:sz="18" w:space="0" w:color="C0C0C0"/>
              <w:right w:val="single" w:sz="18" w:space="0" w:color="C0C0C0"/>
            </w:tcBorders>
            <w:shd w:val="clear" w:color="auto" w:fill="auto"/>
            <w:vAlign w:val="center"/>
          </w:tcPr>
          <w:p w14:paraId="1DBAFBAA" w14:textId="77777777" w:rsidR="00DF019A" w:rsidRPr="008E7494" w:rsidRDefault="00DF019A" w:rsidP="00066DE4">
            <w:pPr>
              <w:spacing w:after="0"/>
              <w:jc w:val="center"/>
              <w:rPr>
                <w:rFonts w:cs="Arial"/>
                <w:sz w:val="16"/>
                <w:szCs w:val="16"/>
              </w:rPr>
            </w:pPr>
          </w:p>
        </w:tc>
        <w:tc>
          <w:tcPr>
            <w:tcW w:w="1704" w:type="dxa"/>
            <w:vMerge/>
            <w:tcBorders>
              <w:left w:val="single" w:sz="18" w:space="0" w:color="C0C0C0"/>
              <w:bottom w:val="single" w:sz="18" w:space="0" w:color="C0C0C0"/>
              <w:right w:val="single" w:sz="18" w:space="0" w:color="808080"/>
            </w:tcBorders>
            <w:shd w:val="clear" w:color="auto" w:fill="auto"/>
            <w:vAlign w:val="center"/>
          </w:tcPr>
          <w:p w14:paraId="29557244" w14:textId="77777777" w:rsidR="00DF019A" w:rsidRPr="008E7494" w:rsidRDefault="00DF019A" w:rsidP="00066DE4">
            <w:pPr>
              <w:spacing w:after="0"/>
              <w:jc w:val="center"/>
              <w:rPr>
                <w:rFonts w:cs="Arial"/>
                <w:bCs/>
                <w:sz w:val="16"/>
                <w:szCs w:val="16"/>
              </w:rPr>
            </w:pPr>
          </w:p>
        </w:tc>
        <w:tc>
          <w:tcPr>
            <w:tcW w:w="2806" w:type="dxa"/>
            <w:vMerge/>
            <w:tcBorders>
              <w:left w:val="single" w:sz="18" w:space="0" w:color="808080"/>
              <w:bottom w:val="single" w:sz="18" w:space="0" w:color="C0C0C0"/>
              <w:right w:val="single" w:sz="18" w:space="0" w:color="808080"/>
            </w:tcBorders>
            <w:shd w:val="clear" w:color="auto" w:fill="auto"/>
            <w:vAlign w:val="center"/>
          </w:tcPr>
          <w:p w14:paraId="4E0D5572" w14:textId="77777777" w:rsidR="00DF019A" w:rsidRPr="008E7494" w:rsidRDefault="00DF019A" w:rsidP="00066DE4">
            <w:pPr>
              <w:spacing w:after="0"/>
              <w:jc w:val="center"/>
              <w:rPr>
                <w:rFonts w:cs="Arial"/>
                <w:color w:val="000000"/>
                <w:sz w:val="16"/>
                <w:szCs w:val="16"/>
              </w:rPr>
            </w:pPr>
          </w:p>
        </w:tc>
      </w:tr>
      <w:tr w:rsidR="00DF019A" w:rsidRPr="008E7494" w14:paraId="4415BA8D" w14:textId="77777777" w:rsidTr="00066DE4">
        <w:trPr>
          <w:trHeight w:hRule="exact" w:val="397"/>
          <w:jc w:val="center"/>
        </w:trPr>
        <w:tc>
          <w:tcPr>
            <w:tcW w:w="1730" w:type="dxa"/>
            <w:tcBorders>
              <w:top w:val="single" w:sz="18" w:space="0" w:color="C0C0C0"/>
              <w:left w:val="single" w:sz="18" w:space="0" w:color="808080"/>
              <w:bottom w:val="single" w:sz="18" w:space="0" w:color="C0C0C0"/>
              <w:right w:val="single" w:sz="18" w:space="0" w:color="C0C0C0"/>
            </w:tcBorders>
            <w:vAlign w:val="center"/>
          </w:tcPr>
          <w:p w14:paraId="73FF0462" w14:textId="77777777" w:rsidR="00DF019A" w:rsidRPr="008E7494" w:rsidRDefault="00DF019A" w:rsidP="00066DE4">
            <w:pPr>
              <w:spacing w:after="0"/>
              <w:jc w:val="center"/>
              <w:rPr>
                <w:rFonts w:cs="Arial"/>
                <w:sz w:val="16"/>
                <w:szCs w:val="16"/>
              </w:rPr>
            </w:pPr>
            <w:r w:rsidRPr="008E7494">
              <w:rPr>
                <w:rFonts w:cs="Arial"/>
                <w:sz w:val="16"/>
                <w:szCs w:val="16"/>
              </w:rPr>
              <w:t>1</w:t>
            </w:r>
            <w:r>
              <w:rPr>
                <w:rFonts w:cs="Arial"/>
                <w:sz w:val="16"/>
                <w:szCs w:val="16"/>
              </w:rPr>
              <w:t>0</w:t>
            </w:r>
            <w:r w:rsidRPr="008E7494">
              <w:rPr>
                <w:rFonts w:cs="Arial"/>
                <w:sz w:val="16"/>
                <w:szCs w:val="16"/>
              </w:rPr>
              <w:t xml:space="preserve"> December</w:t>
            </w:r>
          </w:p>
        </w:tc>
        <w:tc>
          <w:tcPr>
            <w:tcW w:w="1418" w:type="dxa"/>
            <w:tcBorders>
              <w:top w:val="single" w:sz="18" w:space="0" w:color="C0C0C0"/>
              <w:left w:val="single" w:sz="18" w:space="0" w:color="C0C0C0"/>
              <w:bottom w:val="single" w:sz="18" w:space="0" w:color="C0C0C0"/>
              <w:right w:val="single" w:sz="18" w:space="0" w:color="C0C0C0"/>
            </w:tcBorders>
            <w:shd w:val="clear" w:color="auto" w:fill="auto"/>
            <w:vAlign w:val="center"/>
          </w:tcPr>
          <w:p w14:paraId="19581652" w14:textId="77777777" w:rsidR="00DF019A" w:rsidRPr="008E7494" w:rsidRDefault="00DF019A" w:rsidP="00066DE4">
            <w:pPr>
              <w:spacing w:after="0"/>
              <w:jc w:val="center"/>
              <w:rPr>
                <w:rFonts w:cs="Arial"/>
                <w:color w:val="000000"/>
                <w:sz w:val="16"/>
                <w:szCs w:val="16"/>
              </w:rPr>
            </w:pPr>
          </w:p>
        </w:tc>
        <w:tc>
          <w:tcPr>
            <w:tcW w:w="1275" w:type="dxa"/>
            <w:tcBorders>
              <w:top w:val="single" w:sz="18" w:space="0" w:color="C0C0C0"/>
              <w:left w:val="single" w:sz="18" w:space="0" w:color="C0C0C0"/>
              <w:bottom w:val="single" w:sz="18" w:space="0" w:color="C0C0C0"/>
              <w:right w:val="single" w:sz="18" w:space="0" w:color="C0C0C0"/>
            </w:tcBorders>
            <w:shd w:val="clear" w:color="auto" w:fill="auto"/>
            <w:vAlign w:val="center"/>
          </w:tcPr>
          <w:p w14:paraId="635CFEDC" w14:textId="77777777" w:rsidR="00DF019A" w:rsidRPr="008E7494" w:rsidRDefault="00DF019A" w:rsidP="00066DE4">
            <w:pPr>
              <w:spacing w:after="0"/>
              <w:jc w:val="center"/>
              <w:rPr>
                <w:rFonts w:cs="Arial"/>
                <w:color w:val="000000"/>
                <w:sz w:val="16"/>
                <w:szCs w:val="16"/>
              </w:rPr>
            </w:pPr>
          </w:p>
        </w:tc>
        <w:tc>
          <w:tcPr>
            <w:tcW w:w="1418" w:type="dxa"/>
            <w:tcBorders>
              <w:top w:val="single" w:sz="18" w:space="0" w:color="C0C0C0"/>
              <w:left w:val="single" w:sz="18" w:space="0" w:color="C0C0C0"/>
              <w:bottom w:val="single" w:sz="18" w:space="0" w:color="C0C0C0"/>
              <w:right w:val="single" w:sz="18" w:space="0" w:color="C0C0C0"/>
            </w:tcBorders>
            <w:shd w:val="clear" w:color="auto" w:fill="auto"/>
            <w:vAlign w:val="center"/>
          </w:tcPr>
          <w:p w14:paraId="01AA2B2C" w14:textId="77777777" w:rsidR="00DF019A" w:rsidRPr="008E7494" w:rsidRDefault="00DF019A" w:rsidP="00066DE4">
            <w:pPr>
              <w:spacing w:after="0"/>
              <w:jc w:val="center"/>
              <w:rPr>
                <w:rFonts w:cs="Arial"/>
                <w:sz w:val="16"/>
                <w:szCs w:val="16"/>
              </w:rPr>
            </w:pPr>
          </w:p>
        </w:tc>
        <w:tc>
          <w:tcPr>
            <w:tcW w:w="1131" w:type="dxa"/>
            <w:tcBorders>
              <w:top w:val="single" w:sz="18" w:space="0" w:color="C0C0C0"/>
              <w:left w:val="single" w:sz="18" w:space="0" w:color="C0C0C0"/>
              <w:bottom w:val="single" w:sz="18" w:space="0" w:color="C0C0C0"/>
              <w:right w:val="single" w:sz="18" w:space="0" w:color="C0C0C0"/>
            </w:tcBorders>
            <w:shd w:val="clear" w:color="auto" w:fill="auto"/>
            <w:vAlign w:val="center"/>
          </w:tcPr>
          <w:p w14:paraId="7846E403" w14:textId="77777777" w:rsidR="00DF019A" w:rsidRPr="008E7494" w:rsidRDefault="00DF019A" w:rsidP="00066DE4">
            <w:pPr>
              <w:spacing w:after="0"/>
              <w:jc w:val="center"/>
              <w:rPr>
                <w:rFonts w:cs="Arial"/>
                <w:sz w:val="16"/>
                <w:szCs w:val="16"/>
              </w:rPr>
            </w:pPr>
          </w:p>
        </w:tc>
        <w:tc>
          <w:tcPr>
            <w:tcW w:w="1704" w:type="dxa"/>
            <w:tcBorders>
              <w:top w:val="single" w:sz="18" w:space="0" w:color="C0C0C0"/>
              <w:left w:val="single" w:sz="18" w:space="0" w:color="C0C0C0"/>
              <w:bottom w:val="single" w:sz="18" w:space="0" w:color="C0C0C0"/>
              <w:right w:val="single" w:sz="18" w:space="0" w:color="808080"/>
            </w:tcBorders>
            <w:shd w:val="clear" w:color="auto" w:fill="auto"/>
            <w:vAlign w:val="center"/>
          </w:tcPr>
          <w:p w14:paraId="52A64DA9" w14:textId="77777777" w:rsidR="00DF019A" w:rsidRPr="008E7494" w:rsidRDefault="00DF019A" w:rsidP="00066DE4">
            <w:pPr>
              <w:spacing w:after="0"/>
              <w:jc w:val="center"/>
              <w:rPr>
                <w:rFonts w:cs="Arial"/>
                <w:bCs/>
                <w:sz w:val="16"/>
                <w:szCs w:val="16"/>
              </w:rPr>
            </w:pPr>
          </w:p>
        </w:tc>
        <w:tc>
          <w:tcPr>
            <w:tcW w:w="2806" w:type="dxa"/>
            <w:tcBorders>
              <w:top w:val="single" w:sz="18" w:space="0" w:color="C0C0C0"/>
              <w:left w:val="single" w:sz="18" w:space="0" w:color="808080"/>
              <w:bottom w:val="single" w:sz="18" w:space="0" w:color="C0C0C0"/>
              <w:right w:val="single" w:sz="18" w:space="0" w:color="808080"/>
            </w:tcBorders>
            <w:shd w:val="clear" w:color="auto" w:fill="auto"/>
            <w:vAlign w:val="center"/>
          </w:tcPr>
          <w:p w14:paraId="50FE3A77" w14:textId="77777777" w:rsidR="00DF019A" w:rsidRPr="008E7494" w:rsidRDefault="00DF019A" w:rsidP="00066DE4">
            <w:pPr>
              <w:spacing w:after="0"/>
              <w:jc w:val="center"/>
              <w:rPr>
                <w:rFonts w:cs="Arial"/>
                <w:color w:val="000000"/>
                <w:sz w:val="16"/>
                <w:szCs w:val="16"/>
              </w:rPr>
            </w:pPr>
          </w:p>
        </w:tc>
      </w:tr>
      <w:tr w:rsidR="00DF019A" w:rsidRPr="008E7494" w14:paraId="20504856" w14:textId="77777777" w:rsidTr="00066DE4">
        <w:trPr>
          <w:trHeight w:val="397"/>
          <w:jc w:val="center"/>
        </w:trPr>
        <w:tc>
          <w:tcPr>
            <w:tcW w:w="1730" w:type="dxa"/>
            <w:tcBorders>
              <w:top w:val="single" w:sz="18" w:space="0" w:color="C0C0C0"/>
              <w:left w:val="single" w:sz="18" w:space="0" w:color="808080"/>
              <w:bottom w:val="single" w:sz="18" w:space="0" w:color="C0C0C0"/>
              <w:right w:val="single" w:sz="18" w:space="0" w:color="C0C0C0"/>
            </w:tcBorders>
            <w:vAlign w:val="center"/>
          </w:tcPr>
          <w:p w14:paraId="10A28C77" w14:textId="77777777" w:rsidR="00DF019A" w:rsidRPr="008E7494" w:rsidRDefault="00DF019A" w:rsidP="00066DE4">
            <w:pPr>
              <w:spacing w:after="0"/>
              <w:jc w:val="center"/>
              <w:rPr>
                <w:rFonts w:cs="Arial"/>
                <w:sz w:val="16"/>
                <w:szCs w:val="16"/>
              </w:rPr>
            </w:pPr>
            <w:r w:rsidRPr="008E7494">
              <w:rPr>
                <w:rFonts w:cs="Arial"/>
                <w:sz w:val="16"/>
                <w:szCs w:val="16"/>
              </w:rPr>
              <w:t>1</w:t>
            </w:r>
            <w:r>
              <w:rPr>
                <w:rFonts w:cs="Arial"/>
                <w:sz w:val="16"/>
                <w:szCs w:val="16"/>
              </w:rPr>
              <w:t>7</w:t>
            </w:r>
            <w:r w:rsidRPr="008E7494">
              <w:rPr>
                <w:rFonts w:cs="Arial"/>
                <w:sz w:val="16"/>
                <w:szCs w:val="16"/>
              </w:rPr>
              <w:t xml:space="preserve"> December</w:t>
            </w:r>
          </w:p>
        </w:tc>
        <w:tc>
          <w:tcPr>
            <w:tcW w:w="1418"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46F37185" w14:textId="77777777" w:rsidR="00DF019A" w:rsidRPr="008E7494" w:rsidRDefault="00DF019A" w:rsidP="00066DE4">
            <w:pPr>
              <w:spacing w:after="0"/>
              <w:jc w:val="center"/>
              <w:rPr>
                <w:rFonts w:cs="Arial"/>
                <w:color w:val="000000"/>
                <w:sz w:val="16"/>
                <w:szCs w:val="16"/>
              </w:rPr>
            </w:pPr>
          </w:p>
        </w:tc>
        <w:tc>
          <w:tcPr>
            <w:tcW w:w="1275"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0456CF51" w14:textId="77777777" w:rsidR="00DF019A" w:rsidRPr="008E7494" w:rsidRDefault="00DF019A" w:rsidP="00066DE4">
            <w:pPr>
              <w:spacing w:after="0"/>
              <w:jc w:val="center"/>
              <w:rPr>
                <w:rFonts w:cs="Arial"/>
                <w:color w:val="000000"/>
                <w:sz w:val="16"/>
                <w:szCs w:val="16"/>
              </w:rPr>
            </w:pPr>
          </w:p>
        </w:tc>
        <w:tc>
          <w:tcPr>
            <w:tcW w:w="1418"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115BFB4B" w14:textId="77777777" w:rsidR="00DF019A" w:rsidRPr="008E7494" w:rsidRDefault="00DF019A" w:rsidP="00066DE4">
            <w:pPr>
              <w:spacing w:after="0"/>
              <w:jc w:val="center"/>
              <w:rPr>
                <w:rFonts w:cs="Arial"/>
                <w:sz w:val="16"/>
                <w:szCs w:val="16"/>
              </w:rPr>
            </w:pPr>
          </w:p>
        </w:tc>
        <w:tc>
          <w:tcPr>
            <w:tcW w:w="1131"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10C42DD0" w14:textId="77777777" w:rsidR="00DF019A" w:rsidRPr="008E7494" w:rsidRDefault="00DF019A" w:rsidP="00066DE4">
            <w:pPr>
              <w:spacing w:after="0"/>
              <w:jc w:val="center"/>
              <w:rPr>
                <w:rFonts w:cs="Arial"/>
                <w:sz w:val="16"/>
                <w:szCs w:val="16"/>
              </w:rPr>
            </w:pPr>
          </w:p>
        </w:tc>
        <w:tc>
          <w:tcPr>
            <w:tcW w:w="1704" w:type="dxa"/>
            <w:tcBorders>
              <w:top w:val="single" w:sz="18" w:space="0" w:color="C0C0C0"/>
              <w:left w:val="single" w:sz="18" w:space="0" w:color="C0C0C0"/>
              <w:bottom w:val="single" w:sz="18" w:space="0" w:color="C0C0C0"/>
              <w:right w:val="single" w:sz="18" w:space="0" w:color="808080"/>
            </w:tcBorders>
            <w:shd w:val="clear" w:color="auto" w:fill="D9D9D9"/>
            <w:vAlign w:val="center"/>
          </w:tcPr>
          <w:p w14:paraId="511E3591" w14:textId="77777777" w:rsidR="00DF019A" w:rsidRPr="008E7494" w:rsidRDefault="00DF019A" w:rsidP="00066DE4">
            <w:pPr>
              <w:spacing w:after="0"/>
              <w:jc w:val="center"/>
              <w:rPr>
                <w:rFonts w:cs="Arial"/>
                <w:bCs/>
                <w:sz w:val="16"/>
                <w:szCs w:val="16"/>
              </w:rPr>
            </w:pPr>
          </w:p>
        </w:tc>
        <w:tc>
          <w:tcPr>
            <w:tcW w:w="2806" w:type="dxa"/>
            <w:tcBorders>
              <w:top w:val="single" w:sz="18" w:space="0" w:color="C0C0C0"/>
              <w:left w:val="single" w:sz="18" w:space="0" w:color="808080"/>
              <w:bottom w:val="single" w:sz="18" w:space="0" w:color="C0C0C0"/>
              <w:right w:val="single" w:sz="18" w:space="0" w:color="808080"/>
            </w:tcBorders>
            <w:shd w:val="clear" w:color="auto" w:fill="D9D9D9"/>
            <w:vAlign w:val="center"/>
          </w:tcPr>
          <w:p w14:paraId="0EF9CD93" w14:textId="77777777" w:rsidR="00DF019A" w:rsidRPr="008E7494" w:rsidRDefault="00DF019A" w:rsidP="00066DE4">
            <w:pPr>
              <w:spacing w:after="0"/>
              <w:jc w:val="center"/>
              <w:rPr>
                <w:rFonts w:cs="Arial"/>
                <w:color w:val="000000"/>
                <w:sz w:val="16"/>
                <w:szCs w:val="16"/>
              </w:rPr>
            </w:pPr>
          </w:p>
        </w:tc>
      </w:tr>
      <w:tr w:rsidR="00DF019A" w:rsidRPr="008E7494" w14:paraId="2F8B4BD0" w14:textId="77777777" w:rsidTr="00066DE4">
        <w:trPr>
          <w:trHeight w:val="397"/>
          <w:jc w:val="center"/>
        </w:trPr>
        <w:tc>
          <w:tcPr>
            <w:tcW w:w="1730" w:type="dxa"/>
            <w:tcBorders>
              <w:top w:val="single" w:sz="18" w:space="0" w:color="C0C0C0"/>
              <w:left w:val="single" w:sz="18" w:space="0" w:color="808080"/>
              <w:bottom w:val="single" w:sz="18" w:space="0" w:color="C0C0C0"/>
              <w:right w:val="single" w:sz="18" w:space="0" w:color="C0C0C0"/>
            </w:tcBorders>
            <w:vAlign w:val="center"/>
          </w:tcPr>
          <w:p w14:paraId="42F3CD1B" w14:textId="77777777" w:rsidR="00DF019A" w:rsidRPr="008E7494" w:rsidRDefault="00DF019A" w:rsidP="00066DE4">
            <w:pPr>
              <w:spacing w:after="0"/>
              <w:jc w:val="center"/>
              <w:rPr>
                <w:rFonts w:cs="Arial"/>
                <w:sz w:val="16"/>
                <w:szCs w:val="16"/>
              </w:rPr>
            </w:pPr>
            <w:r>
              <w:rPr>
                <w:rFonts w:cs="Arial"/>
                <w:sz w:val="16"/>
                <w:szCs w:val="16"/>
              </w:rPr>
              <w:t>24</w:t>
            </w:r>
            <w:r w:rsidRPr="008E7494">
              <w:rPr>
                <w:rFonts w:cs="Arial"/>
                <w:sz w:val="16"/>
                <w:szCs w:val="16"/>
              </w:rPr>
              <w:t xml:space="preserve"> December</w:t>
            </w:r>
          </w:p>
        </w:tc>
        <w:tc>
          <w:tcPr>
            <w:tcW w:w="1418"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1E1051B0" w14:textId="77777777" w:rsidR="00DF019A" w:rsidRPr="008E7494" w:rsidRDefault="00DF019A" w:rsidP="00066DE4">
            <w:pPr>
              <w:spacing w:after="0"/>
              <w:jc w:val="center"/>
              <w:rPr>
                <w:rFonts w:cs="Arial"/>
                <w:color w:val="000000"/>
                <w:sz w:val="16"/>
                <w:szCs w:val="16"/>
              </w:rPr>
            </w:pPr>
          </w:p>
        </w:tc>
        <w:tc>
          <w:tcPr>
            <w:tcW w:w="1275"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731A8E59" w14:textId="77777777" w:rsidR="00DF019A" w:rsidRPr="008E7494" w:rsidRDefault="00DF019A" w:rsidP="00066DE4">
            <w:pPr>
              <w:spacing w:after="0"/>
              <w:jc w:val="center"/>
              <w:rPr>
                <w:rFonts w:cs="Arial"/>
                <w:color w:val="000000"/>
                <w:sz w:val="16"/>
                <w:szCs w:val="16"/>
              </w:rPr>
            </w:pPr>
            <w:r w:rsidRPr="008E7494">
              <w:rPr>
                <w:rFonts w:cs="Arial"/>
                <w:sz w:val="16"/>
                <w:szCs w:val="16"/>
              </w:rPr>
              <w:t>Public Holiday</w:t>
            </w:r>
          </w:p>
        </w:tc>
        <w:tc>
          <w:tcPr>
            <w:tcW w:w="1418"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5CD3DC20" w14:textId="77777777" w:rsidR="00DF019A" w:rsidRPr="008E7494" w:rsidRDefault="00DF019A" w:rsidP="00066DE4">
            <w:pPr>
              <w:spacing w:after="0"/>
              <w:jc w:val="center"/>
              <w:rPr>
                <w:rFonts w:cs="Arial"/>
                <w:sz w:val="16"/>
                <w:szCs w:val="16"/>
              </w:rPr>
            </w:pPr>
            <w:r>
              <w:rPr>
                <w:rFonts w:cs="Arial"/>
                <w:sz w:val="16"/>
                <w:szCs w:val="16"/>
              </w:rPr>
              <w:t xml:space="preserve">Public </w:t>
            </w:r>
            <w:r w:rsidRPr="008E7494">
              <w:rPr>
                <w:rFonts w:cs="Arial"/>
                <w:sz w:val="16"/>
                <w:szCs w:val="16"/>
              </w:rPr>
              <w:t>Holiday</w:t>
            </w:r>
          </w:p>
        </w:tc>
        <w:tc>
          <w:tcPr>
            <w:tcW w:w="1131"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46B091C3" w14:textId="77777777" w:rsidR="00DF019A" w:rsidRPr="008E7494" w:rsidRDefault="00DF019A" w:rsidP="00066DE4">
            <w:pPr>
              <w:spacing w:after="0"/>
              <w:jc w:val="center"/>
              <w:rPr>
                <w:rFonts w:cs="Arial"/>
                <w:sz w:val="16"/>
                <w:szCs w:val="16"/>
              </w:rPr>
            </w:pPr>
          </w:p>
        </w:tc>
        <w:tc>
          <w:tcPr>
            <w:tcW w:w="1704" w:type="dxa"/>
            <w:tcBorders>
              <w:top w:val="single" w:sz="18" w:space="0" w:color="C0C0C0"/>
              <w:left w:val="single" w:sz="18" w:space="0" w:color="C0C0C0"/>
              <w:bottom w:val="single" w:sz="18" w:space="0" w:color="C0C0C0"/>
              <w:right w:val="single" w:sz="18" w:space="0" w:color="808080"/>
            </w:tcBorders>
            <w:shd w:val="clear" w:color="auto" w:fill="D9D9D9"/>
            <w:vAlign w:val="center"/>
          </w:tcPr>
          <w:p w14:paraId="7ED4D362" w14:textId="77777777" w:rsidR="00DF019A" w:rsidRPr="008E7494" w:rsidRDefault="00DF019A" w:rsidP="00066DE4">
            <w:pPr>
              <w:spacing w:after="0"/>
              <w:jc w:val="center"/>
              <w:rPr>
                <w:rFonts w:cs="Arial"/>
                <w:bCs/>
                <w:sz w:val="16"/>
                <w:szCs w:val="16"/>
              </w:rPr>
            </w:pPr>
          </w:p>
        </w:tc>
        <w:tc>
          <w:tcPr>
            <w:tcW w:w="2806" w:type="dxa"/>
            <w:tcBorders>
              <w:top w:val="single" w:sz="18" w:space="0" w:color="C0C0C0"/>
              <w:left w:val="single" w:sz="18" w:space="0" w:color="808080"/>
              <w:bottom w:val="single" w:sz="18" w:space="0" w:color="C0C0C0"/>
              <w:right w:val="single" w:sz="18" w:space="0" w:color="808080"/>
            </w:tcBorders>
            <w:shd w:val="clear" w:color="auto" w:fill="D9D9D9"/>
            <w:vAlign w:val="center"/>
          </w:tcPr>
          <w:p w14:paraId="45BE45DF" w14:textId="77777777" w:rsidR="00DF019A" w:rsidRPr="008E7494" w:rsidRDefault="00DF019A" w:rsidP="00066DE4">
            <w:pPr>
              <w:spacing w:after="0" w:line="240" w:lineRule="auto"/>
              <w:jc w:val="center"/>
              <w:rPr>
                <w:rFonts w:cs="Arial"/>
                <w:color w:val="000000"/>
                <w:sz w:val="14"/>
                <w:szCs w:val="14"/>
              </w:rPr>
            </w:pPr>
            <w:r w:rsidRPr="008E7494">
              <w:rPr>
                <w:rFonts w:cs="Arial"/>
                <w:color w:val="000000"/>
                <w:sz w:val="14"/>
                <w:szCs w:val="14"/>
              </w:rPr>
              <w:t xml:space="preserve">25 Christmas Day, 26 Boxing Day, </w:t>
            </w:r>
            <w:r>
              <w:rPr>
                <w:rFonts w:cs="Arial"/>
                <w:color w:val="000000"/>
                <w:sz w:val="14"/>
                <w:szCs w:val="14"/>
              </w:rPr>
              <w:br/>
            </w:r>
            <w:r w:rsidRPr="008E7494">
              <w:rPr>
                <w:rFonts w:cs="Arial"/>
                <w:color w:val="000000"/>
                <w:sz w:val="14"/>
                <w:szCs w:val="14"/>
              </w:rPr>
              <w:t>27, 28</w:t>
            </w:r>
            <w:r>
              <w:rPr>
                <w:rFonts w:cs="Arial"/>
                <w:color w:val="000000"/>
                <w:sz w:val="14"/>
                <w:szCs w:val="14"/>
              </w:rPr>
              <w:t xml:space="preserve"> </w:t>
            </w:r>
            <w:r w:rsidRPr="008E7494">
              <w:rPr>
                <w:rFonts w:cs="Arial"/>
                <w:color w:val="000000"/>
                <w:sz w:val="14"/>
                <w:szCs w:val="14"/>
              </w:rPr>
              <w:t>Office Closed for Xmas</w:t>
            </w:r>
          </w:p>
        </w:tc>
      </w:tr>
      <w:tr w:rsidR="00DF019A" w:rsidRPr="008E7494" w14:paraId="634580B1" w14:textId="77777777" w:rsidTr="00066DE4">
        <w:trPr>
          <w:trHeight w:val="397"/>
          <w:jc w:val="center"/>
        </w:trPr>
        <w:tc>
          <w:tcPr>
            <w:tcW w:w="1730" w:type="dxa"/>
            <w:tcBorders>
              <w:top w:val="single" w:sz="18" w:space="0" w:color="C0C0C0"/>
              <w:left w:val="single" w:sz="18" w:space="0" w:color="808080"/>
              <w:bottom w:val="single" w:sz="18" w:space="0" w:color="808080"/>
              <w:right w:val="single" w:sz="18" w:space="0" w:color="C0C0C0"/>
            </w:tcBorders>
            <w:vAlign w:val="center"/>
          </w:tcPr>
          <w:p w14:paraId="0DE82F33" w14:textId="77777777" w:rsidR="00DF019A" w:rsidRDefault="00DF019A" w:rsidP="00066DE4">
            <w:pPr>
              <w:spacing w:after="0"/>
              <w:jc w:val="center"/>
              <w:rPr>
                <w:rFonts w:cs="Arial"/>
                <w:sz w:val="16"/>
                <w:szCs w:val="16"/>
              </w:rPr>
            </w:pPr>
            <w:r>
              <w:rPr>
                <w:rFonts w:cs="Arial"/>
                <w:sz w:val="16"/>
                <w:szCs w:val="16"/>
              </w:rPr>
              <w:t>31 December</w:t>
            </w:r>
          </w:p>
        </w:tc>
        <w:tc>
          <w:tcPr>
            <w:tcW w:w="1418" w:type="dxa"/>
            <w:tcBorders>
              <w:top w:val="single" w:sz="18" w:space="0" w:color="C0C0C0"/>
              <w:left w:val="single" w:sz="18" w:space="0" w:color="C0C0C0"/>
              <w:bottom w:val="single" w:sz="18" w:space="0" w:color="808080"/>
              <w:right w:val="single" w:sz="18" w:space="0" w:color="C0C0C0"/>
            </w:tcBorders>
            <w:shd w:val="clear" w:color="auto" w:fill="D9D9D9"/>
            <w:vAlign w:val="center"/>
          </w:tcPr>
          <w:p w14:paraId="1F6779B1" w14:textId="77777777" w:rsidR="00DF019A" w:rsidRPr="008E7494" w:rsidRDefault="00DF019A" w:rsidP="00066DE4">
            <w:pPr>
              <w:spacing w:after="0"/>
              <w:jc w:val="center"/>
              <w:rPr>
                <w:rFonts w:cs="Arial"/>
                <w:sz w:val="16"/>
                <w:szCs w:val="16"/>
              </w:rPr>
            </w:pPr>
          </w:p>
        </w:tc>
        <w:tc>
          <w:tcPr>
            <w:tcW w:w="1275" w:type="dxa"/>
            <w:tcBorders>
              <w:top w:val="single" w:sz="18" w:space="0" w:color="C0C0C0"/>
              <w:left w:val="single" w:sz="18" w:space="0" w:color="C0C0C0"/>
              <w:bottom w:val="single" w:sz="18" w:space="0" w:color="808080" w:themeColor="background1" w:themeShade="80"/>
              <w:right w:val="single" w:sz="18" w:space="0" w:color="C0C0C0"/>
            </w:tcBorders>
            <w:shd w:val="clear" w:color="auto" w:fill="D9D9D9"/>
            <w:vAlign w:val="center"/>
          </w:tcPr>
          <w:p w14:paraId="5FB43DB0" w14:textId="77777777" w:rsidR="00DF019A" w:rsidRPr="008E7494" w:rsidRDefault="00DF019A" w:rsidP="00066DE4">
            <w:pPr>
              <w:spacing w:after="0"/>
              <w:jc w:val="center"/>
              <w:rPr>
                <w:rFonts w:cs="Arial"/>
                <w:sz w:val="16"/>
                <w:szCs w:val="16"/>
              </w:rPr>
            </w:pPr>
            <w:r w:rsidRPr="008E7494">
              <w:rPr>
                <w:rFonts w:cs="Arial"/>
                <w:sz w:val="16"/>
                <w:szCs w:val="16"/>
              </w:rPr>
              <w:t>Public Holiday</w:t>
            </w:r>
          </w:p>
        </w:tc>
        <w:tc>
          <w:tcPr>
            <w:tcW w:w="1418" w:type="dxa"/>
            <w:tcBorders>
              <w:top w:val="single" w:sz="18" w:space="0" w:color="C0C0C0"/>
              <w:left w:val="single" w:sz="18" w:space="0" w:color="C0C0C0"/>
              <w:bottom w:val="single" w:sz="18" w:space="0" w:color="808080" w:themeColor="background1" w:themeShade="80"/>
              <w:right w:val="single" w:sz="18" w:space="0" w:color="C0C0C0"/>
            </w:tcBorders>
            <w:shd w:val="clear" w:color="auto" w:fill="D9D9D9"/>
            <w:vAlign w:val="center"/>
          </w:tcPr>
          <w:p w14:paraId="20AF603B" w14:textId="77777777" w:rsidR="00DF019A" w:rsidRPr="008E7494" w:rsidRDefault="00DF019A" w:rsidP="00066DE4">
            <w:pPr>
              <w:spacing w:after="0"/>
              <w:jc w:val="center"/>
              <w:rPr>
                <w:rFonts w:cs="Arial"/>
                <w:sz w:val="16"/>
                <w:szCs w:val="16"/>
              </w:rPr>
            </w:pPr>
          </w:p>
        </w:tc>
        <w:tc>
          <w:tcPr>
            <w:tcW w:w="1131" w:type="dxa"/>
            <w:tcBorders>
              <w:top w:val="single" w:sz="18" w:space="0" w:color="C0C0C0"/>
              <w:left w:val="single" w:sz="18" w:space="0" w:color="C0C0C0"/>
              <w:bottom w:val="single" w:sz="18" w:space="0" w:color="808080" w:themeColor="background1" w:themeShade="80"/>
              <w:right w:val="single" w:sz="18" w:space="0" w:color="C0C0C0"/>
            </w:tcBorders>
            <w:shd w:val="clear" w:color="auto" w:fill="D9D9D9"/>
            <w:vAlign w:val="center"/>
          </w:tcPr>
          <w:p w14:paraId="030B825E" w14:textId="77777777" w:rsidR="00DF019A" w:rsidRPr="008E7494" w:rsidRDefault="00DF019A" w:rsidP="00066DE4">
            <w:pPr>
              <w:spacing w:after="0"/>
              <w:jc w:val="center"/>
              <w:rPr>
                <w:rFonts w:cs="Arial"/>
                <w:sz w:val="16"/>
                <w:szCs w:val="16"/>
              </w:rPr>
            </w:pPr>
          </w:p>
        </w:tc>
        <w:tc>
          <w:tcPr>
            <w:tcW w:w="1704" w:type="dxa"/>
            <w:tcBorders>
              <w:top w:val="single" w:sz="18" w:space="0" w:color="C0C0C0"/>
              <w:left w:val="single" w:sz="18" w:space="0" w:color="C0C0C0"/>
              <w:bottom w:val="single" w:sz="18" w:space="0" w:color="808080"/>
              <w:right w:val="single" w:sz="18" w:space="0" w:color="808080"/>
            </w:tcBorders>
            <w:shd w:val="clear" w:color="auto" w:fill="D9D9D9"/>
            <w:vAlign w:val="center"/>
          </w:tcPr>
          <w:p w14:paraId="6B94F5D6" w14:textId="77777777" w:rsidR="00DF019A" w:rsidRPr="008E7494" w:rsidRDefault="00DF019A" w:rsidP="00066DE4">
            <w:pPr>
              <w:spacing w:after="0"/>
              <w:jc w:val="center"/>
              <w:rPr>
                <w:rFonts w:cs="Arial"/>
                <w:bCs/>
                <w:sz w:val="16"/>
                <w:szCs w:val="16"/>
              </w:rPr>
            </w:pPr>
          </w:p>
        </w:tc>
        <w:tc>
          <w:tcPr>
            <w:tcW w:w="2806" w:type="dxa"/>
            <w:tcBorders>
              <w:top w:val="single" w:sz="18" w:space="0" w:color="C0C0C0"/>
              <w:left w:val="single" w:sz="18" w:space="0" w:color="808080"/>
              <w:bottom w:val="single" w:sz="18" w:space="0" w:color="808080"/>
              <w:right w:val="single" w:sz="18" w:space="0" w:color="808080"/>
            </w:tcBorders>
            <w:shd w:val="clear" w:color="auto" w:fill="D9D9D9"/>
            <w:vAlign w:val="center"/>
          </w:tcPr>
          <w:p w14:paraId="4CA7FA98" w14:textId="77777777" w:rsidR="00DF019A" w:rsidRPr="008E7494" w:rsidRDefault="00DF019A" w:rsidP="00066DE4">
            <w:pPr>
              <w:spacing w:after="0" w:line="240" w:lineRule="auto"/>
              <w:jc w:val="center"/>
              <w:rPr>
                <w:rFonts w:cs="Arial"/>
                <w:color w:val="000000"/>
                <w:sz w:val="14"/>
                <w:szCs w:val="14"/>
              </w:rPr>
            </w:pPr>
            <w:r>
              <w:rPr>
                <w:rFonts w:cs="Arial"/>
                <w:color w:val="000000"/>
                <w:sz w:val="14"/>
                <w:szCs w:val="14"/>
              </w:rPr>
              <w:t>31 Office closed for Xmas</w:t>
            </w:r>
            <w:r>
              <w:rPr>
                <w:rFonts w:cs="Arial"/>
                <w:color w:val="000000"/>
                <w:sz w:val="14"/>
                <w:szCs w:val="14"/>
              </w:rPr>
              <w:br/>
              <w:t>1 New Year’s Day</w:t>
            </w:r>
          </w:p>
        </w:tc>
      </w:tr>
    </w:tbl>
    <w:p w14:paraId="7C670095" w14:textId="77777777" w:rsidR="00DF019A" w:rsidRPr="008E7494" w:rsidRDefault="00DF019A" w:rsidP="00DF019A">
      <w:pPr>
        <w:sectPr w:rsidR="00DF019A" w:rsidRPr="008E7494" w:rsidSect="00066DE4">
          <w:headerReference w:type="even" r:id="rId91"/>
          <w:headerReference w:type="default" r:id="rId92"/>
          <w:footerReference w:type="default" r:id="rId93"/>
          <w:headerReference w:type="first" r:id="rId94"/>
          <w:footnotePr>
            <w:numRestart w:val="eachSect"/>
          </w:footnotePr>
          <w:pgSz w:w="11906" w:h="16838" w:code="9"/>
          <w:pgMar w:top="284" w:right="851" w:bottom="284" w:left="851" w:header="0" w:footer="0" w:gutter="0"/>
          <w:pgNumType w:start="100"/>
          <w:cols w:space="708"/>
          <w:docGrid w:linePitch="360"/>
        </w:sectPr>
      </w:pPr>
    </w:p>
    <w:p w14:paraId="168E3EC1" w14:textId="77777777" w:rsidR="00DF019A" w:rsidRPr="004304D6" w:rsidRDefault="00DF019A" w:rsidP="004304D6">
      <w:pPr>
        <w:pStyle w:val="Heading3"/>
      </w:pPr>
      <w:r w:rsidRPr="004304D6">
        <w:lastRenderedPageBreak/>
        <w:t>Family Responsibilities Commission 1 January 2019 to 30 June 2019</w:t>
      </w:r>
    </w:p>
    <w:tbl>
      <w:tblPr>
        <w:tblW w:w="11482" w:type="dxa"/>
        <w:jc w:val="center"/>
        <w:tblBorders>
          <w:bottom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30"/>
        <w:gridCol w:w="1418"/>
        <w:gridCol w:w="1275"/>
        <w:gridCol w:w="1418"/>
        <w:gridCol w:w="1276"/>
        <w:gridCol w:w="1559"/>
        <w:gridCol w:w="2806"/>
      </w:tblGrid>
      <w:tr w:rsidR="00DF019A" w:rsidRPr="008E7494" w14:paraId="33CFAD08" w14:textId="77777777" w:rsidTr="00066DE4">
        <w:trPr>
          <w:trHeight w:hRule="exact" w:val="497"/>
          <w:tblHeader/>
          <w:jc w:val="center"/>
        </w:trPr>
        <w:tc>
          <w:tcPr>
            <w:tcW w:w="1730" w:type="dxa"/>
            <w:tcBorders>
              <w:top w:val="single" w:sz="18" w:space="0" w:color="808080"/>
              <w:left w:val="single" w:sz="18" w:space="0" w:color="808080"/>
              <w:bottom w:val="single" w:sz="18" w:space="0" w:color="808080"/>
              <w:right w:val="single" w:sz="18" w:space="0" w:color="C0C0C0"/>
            </w:tcBorders>
            <w:shd w:val="clear" w:color="auto" w:fill="D9D9D9"/>
            <w:vAlign w:val="center"/>
          </w:tcPr>
          <w:p w14:paraId="6A0A37DF" w14:textId="77777777" w:rsidR="00DF019A" w:rsidRPr="008E7494" w:rsidRDefault="00DF019A" w:rsidP="00066DE4">
            <w:pPr>
              <w:spacing w:after="60" w:line="240" w:lineRule="auto"/>
              <w:ind w:right="-102"/>
              <w:jc w:val="center"/>
              <w:rPr>
                <w:rFonts w:cs="Arial"/>
                <w:b/>
                <w:bCs/>
                <w:sz w:val="16"/>
                <w:szCs w:val="16"/>
              </w:rPr>
            </w:pPr>
            <w:r w:rsidRPr="008E7494">
              <w:rPr>
                <w:rFonts w:cs="Arial"/>
                <w:b/>
                <w:bCs/>
                <w:sz w:val="16"/>
                <w:szCs w:val="16"/>
              </w:rPr>
              <w:t>WEEK COMMENCING</w:t>
            </w:r>
          </w:p>
        </w:tc>
        <w:tc>
          <w:tcPr>
            <w:tcW w:w="1418" w:type="dxa"/>
            <w:tcBorders>
              <w:top w:val="single" w:sz="18" w:space="0" w:color="808080"/>
              <w:left w:val="single" w:sz="18" w:space="0" w:color="C0C0C0"/>
              <w:bottom w:val="single" w:sz="18" w:space="0" w:color="808080"/>
              <w:right w:val="single" w:sz="18" w:space="0" w:color="C0C0C0"/>
            </w:tcBorders>
            <w:shd w:val="clear" w:color="auto" w:fill="D9D9D9"/>
            <w:vAlign w:val="center"/>
          </w:tcPr>
          <w:p w14:paraId="250E43F9" w14:textId="77777777" w:rsidR="00DF019A" w:rsidRPr="008E7494" w:rsidRDefault="00DF019A" w:rsidP="00066DE4">
            <w:pPr>
              <w:spacing w:after="60" w:line="240" w:lineRule="auto"/>
              <w:jc w:val="center"/>
              <w:rPr>
                <w:rFonts w:cs="Arial"/>
                <w:b/>
                <w:bCs/>
                <w:sz w:val="16"/>
                <w:szCs w:val="16"/>
              </w:rPr>
            </w:pPr>
            <w:r w:rsidRPr="008E7494">
              <w:rPr>
                <w:rFonts w:cs="Arial"/>
                <w:b/>
                <w:bCs/>
                <w:sz w:val="16"/>
                <w:szCs w:val="16"/>
              </w:rPr>
              <w:t>MONDAY</w:t>
            </w:r>
          </w:p>
        </w:tc>
        <w:tc>
          <w:tcPr>
            <w:tcW w:w="1275" w:type="dxa"/>
            <w:tcBorders>
              <w:top w:val="single" w:sz="18" w:space="0" w:color="808080"/>
              <w:left w:val="single" w:sz="18" w:space="0" w:color="C0C0C0"/>
              <w:bottom w:val="single" w:sz="18" w:space="0" w:color="808080"/>
              <w:right w:val="single" w:sz="18" w:space="0" w:color="BFBFBF"/>
            </w:tcBorders>
            <w:shd w:val="clear" w:color="auto" w:fill="D9D9D9"/>
            <w:vAlign w:val="center"/>
          </w:tcPr>
          <w:p w14:paraId="2F5278C1" w14:textId="77777777" w:rsidR="00DF019A" w:rsidRPr="008E7494" w:rsidRDefault="00DF019A" w:rsidP="00066DE4">
            <w:pPr>
              <w:spacing w:after="60" w:line="240" w:lineRule="auto"/>
              <w:jc w:val="center"/>
              <w:rPr>
                <w:rFonts w:cs="Arial"/>
                <w:b/>
                <w:bCs/>
                <w:sz w:val="16"/>
                <w:szCs w:val="16"/>
              </w:rPr>
            </w:pPr>
            <w:r w:rsidRPr="008E7494">
              <w:rPr>
                <w:rFonts w:cs="Arial"/>
                <w:b/>
                <w:bCs/>
                <w:sz w:val="16"/>
                <w:szCs w:val="16"/>
              </w:rPr>
              <w:t>TUESDAY</w:t>
            </w:r>
          </w:p>
        </w:tc>
        <w:tc>
          <w:tcPr>
            <w:tcW w:w="1418" w:type="dxa"/>
            <w:tcBorders>
              <w:top w:val="single" w:sz="18" w:space="0" w:color="808080"/>
              <w:left w:val="single" w:sz="18" w:space="0" w:color="BFBFBF"/>
              <w:bottom w:val="single" w:sz="18" w:space="0" w:color="808080"/>
              <w:right w:val="single" w:sz="18" w:space="0" w:color="C0C0C0"/>
            </w:tcBorders>
            <w:shd w:val="clear" w:color="auto" w:fill="D9D9D9"/>
            <w:vAlign w:val="center"/>
          </w:tcPr>
          <w:p w14:paraId="09EF6107" w14:textId="77777777" w:rsidR="00DF019A" w:rsidRPr="008E7494" w:rsidRDefault="00DF019A" w:rsidP="00066DE4">
            <w:pPr>
              <w:spacing w:after="60" w:line="240" w:lineRule="auto"/>
              <w:jc w:val="center"/>
              <w:rPr>
                <w:rFonts w:cs="Arial"/>
                <w:b/>
                <w:bCs/>
                <w:sz w:val="16"/>
                <w:szCs w:val="16"/>
              </w:rPr>
            </w:pPr>
            <w:r w:rsidRPr="008E7494">
              <w:rPr>
                <w:rFonts w:cs="Arial"/>
                <w:b/>
                <w:bCs/>
                <w:sz w:val="16"/>
                <w:szCs w:val="16"/>
              </w:rPr>
              <w:t>WEDNESDAY</w:t>
            </w:r>
          </w:p>
        </w:tc>
        <w:tc>
          <w:tcPr>
            <w:tcW w:w="1276" w:type="dxa"/>
            <w:tcBorders>
              <w:top w:val="single" w:sz="18" w:space="0" w:color="808080"/>
              <w:left w:val="single" w:sz="18" w:space="0" w:color="C0C0C0"/>
              <w:bottom w:val="single" w:sz="18" w:space="0" w:color="808080"/>
              <w:right w:val="single" w:sz="18" w:space="0" w:color="C0C0C0"/>
            </w:tcBorders>
            <w:shd w:val="clear" w:color="auto" w:fill="D9D9D9"/>
            <w:vAlign w:val="center"/>
          </w:tcPr>
          <w:p w14:paraId="3F6A0603" w14:textId="77777777" w:rsidR="00DF019A" w:rsidRPr="008E7494" w:rsidRDefault="00DF019A" w:rsidP="00066DE4">
            <w:pPr>
              <w:spacing w:after="60" w:line="240" w:lineRule="auto"/>
              <w:jc w:val="center"/>
              <w:rPr>
                <w:rFonts w:cs="Arial"/>
                <w:b/>
                <w:bCs/>
                <w:sz w:val="16"/>
                <w:szCs w:val="16"/>
              </w:rPr>
            </w:pPr>
            <w:r w:rsidRPr="008E7494">
              <w:rPr>
                <w:rFonts w:cs="Arial"/>
                <w:b/>
                <w:bCs/>
                <w:sz w:val="16"/>
                <w:szCs w:val="16"/>
              </w:rPr>
              <w:t>THURSDAY</w:t>
            </w:r>
          </w:p>
        </w:tc>
        <w:tc>
          <w:tcPr>
            <w:tcW w:w="1559" w:type="dxa"/>
            <w:tcBorders>
              <w:top w:val="single" w:sz="18" w:space="0" w:color="808080"/>
              <w:left w:val="single" w:sz="18" w:space="0" w:color="C0C0C0"/>
              <w:bottom w:val="single" w:sz="18" w:space="0" w:color="808080"/>
              <w:right w:val="single" w:sz="18" w:space="0" w:color="808080"/>
            </w:tcBorders>
            <w:shd w:val="clear" w:color="auto" w:fill="D9D9D9"/>
            <w:vAlign w:val="center"/>
          </w:tcPr>
          <w:p w14:paraId="61756AF8" w14:textId="77777777" w:rsidR="00DF019A" w:rsidRPr="008E7494" w:rsidRDefault="00DF019A" w:rsidP="00066DE4">
            <w:pPr>
              <w:spacing w:after="60" w:line="240" w:lineRule="auto"/>
              <w:jc w:val="center"/>
              <w:rPr>
                <w:rFonts w:cs="Arial"/>
                <w:b/>
                <w:bCs/>
                <w:sz w:val="16"/>
                <w:szCs w:val="16"/>
              </w:rPr>
            </w:pPr>
            <w:r w:rsidRPr="008E7494">
              <w:rPr>
                <w:rFonts w:cs="Arial"/>
                <w:b/>
                <w:bCs/>
                <w:sz w:val="16"/>
                <w:szCs w:val="16"/>
              </w:rPr>
              <w:t>FRIDAY</w:t>
            </w:r>
          </w:p>
        </w:tc>
        <w:tc>
          <w:tcPr>
            <w:tcW w:w="2806" w:type="dxa"/>
            <w:tcBorders>
              <w:top w:val="single" w:sz="18" w:space="0" w:color="808080"/>
              <w:left w:val="single" w:sz="18" w:space="0" w:color="808080"/>
              <w:bottom w:val="single" w:sz="18" w:space="0" w:color="808080"/>
              <w:right w:val="single" w:sz="18" w:space="0" w:color="808080"/>
            </w:tcBorders>
            <w:shd w:val="clear" w:color="auto" w:fill="D9D9D9"/>
            <w:vAlign w:val="center"/>
          </w:tcPr>
          <w:p w14:paraId="709589AD" w14:textId="77777777" w:rsidR="00DF019A" w:rsidRPr="008E7494" w:rsidRDefault="00DF019A" w:rsidP="00066DE4">
            <w:pPr>
              <w:spacing w:after="60" w:line="240" w:lineRule="auto"/>
              <w:jc w:val="center"/>
              <w:rPr>
                <w:rFonts w:cs="Arial"/>
                <w:b/>
                <w:bCs/>
                <w:sz w:val="16"/>
                <w:szCs w:val="16"/>
              </w:rPr>
            </w:pPr>
            <w:r w:rsidRPr="008E7494">
              <w:rPr>
                <w:rFonts w:cs="Arial"/>
                <w:b/>
                <w:bCs/>
                <w:sz w:val="16"/>
                <w:szCs w:val="16"/>
              </w:rPr>
              <w:t>OTHER</w:t>
            </w:r>
          </w:p>
        </w:tc>
      </w:tr>
      <w:tr w:rsidR="00DF019A" w:rsidRPr="008E7494" w14:paraId="5B199225" w14:textId="77777777" w:rsidTr="00066DE4">
        <w:trPr>
          <w:trHeight w:val="397"/>
          <w:jc w:val="center"/>
        </w:trPr>
        <w:tc>
          <w:tcPr>
            <w:tcW w:w="1730" w:type="dxa"/>
            <w:tcBorders>
              <w:top w:val="single" w:sz="18" w:space="0" w:color="808080"/>
              <w:left w:val="single" w:sz="18" w:space="0" w:color="808080"/>
              <w:bottom w:val="single" w:sz="18" w:space="0" w:color="C0C0C0"/>
              <w:right w:val="single" w:sz="18" w:space="0" w:color="C0C0C0"/>
            </w:tcBorders>
            <w:vAlign w:val="center"/>
          </w:tcPr>
          <w:p w14:paraId="412DD70F" w14:textId="77777777" w:rsidR="00DF019A" w:rsidRPr="008E7494" w:rsidRDefault="00DF019A" w:rsidP="00066DE4">
            <w:pPr>
              <w:spacing w:after="0" w:line="240" w:lineRule="auto"/>
              <w:jc w:val="center"/>
              <w:rPr>
                <w:rFonts w:cs="Arial"/>
                <w:sz w:val="16"/>
                <w:szCs w:val="16"/>
              </w:rPr>
            </w:pPr>
            <w:r>
              <w:rPr>
                <w:rFonts w:cs="Arial"/>
                <w:sz w:val="16"/>
                <w:szCs w:val="16"/>
              </w:rPr>
              <w:t>31 December</w:t>
            </w:r>
          </w:p>
        </w:tc>
        <w:tc>
          <w:tcPr>
            <w:tcW w:w="1418" w:type="dxa"/>
            <w:tcBorders>
              <w:top w:val="single" w:sz="18" w:space="0" w:color="808080"/>
              <w:left w:val="single" w:sz="18" w:space="0" w:color="C0C0C0"/>
              <w:bottom w:val="single" w:sz="18" w:space="0" w:color="C0C0C0"/>
              <w:right w:val="single" w:sz="18" w:space="0" w:color="BFBFBF" w:themeColor="background1" w:themeShade="BF"/>
            </w:tcBorders>
            <w:shd w:val="clear" w:color="auto" w:fill="D9D9D9"/>
            <w:vAlign w:val="center"/>
          </w:tcPr>
          <w:p w14:paraId="16A03B69" w14:textId="77777777" w:rsidR="00DF019A" w:rsidRPr="008E7494" w:rsidRDefault="00DF019A" w:rsidP="00066DE4">
            <w:pPr>
              <w:spacing w:after="0" w:line="240" w:lineRule="auto"/>
              <w:jc w:val="center"/>
              <w:rPr>
                <w:rFonts w:cs="Arial"/>
                <w:sz w:val="16"/>
                <w:szCs w:val="16"/>
              </w:rPr>
            </w:pPr>
          </w:p>
        </w:tc>
        <w:tc>
          <w:tcPr>
            <w:tcW w:w="1275" w:type="dxa"/>
            <w:tcBorders>
              <w:top w:val="single" w:sz="18" w:space="0" w:color="808080"/>
              <w:left w:val="single" w:sz="18" w:space="0" w:color="BFBFBF" w:themeColor="background1" w:themeShade="BF"/>
              <w:bottom w:val="single" w:sz="18" w:space="0" w:color="C0C0C0"/>
              <w:right w:val="single" w:sz="18" w:space="0" w:color="BFBFBF" w:themeColor="background1" w:themeShade="BF"/>
            </w:tcBorders>
            <w:shd w:val="clear" w:color="auto" w:fill="D9D9D9"/>
            <w:vAlign w:val="center"/>
          </w:tcPr>
          <w:p w14:paraId="1C13E045" w14:textId="77777777" w:rsidR="00DF019A" w:rsidRPr="008E7494" w:rsidRDefault="00DF019A" w:rsidP="00066DE4">
            <w:pPr>
              <w:spacing w:after="0" w:line="240" w:lineRule="auto"/>
              <w:jc w:val="center"/>
              <w:rPr>
                <w:rFonts w:cs="Arial"/>
                <w:sz w:val="16"/>
                <w:szCs w:val="16"/>
              </w:rPr>
            </w:pPr>
            <w:r w:rsidRPr="008E7494">
              <w:rPr>
                <w:rFonts w:cs="Arial"/>
                <w:sz w:val="16"/>
                <w:szCs w:val="16"/>
              </w:rPr>
              <w:t>Public Holiday</w:t>
            </w:r>
          </w:p>
        </w:tc>
        <w:tc>
          <w:tcPr>
            <w:tcW w:w="1418" w:type="dxa"/>
            <w:tcBorders>
              <w:top w:val="single" w:sz="18" w:space="0" w:color="808080"/>
              <w:left w:val="single" w:sz="18" w:space="0" w:color="BFBFBF" w:themeColor="background1" w:themeShade="BF"/>
              <w:bottom w:val="single" w:sz="18" w:space="0" w:color="C0C0C0"/>
              <w:right w:val="single" w:sz="18" w:space="0" w:color="BFBFBF" w:themeColor="background1" w:themeShade="BF"/>
            </w:tcBorders>
            <w:shd w:val="clear" w:color="auto" w:fill="D9D9D9"/>
            <w:vAlign w:val="center"/>
          </w:tcPr>
          <w:p w14:paraId="418F8897" w14:textId="77777777" w:rsidR="00DF019A" w:rsidRPr="008E7494" w:rsidRDefault="00DF019A" w:rsidP="00066DE4">
            <w:pPr>
              <w:spacing w:after="0" w:line="240" w:lineRule="auto"/>
              <w:jc w:val="center"/>
              <w:rPr>
                <w:rFonts w:cs="Arial"/>
                <w:sz w:val="16"/>
                <w:szCs w:val="16"/>
              </w:rPr>
            </w:pPr>
          </w:p>
        </w:tc>
        <w:tc>
          <w:tcPr>
            <w:tcW w:w="1276" w:type="dxa"/>
            <w:tcBorders>
              <w:top w:val="single" w:sz="18" w:space="0" w:color="808080"/>
              <w:left w:val="single" w:sz="18" w:space="0" w:color="BFBFBF" w:themeColor="background1" w:themeShade="BF"/>
              <w:bottom w:val="single" w:sz="18" w:space="0" w:color="C0C0C0"/>
              <w:right w:val="single" w:sz="18" w:space="0" w:color="BFBFBF" w:themeColor="background1" w:themeShade="BF"/>
            </w:tcBorders>
            <w:shd w:val="clear" w:color="auto" w:fill="D9D9D9"/>
            <w:vAlign w:val="center"/>
          </w:tcPr>
          <w:p w14:paraId="3A77D44F" w14:textId="77777777" w:rsidR="00DF019A" w:rsidRPr="008E7494" w:rsidRDefault="00DF019A" w:rsidP="00066DE4">
            <w:pPr>
              <w:spacing w:after="0" w:line="240" w:lineRule="auto"/>
              <w:jc w:val="center"/>
              <w:rPr>
                <w:rFonts w:cs="Arial"/>
                <w:sz w:val="16"/>
                <w:szCs w:val="16"/>
              </w:rPr>
            </w:pPr>
          </w:p>
        </w:tc>
        <w:tc>
          <w:tcPr>
            <w:tcW w:w="1559" w:type="dxa"/>
            <w:tcBorders>
              <w:top w:val="single" w:sz="18" w:space="0" w:color="808080"/>
              <w:left w:val="single" w:sz="18" w:space="0" w:color="BFBFBF" w:themeColor="background1" w:themeShade="BF"/>
              <w:bottom w:val="single" w:sz="18" w:space="0" w:color="C0C0C0"/>
              <w:right w:val="single" w:sz="18" w:space="0" w:color="808080"/>
            </w:tcBorders>
            <w:shd w:val="clear" w:color="auto" w:fill="D9D9D9"/>
            <w:vAlign w:val="center"/>
          </w:tcPr>
          <w:p w14:paraId="2218B12B" w14:textId="77777777" w:rsidR="00DF019A" w:rsidRPr="008E7494" w:rsidRDefault="00DF019A" w:rsidP="00066DE4">
            <w:pPr>
              <w:spacing w:after="0" w:line="240" w:lineRule="auto"/>
              <w:jc w:val="center"/>
              <w:rPr>
                <w:rFonts w:cs="Arial"/>
                <w:bCs/>
                <w:sz w:val="16"/>
                <w:szCs w:val="16"/>
              </w:rPr>
            </w:pPr>
          </w:p>
        </w:tc>
        <w:tc>
          <w:tcPr>
            <w:tcW w:w="2806" w:type="dxa"/>
            <w:tcBorders>
              <w:top w:val="single" w:sz="18" w:space="0" w:color="808080"/>
              <w:left w:val="single" w:sz="18" w:space="0" w:color="808080"/>
              <w:bottom w:val="single" w:sz="18" w:space="0" w:color="C0C0C0"/>
              <w:right w:val="single" w:sz="18" w:space="0" w:color="808080"/>
            </w:tcBorders>
            <w:shd w:val="clear" w:color="auto" w:fill="D9D9D9"/>
            <w:vAlign w:val="center"/>
          </w:tcPr>
          <w:p w14:paraId="285189A0" w14:textId="77777777" w:rsidR="00DF019A" w:rsidRPr="008E7494" w:rsidRDefault="00DF019A" w:rsidP="00066DE4">
            <w:pPr>
              <w:spacing w:after="0" w:line="240" w:lineRule="auto"/>
              <w:jc w:val="center"/>
              <w:rPr>
                <w:rFonts w:cs="Arial"/>
                <w:sz w:val="16"/>
                <w:szCs w:val="16"/>
              </w:rPr>
            </w:pPr>
            <w:r w:rsidRPr="008E7494">
              <w:rPr>
                <w:rFonts w:cs="Arial"/>
                <w:sz w:val="16"/>
                <w:szCs w:val="16"/>
              </w:rPr>
              <w:t>1 New Year’s Day</w:t>
            </w:r>
          </w:p>
        </w:tc>
      </w:tr>
      <w:tr w:rsidR="00DF019A" w:rsidRPr="008E7494" w14:paraId="455E6460" w14:textId="77777777" w:rsidTr="00066DE4">
        <w:trPr>
          <w:trHeight w:val="397"/>
          <w:jc w:val="center"/>
        </w:trPr>
        <w:tc>
          <w:tcPr>
            <w:tcW w:w="1730" w:type="dxa"/>
            <w:tcBorders>
              <w:top w:val="single" w:sz="18" w:space="0" w:color="C0C0C0"/>
              <w:left w:val="single" w:sz="18" w:space="0" w:color="808080"/>
              <w:bottom w:val="single" w:sz="18" w:space="0" w:color="C0C0C0"/>
              <w:right w:val="single" w:sz="18" w:space="0" w:color="C0C0C0"/>
            </w:tcBorders>
            <w:vAlign w:val="center"/>
          </w:tcPr>
          <w:p w14:paraId="7F08792B" w14:textId="77777777" w:rsidR="00DF019A" w:rsidRPr="008E7494" w:rsidRDefault="00DF019A" w:rsidP="00066DE4">
            <w:pPr>
              <w:spacing w:after="0" w:line="240" w:lineRule="auto"/>
              <w:jc w:val="center"/>
              <w:rPr>
                <w:rFonts w:cs="Arial"/>
                <w:sz w:val="16"/>
                <w:szCs w:val="16"/>
              </w:rPr>
            </w:pPr>
            <w:r>
              <w:rPr>
                <w:rFonts w:cs="Arial"/>
                <w:sz w:val="16"/>
                <w:szCs w:val="16"/>
              </w:rPr>
              <w:t>7</w:t>
            </w:r>
            <w:r w:rsidRPr="008E7494">
              <w:rPr>
                <w:rFonts w:cs="Arial"/>
                <w:sz w:val="16"/>
                <w:szCs w:val="16"/>
              </w:rPr>
              <w:t xml:space="preserve"> January</w:t>
            </w:r>
          </w:p>
        </w:tc>
        <w:tc>
          <w:tcPr>
            <w:tcW w:w="1418" w:type="dxa"/>
            <w:tcBorders>
              <w:top w:val="single" w:sz="18" w:space="0" w:color="C0C0C0"/>
              <w:left w:val="single" w:sz="18" w:space="0" w:color="C0C0C0"/>
              <w:bottom w:val="single" w:sz="18" w:space="0" w:color="C0C0C0"/>
              <w:right w:val="single" w:sz="18" w:space="0" w:color="BFBFBF" w:themeColor="background1" w:themeShade="BF"/>
            </w:tcBorders>
            <w:shd w:val="clear" w:color="auto" w:fill="D9D9D9"/>
            <w:vAlign w:val="center"/>
          </w:tcPr>
          <w:p w14:paraId="031D5DC3" w14:textId="77777777" w:rsidR="00DF019A" w:rsidRPr="008E7494" w:rsidRDefault="00DF019A" w:rsidP="00066DE4">
            <w:pPr>
              <w:spacing w:after="0" w:line="240" w:lineRule="auto"/>
              <w:jc w:val="center"/>
              <w:rPr>
                <w:rFonts w:cs="Arial"/>
                <w:sz w:val="16"/>
                <w:szCs w:val="16"/>
              </w:rPr>
            </w:pPr>
          </w:p>
        </w:tc>
        <w:tc>
          <w:tcPr>
            <w:tcW w:w="1275" w:type="dxa"/>
            <w:tcBorders>
              <w:top w:val="single" w:sz="18" w:space="0" w:color="C0C0C0"/>
              <w:left w:val="single" w:sz="18" w:space="0" w:color="BFBFBF" w:themeColor="background1" w:themeShade="BF"/>
              <w:bottom w:val="single" w:sz="18" w:space="0" w:color="C0C0C0"/>
              <w:right w:val="single" w:sz="18" w:space="0" w:color="BFBFBF" w:themeColor="background1" w:themeShade="BF"/>
            </w:tcBorders>
            <w:shd w:val="clear" w:color="auto" w:fill="D9D9D9"/>
            <w:vAlign w:val="center"/>
          </w:tcPr>
          <w:p w14:paraId="18A2AE20" w14:textId="77777777" w:rsidR="00DF019A" w:rsidRPr="008E7494" w:rsidRDefault="00DF019A" w:rsidP="00066DE4">
            <w:pPr>
              <w:spacing w:after="0" w:line="240" w:lineRule="auto"/>
              <w:jc w:val="center"/>
              <w:rPr>
                <w:rFonts w:cs="Arial"/>
                <w:sz w:val="16"/>
                <w:szCs w:val="16"/>
              </w:rPr>
            </w:pPr>
          </w:p>
        </w:tc>
        <w:tc>
          <w:tcPr>
            <w:tcW w:w="1418" w:type="dxa"/>
            <w:tcBorders>
              <w:top w:val="single" w:sz="18" w:space="0" w:color="C0C0C0"/>
              <w:left w:val="single" w:sz="18" w:space="0" w:color="BFBFBF" w:themeColor="background1" w:themeShade="BF"/>
              <w:bottom w:val="single" w:sz="18" w:space="0" w:color="C0C0C0"/>
              <w:right w:val="single" w:sz="18" w:space="0" w:color="BFBFBF" w:themeColor="background1" w:themeShade="BF"/>
            </w:tcBorders>
            <w:shd w:val="clear" w:color="auto" w:fill="D9D9D9"/>
            <w:vAlign w:val="center"/>
          </w:tcPr>
          <w:p w14:paraId="33FEC284" w14:textId="77777777" w:rsidR="00DF019A" w:rsidRPr="008E7494" w:rsidRDefault="00DF019A" w:rsidP="00066DE4">
            <w:pPr>
              <w:spacing w:after="0" w:line="240" w:lineRule="auto"/>
              <w:jc w:val="center"/>
              <w:rPr>
                <w:rFonts w:cs="Arial"/>
                <w:sz w:val="16"/>
                <w:szCs w:val="16"/>
              </w:rPr>
            </w:pPr>
          </w:p>
        </w:tc>
        <w:tc>
          <w:tcPr>
            <w:tcW w:w="1276" w:type="dxa"/>
            <w:tcBorders>
              <w:top w:val="single" w:sz="18" w:space="0" w:color="C0C0C0"/>
              <w:left w:val="single" w:sz="18" w:space="0" w:color="BFBFBF" w:themeColor="background1" w:themeShade="BF"/>
              <w:bottom w:val="single" w:sz="18" w:space="0" w:color="C0C0C0"/>
              <w:right w:val="single" w:sz="18" w:space="0" w:color="BFBFBF" w:themeColor="background1" w:themeShade="BF"/>
            </w:tcBorders>
            <w:shd w:val="clear" w:color="auto" w:fill="D9D9D9"/>
            <w:vAlign w:val="center"/>
          </w:tcPr>
          <w:p w14:paraId="4F7917F8" w14:textId="77777777" w:rsidR="00DF019A" w:rsidRPr="008E7494" w:rsidRDefault="00DF019A" w:rsidP="00066DE4">
            <w:pPr>
              <w:spacing w:after="0" w:line="240" w:lineRule="auto"/>
              <w:jc w:val="center"/>
              <w:rPr>
                <w:rFonts w:cs="Arial"/>
                <w:sz w:val="16"/>
                <w:szCs w:val="16"/>
              </w:rPr>
            </w:pPr>
          </w:p>
        </w:tc>
        <w:tc>
          <w:tcPr>
            <w:tcW w:w="1559" w:type="dxa"/>
            <w:tcBorders>
              <w:top w:val="single" w:sz="18" w:space="0" w:color="C0C0C0"/>
              <w:left w:val="single" w:sz="18" w:space="0" w:color="BFBFBF" w:themeColor="background1" w:themeShade="BF"/>
              <w:bottom w:val="single" w:sz="18" w:space="0" w:color="C0C0C0"/>
              <w:right w:val="single" w:sz="18" w:space="0" w:color="808080"/>
            </w:tcBorders>
            <w:shd w:val="clear" w:color="auto" w:fill="D9D9D9"/>
            <w:vAlign w:val="center"/>
          </w:tcPr>
          <w:p w14:paraId="73997303" w14:textId="77777777" w:rsidR="00DF019A" w:rsidRPr="008E7494" w:rsidRDefault="00DF019A" w:rsidP="00066DE4">
            <w:pPr>
              <w:spacing w:after="0" w:line="240" w:lineRule="auto"/>
              <w:jc w:val="center"/>
              <w:rPr>
                <w:rFonts w:cs="Arial"/>
                <w:bCs/>
                <w:sz w:val="16"/>
                <w:szCs w:val="16"/>
              </w:rPr>
            </w:pPr>
          </w:p>
        </w:tc>
        <w:tc>
          <w:tcPr>
            <w:tcW w:w="2806" w:type="dxa"/>
            <w:tcBorders>
              <w:top w:val="single" w:sz="18" w:space="0" w:color="C0C0C0"/>
              <w:left w:val="single" w:sz="18" w:space="0" w:color="808080"/>
              <w:bottom w:val="single" w:sz="18" w:space="0" w:color="C0C0C0"/>
              <w:right w:val="single" w:sz="18" w:space="0" w:color="808080"/>
            </w:tcBorders>
            <w:shd w:val="clear" w:color="auto" w:fill="D9D9D9"/>
            <w:vAlign w:val="center"/>
          </w:tcPr>
          <w:p w14:paraId="60DE25D6" w14:textId="77777777" w:rsidR="00DF019A" w:rsidRPr="008E7494" w:rsidRDefault="00DF019A" w:rsidP="00066DE4">
            <w:pPr>
              <w:spacing w:after="0" w:line="240" w:lineRule="auto"/>
              <w:jc w:val="center"/>
              <w:rPr>
                <w:rFonts w:cs="Arial"/>
                <w:sz w:val="16"/>
                <w:szCs w:val="16"/>
              </w:rPr>
            </w:pPr>
          </w:p>
        </w:tc>
      </w:tr>
      <w:tr w:rsidR="00DF019A" w:rsidRPr="008E7494" w14:paraId="4D0B111B" w14:textId="77777777" w:rsidTr="00066DE4">
        <w:trPr>
          <w:trHeight w:val="397"/>
          <w:jc w:val="center"/>
        </w:trPr>
        <w:tc>
          <w:tcPr>
            <w:tcW w:w="1730" w:type="dxa"/>
            <w:tcBorders>
              <w:top w:val="single" w:sz="18" w:space="0" w:color="C0C0C0"/>
              <w:left w:val="single" w:sz="18" w:space="0" w:color="808080"/>
              <w:bottom w:val="single" w:sz="18" w:space="0" w:color="C0C0C0"/>
              <w:right w:val="single" w:sz="18" w:space="0" w:color="C0C0C0"/>
            </w:tcBorders>
            <w:vAlign w:val="center"/>
          </w:tcPr>
          <w:p w14:paraId="513D845A" w14:textId="77777777" w:rsidR="00DF019A" w:rsidRPr="008E7494" w:rsidRDefault="00DF019A" w:rsidP="00066DE4">
            <w:pPr>
              <w:spacing w:after="0" w:line="240" w:lineRule="auto"/>
              <w:jc w:val="center"/>
              <w:rPr>
                <w:rFonts w:cs="Arial"/>
                <w:sz w:val="16"/>
                <w:szCs w:val="16"/>
              </w:rPr>
            </w:pPr>
            <w:r w:rsidRPr="008E7494">
              <w:rPr>
                <w:rFonts w:cs="Arial"/>
                <w:sz w:val="16"/>
                <w:szCs w:val="16"/>
              </w:rPr>
              <w:t>1</w:t>
            </w:r>
            <w:r>
              <w:rPr>
                <w:rFonts w:cs="Arial"/>
                <w:sz w:val="16"/>
                <w:szCs w:val="16"/>
              </w:rPr>
              <w:t>4</w:t>
            </w:r>
            <w:r w:rsidRPr="008E7494">
              <w:rPr>
                <w:rFonts w:cs="Arial"/>
                <w:sz w:val="16"/>
                <w:szCs w:val="16"/>
              </w:rPr>
              <w:t xml:space="preserve"> January</w:t>
            </w:r>
          </w:p>
        </w:tc>
        <w:tc>
          <w:tcPr>
            <w:tcW w:w="1418" w:type="dxa"/>
            <w:tcBorders>
              <w:top w:val="single" w:sz="18" w:space="0" w:color="C0C0C0"/>
              <w:left w:val="single" w:sz="18" w:space="0" w:color="C0C0C0"/>
              <w:bottom w:val="single" w:sz="18" w:space="0" w:color="C0C0C0"/>
              <w:right w:val="single" w:sz="18" w:space="0" w:color="BFBFBF" w:themeColor="background1" w:themeShade="BF"/>
            </w:tcBorders>
            <w:shd w:val="clear" w:color="auto" w:fill="D9D9D9"/>
            <w:vAlign w:val="center"/>
          </w:tcPr>
          <w:p w14:paraId="400B437E" w14:textId="77777777" w:rsidR="00DF019A" w:rsidRPr="008E7494" w:rsidRDefault="00DF019A" w:rsidP="00066DE4">
            <w:pPr>
              <w:spacing w:after="0" w:line="240" w:lineRule="auto"/>
              <w:jc w:val="center"/>
              <w:rPr>
                <w:rFonts w:cs="Arial"/>
                <w:sz w:val="16"/>
                <w:szCs w:val="16"/>
              </w:rPr>
            </w:pPr>
          </w:p>
        </w:tc>
        <w:tc>
          <w:tcPr>
            <w:tcW w:w="1275" w:type="dxa"/>
            <w:tcBorders>
              <w:top w:val="single" w:sz="18" w:space="0" w:color="C0C0C0"/>
              <w:left w:val="single" w:sz="18" w:space="0" w:color="BFBFBF" w:themeColor="background1" w:themeShade="BF"/>
              <w:bottom w:val="single" w:sz="18" w:space="0" w:color="C0C0C0"/>
              <w:right w:val="single" w:sz="18" w:space="0" w:color="BFBFBF" w:themeColor="background1" w:themeShade="BF"/>
            </w:tcBorders>
            <w:shd w:val="clear" w:color="auto" w:fill="D9D9D9"/>
            <w:vAlign w:val="center"/>
          </w:tcPr>
          <w:p w14:paraId="0B29079A" w14:textId="77777777" w:rsidR="00DF019A" w:rsidRPr="008E7494" w:rsidRDefault="00DF019A" w:rsidP="00066DE4">
            <w:pPr>
              <w:spacing w:after="0" w:line="240" w:lineRule="auto"/>
              <w:jc w:val="center"/>
              <w:rPr>
                <w:rFonts w:cs="Arial"/>
                <w:sz w:val="16"/>
                <w:szCs w:val="16"/>
              </w:rPr>
            </w:pPr>
          </w:p>
        </w:tc>
        <w:tc>
          <w:tcPr>
            <w:tcW w:w="1418" w:type="dxa"/>
            <w:tcBorders>
              <w:top w:val="single" w:sz="18" w:space="0" w:color="C0C0C0"/>
              <w:left w:val="single" w:sz="18" w:space="0" w:color="BFBFBF" w:themeColor="background1" w:themeShade="BF"/>
              <w:bottom w:val="single" w:sz="18" w:space="0" w:color="C0C0C0"/>
              <w:right w:val="single" w:sz="18" w:space="0" w:color="BFBFBF" w:themeColor="background1" w:themeShade="BF"/>
            </w:tcBorders>
            <w:shd w:val="clear" w:color="auto" w:fill="D9D9D9"/>
            <w:vAlign w:val="center"/>
          </w:tcPr>
          <w:p w14:paraId="401555B8" w14:textId="77777777" w:rsidR="00DF019A" w:rsidRPr="008E7494" w:rsidRDefault="00DF019A" w:rsidP="00066DE4">
            <w:pPr>
              <w:spacing w:after="0" w:line="240" w:lineRule="auto"/>
              <w:jc w:val="center"/>
              <w:rPr>
                <w:rFonts w:cs="Arial"/>
                <w:sz w:val="16"/>
                <w:szCs w:val="16"/>
              </w:rPr>
            </w:pPr>
          </w:p>
        </w:tc>
        <w:tc>
          <w:tcPr>
            <w:tcW w:w="1276" w:type="dxa"/>
            <w:tcBorders>
              <w:top w:val="single" w:sz="18" w:space="0" w:color="C0C0C0"/>
              <w:left w:val="single" w:sz="18" w:space="0" w:color="BFBFBF" w:themeColor="background1" w:themeShade="BF"/>
              <w:bottom w:val="single" w:sz="18" w:space="0" w:color="C0C0C0"/>
              <w:right w:val="single" w:sz="18" w:space="0" w:color="BFBFBF" w:themeColor="background1" w:themeShade="BF"/>
            </w:tcBorders>
            <w:shd w:val="clear" w:color="auto" w:fill="D9D9D9"/>
            <w:vAlign w:val="center"/>
          </w:tcPr>
          <w:p w14:paraId="0D864538" w14:textId="77777777" w:rsidR="00DF019A" w:rsidRPr="008E7494" w:rsidRDefault="00DF019A" w:rsidP="00066DE4">
            <w:pPr>
              <w:spacing w:after="0" w:line="240" w:lineRule="auto"/>
              <w:jc w:val="center"/>
              <w:rPr>
                <w:rFonts w:cs="Arial"/>
                <w:sz w:val="16"/>
                <w:szCs w:val="16"/>
              </w:rPr>
            </w:pPr>
          </w:p>
        </w:tc>
        <w:tc>
          <w:tcPr>
            <w:tcW w:w="1559" w:type="dxa"/>
            <w:tcBorders>
              <w:top w:val="single" w:sz="18" w:space="0" w:color="C0C0C0"/>
              <w:left w:val="single" w:sz="18" w:space="0" w:color="BFBFBF" w:themeColor="background1" w:themeShade="BF"/>
              <w:bottom w:val="single" w:sz="18" w:space="0" w:color="C0C0C0"/>
              <w:right w:val="single" w:sz="18" w:space="0" w:color="808080"/>
            </w:tcBorders>
            <w:shd w:val="clear" w:color="auto" w:fill="D9D9D9"/>
            <w:vAlign w:val="center"/>
          </w:tcPr>
          <w:p w14:paraId="731A32DB" w14:textId="77777777" w:rsidR="00DF019A" w:rsidRPr="008E7494" w:rsidRDefault="00DF019A" w:rsidP="00066DE4">
            <w:pPr>
              <w:spacing w:after="0" w:line="240" w:lineRule="auto"/>
              <w:jc w:val="center"/>
              <w:rPr>
                <w:rFonts w:cs="Arial"/>
                <w:bCs/>
                <w:sz w:val="16"/>
                <w:szCs w:val="16"/>
              </w:rPr>
            </w:pPr>
          </w:p>
        </w:tc>
        <w:tc>
          <w:tcPr>
            <w:tcW w:w="2806" w:type="dxa"/>
            <w:tcBorders>
              <w:top w:val="single" w:sz="18" w:space="0" w:color="C0C0C0"/>
              <w:left w:val="single" w:sz="18" w:space="0" w:color="808080"/>
              <w:bottom w:val="single" w:sz="18" w:space="0" w:color="C0C0C0"/>
              <w:right w:val="single" w:sz="18" w:space="0" w:color="808080"/>
            </w:tcBorders>
            <w:shd w:val="clear" w:color="auto" w:fill="D9D9D9"/>
            <w:vAlign w:val="center"/>
          </w:tcPr>
          <w:p w14:paraId="4F1E00A1" w14:textId="77777777" w:rsidR="00DF019A" w:rsidRPr="008E7494" w:rsidRDefault="00DF019A" w:rsidP="00066DE4">
            <w:pPr>
              <w:spacing w:after="0" w:line="240" w:lineRule="auto"/>
              <w:jc w:val="center"/>
              <w:rPr>
                <w:rFonts w:cs="Arial"/>
                <w:sz w:val="16"/>
                <w:szCs w:val="16"/>
              </w:rPr>
            </w:pPr>
          </w:p>
        </w:tc>
      </w:tr>
      <w:tr w:rsidR="00DF019A" w:rsidRPr="008E7494" w14:paraId="46ADF5CB" w14:textId="77777777" w:rsidTr="00066DE4">
        <w:trPr>
          <w:trHeight w:val="397"/>
          <w:jc w:val="center"/>
        </w:trPr>
        <w:tc>
          <w:tcPr>
            <w:tcW w:w="1730" w:type="dxa"/>
            <w:tcBorders>
              <w:top w:val="single" w:sz="18" w:space="0" w:color="C0C0C0"/>
              <w:left w:val="single" w:sz="18" w:space="0" w:color="808080"/>
              <w:bottom w:val="single" w:sz="18" w:space="0" w:color="C0C0C0"/>
              <w:right w:val="single" w:sz="18" w:space="0" w:color="C0C0C0"/>
            </w:tcBorders>
            <w:vAlign w:val="center"/>
          </w:tcPr>
          <w:p w14:paraId="3C9C12DF" w14:textId="77777777" w:rsidR="00DF019A" w:rsidRPr="008E7494" w:rsidRDefault="00DF019A" w:rsidP="00066DE4">
            <w:pPr>
              <w:spacing w:after="0" w:line="240" w:lineRule="auto"/>
              <w:jc w:val="center"/>
              <w:rPr>
                <w:rFonts w:cs="Arial"/>
                <w:sz w:val="16"/>
                <w:szCs w:val="16"/>
              </w:rPr>
            </w:pPr>
            <w:r w:rsidRPr="008E7494">
              <w:rPr>
                <w:rFonts w:cs="Arial"/>
                <w:sz w:val="16"/>
                <w:szCs w:val="16"/>
              </w:rPr>
              <w:t>2</w:t>
            </w:r>
            <w:r>
              <w:rPr>
                <w:rFonts w:cs="Arial"/>
                <w:sz w:val="16"/>
                <w:szCs w:val="16"/>
              </w:rPr>
              <w:t>1</w:t>
            </w:r>
            <w:r w:rsidRPr="008E7494">
              <w:rPr>
                <w:rFonts w:cs="Arial"/>
                <w:sz w:val="16"/>
                <w:szCs w:val="16"/>
              </w:rPr>
              <w:t xml:space="preserve"> January</w:t>
            </w:r>
          </w:p>
        </w:tc>
        <w:tc>
          <w:tcPr>
            <w:tcW w:w="1418" w:type="dxa"/>
            <w:tcBorders>
              <w:top w:val="single" w:sz="18" w:space="0" w:color="C0C0C0"/>
              <w:left w:val="single" w:sz="18" w:space="0" w:color="C0C0C0"/>
              <w:bottom w:val="single" w:sz="18" w:space="0" w:color="C0C0C0"/>
              <w:right w:val="single" w:sz="18" w:space="0" w:color="BFBFBF" w:themeColor="background1" w:themeShade="BF"/>
            </w:tcBorders>
            <w:shd w:val="clear" w:color="auto" w:fill="D9D9D9"/>
            <w:vAlign w:val="center"/>
          </w:tcPr>
          <w:p w14:paraId="4A8CDB97" w14:textId="77777777" w:rsidR="00DF019A" w:rsidRPr="008E7494" w:rsidRDefault="00DF019A" w:rsidP="00066DE4">
            <w:pPr>
              <w:spacing w:after="0" w:line="240" w:lineRule="auto"/>
              <w:jc w:val="center"/>
              <w:rPr>
                <w:rFonts w:cs="Arial"/>
                <w:sz w:val="16"/>
                <w:szCs w:val="16"/>
              </w:rPr>
            </w:pPr>
          </w:p>
        </w:tc>
        <w:tc>
          <w:tcPr>
            <w:tcW w:w="1275" w:type="dxa"/>
            <w:tcBorders>
              <w:top w:val="single" w:sz="18" w:space="0" w:color="C0C0C0"/>
              <w:left w:val="single" w:sz="18" w:space="0" w:color="BFBFBF" w:themeColor="background1" w:themeShade="BF"/>
              <w:right w:val="single" w:sz="18" w:space="0" w:color="BFBFBF" w:themeColor="background1" w:themeShade="BF"/>
            </w:tcBorders>
            <w:shd w:val="clear" w:color="auto" w:fill="D9D9D9"/>
            <w:vAlign w:val="center"/>
          </w:tcPr>
          <w:p w14:paraId="18D0FCE2" w14:textId="77777777" w:rsidR="00DF019A" w:rsidRPr="008E7494" w:rsidRDefault="00DF019A" w:rsidP="00066DE4">
            <w:pPr>
              <w:spacing w:after="0" w:line="240" w:lineRule="auto"/>
              <w:jc w:val="center"/>
              <w:rPr>
                <w:rFonts w:cs="Arial"/>
                <w:sz w:val="16"/>
                <w:szCs w:val="16"/>
              </w:rPr>
            </w:pPr>
          </w:p>
        </w:tc>
        <w:tc>
          <w:tcPr>
            <w:tcW w:w="1418" w:type="dxa"/>
            <w:tcBorders>
              <w:top w:val="single" w:sz="18" w:space="0" w:color="C0C0C0"/>
              <w:left w:val="single" w:sz="18" w:space="0" w:color="BFBFBF" w:themeColor="background1" w:themeShade="BF"/>
              <w:right w:val="single" w:sz="18" w:space="0" w:color="BFBFBF" w:themeColor="background1" w:themeShade="BF"/>
            </w:tcBorders>
            <w:shd w:val="clear" w:color="auto" w:fill="D9D9D9"/>
            <w:vAlign w:val="center"/>
          </w:tcPr>
          <w:p w14:paraId="24823974" w14:textId="77777777" w:rsidR="00DF019A" w:rsidRPr="008E7494" w:rsidRDefault="00DF019A" w:rsidP="00066DE4">
            <w:pPr>
              <w:spacing w:after="0" w:line="240" w:lineRule="auto"/>
              <w:jc w:val="center"/>
              <w:rPr>
                <w:rFonts w:cs="Arial"/>
                <w:sz w:val="16"/>
                <w:szCs w:val="16"/>
              </w:rPr>
            </w:pPr>
          </w:p>
        </w:tc>
        <w:tc>
          <w:tcPr>
            <w:tcW w:w="1276" w:type="dxa"/>
            <w:tcBorders>
              <w:top w:val="single" w:sz="18" w:space="0" w:color="C0C0C0"/>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D9D9D9"/>
            <w:vAlign w:val="center"/>
          </w:tcPr>
          <w:p w14:paraId="32E2D854" w14:textId="77777777" w:rsidR="00DF019A" w:rsidRPr="008E7494" w:rsidRDefault="00DF019A" w:rsidP="00066DE4">
            <w:pPr>
              <w:spacing w:after="0" w:line="240" w:lineRule="auto"/>
              <w:jc w:val="center"/>
              <w:rPr>
                <w:rFonts w:cs="Arial"/>
                <w:sz w:val="16"/>
                <w:szCs w:val="16"/>
              </w:rPr>
            </w:pPr>
          </w:p>
        </w:tc>
        <w:tc>
          <w:tcPr>
            <w:tcW w:w="1559" w:type="dxa"/>
            <w:tcBorders>
              <w:top w:val="single" w:sz="18" w:space="0" w:color="C0C0C0"/>
              <w:left w:val="single" w:sz="18" w:space="0" w:color="BFBFBF" w:themeColor="background1" w:themeShade="BF"/>
              <w:bottom w:val="single" w:sz="18" w:space="0" w:color="BFBFBF" w:themeColor="background1" w:themeShade="BF"/>
              <w:right w:val="single" w:sz="18" w:space="0" w:color="808080"/>
            </w:tcBorders>
            <w:shd w:val="clear" w:color="auto" w:fill="D9D9D9"/>
            <w:vAlign w:val="center"/>
          </w:tcPr>
          <w:p w14:paraId="4391E967" w14:textId="77777777" w:rsidR="00DF019A" w:rsidRPr="008E7494" w:rsidRDefault="00DF019A" w:rsidP="00066DE4">
            <w:pPr>
              <w:spacing w:after="0" w:line="240" w:lineRule="auto"/>
              <w:jc w:val="center"/>
              <w:rPr>
                <w:rFonts w:cs="Arial"/>
                <w:bCs/>
                <w:sz w:val="16"/>
                <w:szCs w:val="16"/>
              </w:rPr>
            </w:pPr>
          </w:p>
        </w:tc>
        <w:tc>
          <w:tcPr>
            <w:tcW w:w="2806" w:type="dxa"/>
            <w:tcBorders>
              <w:top w:val="single" w:sz="18" w:space="0" w:color="C0C0C0"/>
              <w:left w:val="single" w:sz="18" w:space="0" w:color="808080"/>
              <w:bottom w:val="single" w:sz="18" w:space="0" w:color="BFBFBF" w:themeColor="background1" w:themeShade="BF"/>
              <w:right w:val="single" w:sz="18" w:space="0" w:color="808080"/>
            </w:tcBorders>
            <w:shd w:val="clear" w:color="auto" w:fill="D9D9D9"/>
            <w:vAlign w:val="center"/>
          </w:tcPr>
          <w:p w14:paraId="4FB3FAEB" w14:textId="77777777" w:rsidR="00DF019A" w:rsidRPr="008E7494" w:rsidRDefault="00DF019A" w:rsidP="00066DE4">
            <w:pPr>
              <w:spacing w:after="0" w:line="240" w:lineRule="auto"/>
              <w:jc w:val="center"/>
              <w:rPr>
                <w:rFonts w:cs="Arial"/>
                <w:sz w:val="16"/>
                <w:szCs w:val="16"/>
              </w:rPr>
            </w:pPr>
          </w:p>
        </w:tc>
      </w:tr>
      <w:tr w:rsidR="00DF019A" w:rsidRPr="008E7494" w14:paraId="3AE0D73F" w14:textId="77777777" w:rsidTr="00066DE4">
        <w:trPr>
          <w:trHeight w:val="397"/>
          <w:jc w:val="center"/>
        </w:trPr>
        <w:tc>
          <w:tcPr>
            <w:tcW w:w="1730" w:type="dxa"/>
            <w:tcBorders>
              <w:top w:val="single" w:sz="18" w:space="0" w:color="C0C0C0"/>
              <w:left w:val="single" w:sz="18" w:space="0" w:color="808080"/>
              <w:bottom w:val="single" w:sz="18" w:space="0" w:color="808080" w:themeColor="background1" w:themeShade="80"/>
              <w:right w:val="single" w:sz="18" w:space="0" w:color="C0C0C0"/>
            </w:tcBorders>
            <w:vAlign w:val="center"/>
          </w:tcPr>
          <w:p w14:paraId="1ABB4038" w14:textId="77777777" w:rsidR="00DF019A" w:rsidRPr="008E7494" w:rsidRDefault="00DF019A" w:rsidP="00066DE4">
            <w:pPr>
              <w:spacing w:after="0" w:line="240" w:lineRule="auto"/>
              <w:jc w:val="center"/>
              <w:rPr>
                <w:rFonts w:cs="Arial"/>
                <w:sz w:val="16"/>
                <w:szCs w:val="16"/>
              </w:rPr>
            </w:pPr>
            <w:r w:rsidRPr="008E7494">
              <w:rPr>
                <w:rFonts w:cs="Arial"/>
                <w:sz w:val="16"/>
                <w:szCs w:val="16"/>
              </w:rPr>
              <w:t>2</w:t>
            </w:r>
            <w:r>
              <w:rPr>
                <w:rFonts w:cs="Arial"/>
                <w:sz w:val="16"/>
                <w:szCs w:val="16"/>
              </w:rPr>
              <w:t>8</w:t>
            </w:r>
            <w:r w:rsidRPr="008E7494">
              <w:rPr>
                <w:rFonts w:cs="Arial"/>
                <w:sz w:val="16"/>
                <w:szCs w:val="16"/>
              </w:rPr>
              <w:t xml:space="preserve"> January</w:t>
            </w:r>
          </w:p>
        </w:tc>
        <w:tc>
          <w:tcPr>
            <w:tcW w:w="1418" w:type="dxa"/>
            <w:tcBorders>
              <w:top w:val="single" w:sz="18" w:space="0" w:color="C0C0C0"/>
              <w:left w:val="single" w:sz="18" w:space="0" w:color="C0C0C0"/>
              <w:bottom w:val="single" w:sz="18" w:space="0" w:color="808080" w:themeColor="background1" w:themeShade="80"/>
              <w:right w:val="single" w:sz="18" w:space="0" w:color="BFBFBF" w:themeColor="background1" w:themeShade="BF"/>
            </w:tcBorders>
            <w:shd w:val="clear" w:color="auto" w:fill="D9D9D9"/>
            <w:vAlign w:val="center"/>
          </w:tcPr>
          <w:p w14:paraId="1C9B6529" w14:textId="77777777" w:rsidR="00DF019A" w:rsidRPr="008E7494" w:rsidRDefault="00DF019A" w:rsidP="00066DE4">
            <w:pPr>
              <w:spacing w:after="0" w:line="240" w:lineRule="auto"/>
              <w:jc w:val="center"/>
              <w:rPr>
                <w:rFonts w:cs="Arial"/>
                <w:sz w:val="16"/>
                <w:szCs w:val="16"/>
              </w:rPr>
            </w:pPr>
            <w:r w:rsidRPr="008E7494">
              <w:rPr>
                <w:rFonts w:cs="Arial"/>
                <w:sz w:val="16"/>
                <w:szCs w:val="16"/>
              </w:rPr>
              <w:t>Public Holiday</w:t>
            </w:r>
          </w:p>
        </w:tc>
        <w:tc>
          <w:tcPr>
            <w:tcW w:w="1275" w:type="dxa"/>
            <w:tcBorders>
              <w:top w:val="single" w:sz="18" w:space="0" w:color="BFBFBF" w:themeColor="background1" w:themeShade="BF"/>
              <w:left w:val="single" w:sz="18" w:space="0" w:color="BFBFBF" w:themeColor="background1" w:themeShade="BF"/>
              <w:bottom w:val="single" w:sz="18" w:space="0" w:color="808080" w:themeColor="background1" w:themeShade="80"/>
              <w:right w:val="single" w:sz="18" w:space="0" w:color="BFBFBF" w:themeColor="background1" w:themeShade="BF"/>
            </w:tcBorders>
            <w:shd w:val="clear" w:color="auto" w:fill="auto"/>
            <w:vAlign w:val="center"/>
          </w:tcPr>
          <w:p w14:paraId="10848DF2" w14:textId="77777777" w:rsidR="00DF019A" w:rsidRPr="008E7494" w:rsidRDefault="00DF019A" w:rsidP="00066DE4">
            <w:pPr>
              <w:spacing w:after="0" w:line="240" w:lineRule="auto"/>
              <w:jc w:val="center"/>
              <w:rPr>
                <w:rFonts w:cs="Arial"/>
                <w:sz w:val="16"/>
                <w:szCs w:val="16"/>
              </w:rPr>
            </w:pPr>
          </w:p>
        </w:tc>
        <w:tc>
          <w:tcPr>
            <w:tcW w:w="1418" w:type="dxa"/>
            <w:tcBorders>
              <w:top w:val="single" w:sz="18" w:space="0" w:color="BFBFBF" w:themeColor="background1" w:themeShade="BF"/>
              <w:left w:val="single" w:sz="18" w:space="0" w:color="BFBFBF" w:themeColor="background1" w:themeShade="BF"/>
              <w:bottom w:val="single" w:sz="18" w:space="0" w:color="808080" w:themeColor="background1" w:themeShade="80"/>
              <w:right w:val="single" w:sz="18" w:space="0" w:color="BFBFBF" w:themeColor="background1" w:themeShade="BF"/>
            </w:tcBorders>
            <w:shd w:val="clear" w:color="auto" w:fill="auto"/>
            <w:vAlign w:val="center"/>
          </w:tcPr>
          <w:p w14:paraId="48462B4B" w14:textId="77777777" w:rsidR="00DF019A" w:rsidRPr="008E7494" w:rsidRDefault="00DF019A" w:rsidP="00066DE4">
            <w:pPr>
              <w:spacing w:after="0" w:line="240" w:lineRule="auto"/>
              <w:jc w:val="center"/>
              <w:rPr>
                <w:rFonts w:cs="Arial"/>
                <w:sz w:val="16"/>
                <w:szCs w:val="16"/>
              </w:rPr>
            </w:pPr>
          </w:p>
        </w:tc>
        <w:tc>
          <w:tcPr>
            <w:tcW w:w="1276" w:type="dxa"/>
            <w:tcBorders>
              <w:top w:val="single" w:sz="18" w:space="0" w:color="BFBFBF" w:themeColor="background1" w:themeShade="BF"/>
              <w:left w:val="single" w:sz="18" w:space="0" w:color="BFBFBF" w:themeColor="background1" w:themeShade="BF"/>
              <w:bottom w:val="single" w:sz="18" w:space="0" w:color="808080" w:themeColor="background1" w:themeShade="80"/>
              <w:right w:val="single" w:sz="18" w:space="0" w:color="BFBFBF" w:themeColor="background1" w:themeShade="BF"/>
            </w:tcBorders>
            <w:shd w:val="clear" w:color="auto" w:fill="auto"/>
            <w:vAlign w:val="center"/>
          </w:tcPr>
          <w:p w14:paraId="46F7C6CB" w14:textId="77777777" w:rsidR="00DF019A" w:rsidRPr="008E7494" w:rsidRDefault="00DF019A" w:rsidP="00066DE4">
            <w:pPr>
              <w:spacing w:after="0" w:line="240" w:lineRule="auto"/>
              <w:jc w:val="center"/>
              <w:rPr>
                <w:rFonts w:cs="Arial"/>
                <w:sz w:val="16"/>
                <w:szCs w:val="16"/>
              </w:rPr>
            </w:pPr>
          </w:p>
        </w:tc>
        <w:tc>
          <w:tcPr>
            <w:tcW w:w="1559" w:type="dxa"/>
            <w:tcBorders>
              <w:top w:val="single" w:sz="18" w:space="0" w:color="BFBFBF" w:themeColor="background1" w:themeShade="BF"/>
              <w:left w:val="single" w:sz="18" w:space="0" w:color="BFBFBF" w:themeColor="background1" w:themeShade="BF"/>
              <w:bottom w:val="single" w:sz="18" w:space="0" w:color="808080"/>
              <w:right w:val="single" w:sz="18" w:space="0" w:color="808080"/>
            </w:tcBorders>
            <w:shd w:val="clear" w:color="auto" w:fill="auto"/>
            <w:vAlign w:val="center"/>
          </w:tcPr>
          <w:p w14:paraId="2A923ED3" w14:textId="77777777" w:rsidR="00DF019A" w:rsidRPr="008E7494" w:rsidRDefault="00DF019A" w:rsidP="00066DE4">
            <w:pPr>
              <w:spacing w:after="0" w:line="240" w:lineRule="auto"/>
              <w:jc w:val="center"/>
              <w:rPr>
                <w:rFonts w:cs="Arial"/>
                <w:bCs/>
                <w:sz w:val="16"/>
                <w:szCs w:val="16"/>
              </w:rPr>
            </w:pPr>
          </w:p>
        </w:tc>
        <w:tc>
          <w:tcPr>
            <w:tcW w:w="2806" w:type="dxa"/>
            <w:tcBorders>
              <w:top w:val="single" w:sz="18" w:space="0" w:color="BFBFBF" w:themeColor="background1" w:themeShade="BF"/>
              <w:left w:val="single" w:sz="18" w:space="0" w:color="808080"/>
              <w:bottom w:val="single" w:sz="18" w:space="0" w:color="808080"/>
              <w:right w:val="single" w:sz="18" w:space="0" w:color="808080"/>
            </w:tcBorders>
            <w:shd w:val="clear" w:color="auto" w:fill="auto"/>
            <w:vAlign w:val="center"/>
          </w:tcPr>
          <w:p w14:paraId="4780FFC4" w14:textId="77777777" w:rsidR="00DF019A" w:rsidRPr="008E7494" w:rsidRDefault="00DF019A" w:rsidP="00066DE4">
            <w:pPr>
              <w:spacing w:after="0" w:line="240" w:lineRule="auto"/>
              <w:jc w:val="center"/>
              <w:rPr>
                <w:rFonts w:cs="Arial"/>
                <w:sz w:val="16"/>
                <w:szCs w:val="16"/>
              </w:rPr>
            </w:pPr>
            <w:r w:rsidRPr="008E7494">
              <w:rPr>
                <w:rFonts w:cs="Arial"/>
                <w:sz w:val="16"/>
                <w:szCs w:val="16"/>
              </w:rPr>
              <w:t>2</w:t>
            </w:r>
            <w:r>
              <w:rPr>
                <w:rFonts w:cs="Arial"/>
                <w:sz w:val="16"/>
                <w:szCs w:val="16"/>
              </w:rPr>
              <w:t>8</w:t>
            </w:r>
            <w:r w:rsidRPr="008E7494">
              <w:rPr>
                <w:rFonts w:cs="Arial"/>
                <w:sz w:val="16"/>
                <w:szCs w:val="16"/>
              </w:rPr>
              <w:t xml:space="preserve"> Australia Day</w:t>
            </w:r>
            <w:r>
              <w:rPr>
                <w:rFonts w:cs="Arial"/>
                <w:sz w:val="16"/>
                <w:szCs w:val="16"/>
              </w:rPr>
              <w:t xml:space="preserve"> Public Holiday</w:t>
            </w:r>
          </w:p>
        </w:tc>
      </w:tr>
      <w:tr w:rsidR="00DF019A" w:rsidRPr="008E7494" w14:paraId="6CB7FC47" w14:textId="77777777" w:rsidTr="00066DE4">
        <w:trPr>
          <w:trHeight w:val="397"/>
          <w:jc w:val="center"/>
        </w:trPr>
        <w:tc>
          <w:tcPr>
            <w:tcW w:w="1730" w:type="dxa"/>
            <w:tcBorders>
              <w:top w:val="single" w:sz="18" w:space="0" w:color="808080" w:themeColor="background1" w:themeShade="80"/>
              <w:left w:val="single" w:sz="18" w:space="0" w:color="808080"/>
              <w:right w:val="single" w:sz="18" w:space="0" w:color="C0C0C0"/>
            </w:tcBorders>
            <w:vAlign w:val="center"/>
          </w:tcPr>
          <w:p w14:paraId="5EAE6BF1" w14:textId="77777777" w:rsidR="00DF019A" w:rsidRPr="00CE6C60" w:rsidRDefault="00DF019A" w:rsidP="00066DE4">
            <w:pPr>
              <w:spacing w:after="0" w:line="240" w:lineRule="auto"/>
              <w:jc w:val="center"/>
              <w:rPr>
                <w:rFonts w:cs="Arial"/>
                <w:sz w:val="16"/>
                <w:szCs w:val="16"/>
              </w:rPr>
            </w:pPr>
            <w:r w:rsidRPr="00CE6C60">
              <w:rPr>
                <w:rFonts w:cs="Arial"/>
                <w:sz w:val="16"/>
                <w:szCs w:val="16"/>
              </w:rPr>
              <w:t>4 February</w:t>
            </w:r>
          </w:p>
        </w:tc>
        <w:tc>
          <w:tcPr>
            <w:tcW w:w="1418" w:type="dxa"/>
            <w:tcBorders>
              <w:top w:val="single" w:sz="18" w:space="0" w:color="808080" w:themeColor="background1" w:themeShade="80"/>
              <w:left w:val="single" w:sz="18" w:space="0" w:color="C0C0C0"/>
              <w:bottom w:val="single" w:sz="18" w:space="0" w:color="C0C0C0"/>
              <w:right w:val="single" w:sz="18" w:space="0" w:color="BFBFBF" w:themeColor="background1" w:themeShade="BF"/>
            </w:tcBorders>
            <w:vAlign w:val="center"/>
          </w:tcPr>
          <w:p w14:paraId="646FF782" w14:textId="77777777" w:rsidR="00DF019A" w:rsidRPr="008E7494" w:rsidRDefault="00DF019A" w:rsidP="00066DE4">
            <w:pPr>
              <w:spacing w:after="0" w:line="240" w:lineRule="auto"/>
              <w:jc w:val="center"/>
              <w:rPr>
                <w:rFonts w:cs="Arial"/>
                <w:sz w:val="16"/>
                <w:szCs w:val="16"/>
              </w:rPr>
            </w:pPr>
          </w:p>
        </w:tc>
        <w:tc>
          <w:tcPr>
            <w:tcW w:w="1275" w:type="dxa"/>
            <w:tcBorders>
              <w:top w:val="single" w:sz="18" w:space="0" w:color="808080" w:themeColor="background1" w:themeShade="80"/>
              <w:left w:val="single" w:sz="18" w:space="0" w:color="BFBFBF" w:themeColor="background1" w:themeShade="BF"/>
              <w:right w:val="single" w:sz="18" w:space="0" w:color="BFBFBF" w:themeColor="background1" w:themeShade="BF"/>
            </w:tcBorders>
            <w:shd w:val="clear" w:color="auto" w:fill="A972A9"/>
            <w:vAlign w:val="center"/>
          </w:tcPr>
          <w:p w14:paraId="367712D7" w14:textId="77777777" w:rsidR="00DF019A" w:rsidRPr="008E7494" w:rsidRDefault="00DF019A" w:rsidP="00066DE4">
            <w:pPr>
              <w:spacing w:after="0" w:line="240" w:lineRule="auto"/>
              <w:jc w:val="center"/>
              <w:rPr>
                <w:rFonts w:cs="Arial"/>
                <w:sz w:val="16"/>
                <w:szCs w:val="16"/>
              </w:rPr>
            </w:pPr>
            <w:r>
              <w:rPr>
                <w:rFonts w:cs="Arial"/>
                <w:sz w:val="16"/>
                <w:szCs w:val="16"/>
              </w:rPr>
              <w:t>5</w:t>
            </w:r>
          </w:p>
        </w:tc>
        <w:tc>
          <w:tcPr>
            <w:tcW w:w="1418" w:type="dxa"/>
            <w:tcBorders>
              <w:top w:val="single" w:sz="18" w:space="0" w:color="808080" w:themeColor="background1" w:themeShade="80"/>
              <w:left w:val="single" w:sz="18" w:space="0" w:color="BFBFBF" w:themeColor="background1" w:themeShade="BF"/>
              <w:right w:val="single" w:sz="18" w:space="0" w:color="BFBFBF" w:themeColor="background1" w:themeShade="BF"/>
            </w:tcBorders>
            <w:shd w:val="clear" w:color="auto" w:fill="A972A9"/>
            <w:vAlign w:val="center"/>
          </w:tcPr>
          <w:p w14:paraId="111A8911" w14:textId="77777777" w:rsidR="00DF019A" w:rsidRPr="008E7494" w:rsidRDefault="00DF019A" w:rsidP="00066DE4">
            <w:pPr>
              <w:spacing w:after="0" w:line="240" w:lineRule="auto"/>
              <w:jc w:val="center"/>
              <w:rPr>
                <w:rFonts w:cs="Arial"/>
                <w:sz w:val="16"/>
                <w:szCs w:val="16"/>
              </w:rPr>
            </w:pPr>
            <w:r>
              <w:rPr>
                <w:rFonts w:cs="Arial"/>
                <w:sz w:val="16"/>
                <w:szCs w:val="16"/>
              </w:rPr>
              <w:t>6</w:t>
            </w:r>
          </w:p>
        </w:tc>
        <w:tc>
          <w:tcPr>
            <w:tcW w:w="1276" w:type="dxa"/>
            <w:tcBorders>
              <w:top w:val="single" w:sz="18" w:space="0" w:color="808080" w:themeColor="background1" w:themeShade="80"/>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972A9"/>
            <w:vAlign w:val="center"/>
          </w:tcPr>
          <w:p w14:paraId="4209052D" w14:textId="77777777" w:rsidR="00DF019A" w:rsidRPr="008E7494" w:rsidRDefault="00DF019A" w:rsidP="00066DE4">
            <w:pPr>
              <w:spacing w:after="0" w:line="240" w:lineRule="auto"/>
              <w:jc w:val="center"/>
              <w:rPr>
                <w:rFonts w:cs="Arial"/>
                <w:sz w:val="16"/>
                <w:szCs w:val="16"/>
              </w:rPr>
            </w:pPr>
            <w:r>
              <w:rPr>
                <w:rFonts w:cs="Arial"/>
                <w:sz w:val="16"/>
                <w:szCs w:val="16"/>
              </w:rPr>
              <w:t>7</w:t>
            </w:r>
          </w:p>
        </w:tc>
        <w:tc>
          <w:tcPr>
            <w:tcW w:w="1559" w:type="dxa"/>
            <w:tcBorders>
              <w:top w:val="single" w:sz="18" w:space="0" w:color="808080"/>
              <w:left w:val="single" w:sz="18" w:space="0" w:color="BFBFBF" w:themeColor="background1" w:themeShade="BF"/>
              <w:right w:val="single" w:sz="18" w:space="0" w:color="808080"/>
            </w:tcBorders>
            <w:vAlign w:val="center"/>
          </w:tcPr>
          <w:p w14:paraId="6F186B6F" w14:textId="77777777" w:rsidR="00DF019A" w:rsidRPr="008E7494" w:rsidRDefault="00DF019A" w:rsidP="00066DE4">
            <w:pPr>
              <w:spacing w:after="0" w:line="240" w:lineRule="auto"/>
              <w:jc w:val="center"/>
              <w:rPr>
                <w:rFonts w:cs="Arial"/>
                <w:bCs/>
                <w:sz w:val="16"/>
                <w:szCs w:val="16"/>
              </w:rPr>
            </w:pPr>
          </w:p>
        </w:tc>
        <w:tc>
          <w:tcPr>
            <w:tcW w:w="2806" w:type="dxa"/>
            <w:tcBorders>
              <w:top w:val="single" w:sz="18" w:space="0" w:color="808080"/>
              <w:left w:val="single" w:sz="18" w:space="0" w:color="808080"/>
              <w:right w:val="single" w:sz="18" w:space="0" w:color="808080"/>
            </w:tcBorders>
            <w:vAlign w:val="center"/>
          </w:tcPr>
          <w:p w14:paraId="16DE643B" w14:textId="77777777" w:rsidR="00DF019A" w:rsidRPr="008E7494" w:rsidRDefault="00DF019A" w:rsidP="00066DE4">
            <w:pPr>
              <w:spacing w:after="0" w:line="240" w:lineRule="auto"/>
              <w:jc w:val="center"/>
              <w:rPr>
                <w:rFonts w:cs="Arial"/>
                <w:sz w:val="16"/>
                <w:szCs w:val="16"/>
              </w:rPr>
            </w:pPr>
          </w:p>
        </w:tc>
      </w:tr>
      <w:tr w:rsidR="00DF019A" w:rsidRPr="008E7494" w14:paraId="6C2CEE04" w14:textId="77777777" w:rsidTr="00066DE4">
        <w:trPr>
          <w:trHeight w:val="397"/>
          <w:jc w:val="center"/>
        </w:trPr>
        <w:tc>
          <w:tcPr>
            <w:tcW w:w="1730" w:type="dxa"/>
            <w:tcBorders>
              <w:top w:val="single" w:sz="18" w:space="0" w:color="C0C0C0"/>
              <w:left w:val="single" w:sz="18" w:space="0" w:color="808080"/>
              <w:right w:val="single" w:sz="18" w:space="0" w:color="C0C0C0"/>
            </w:tcBorders>
            <w:vAlign w:val="center"/>
          </w:tcPr>
          <w:p w14:paraId="69562F9E" w14:textId="77777777" w:rsidR="00DF019A" w:rsidRPr="00CE6C60" w:rsidRDefault="00DF019A" w:rsidP="00066DE4">
            <w:pPr>
              <w:spacing w:after="0" w:line="240" w:lineRule="auto"/>
              <w:jc w:val="center"/>
              <w:rPr>
                <w:rFonts w:cs="Arial"/>
                <w:sz w:val="16"/>
                <w:szCs w:val="16"/>
              </w:rPr>
            </w:pPr>
            <w:r w:rsidRPr="00CE6C60">
              <w:rPr>
                <w:rFonts w:cs="Arial"/>
                <w:sz w:val="16"/>
                <w:szCs w:val="16"/>
              </w:rPr>
              <w:t>11 February</w:t>
            </w:r>
          </w:p>
        </w:tc>
        <w:tc>
          <w:tcPr>
            <w:tcW w:w="1418" w:type="dxa"/>
            <w:tcBorders>
              <w:top w:val="single" w:sz="18" w:space="0" w:color="C0C0C0"/>
              <w:left w:val="single" w:sz="18" w:space="0" w:color="C0C0C0"/>
              <w:right w:val="single" w:sz="18" w:space="0" w:color="BFBFBF" w:themeColor="background1" w:themeShade="BF"/>
            </w:tcBorders>
            <w:vAlign w:val="center"/>
          </w:tcPr>
          <w:p w14:paraId="2A6DBC1B" w14:textId="77777777" w:rsidR="00DF019A" w:rsidRPr="008E7494" w:rsidRDefault="00DF019A" w:rsidP="00066DE4">
            <w:pPr>
              <w:spacing w:after="0" w:line="240" w:lineRule="auto"/>
              <w:jc w:val="center"/>
              <w:rPr>
                <w:rFonts w:cs="Arial"/>
                <w:sz w:val="16"/>
                <w:szCs w:val="16"/>
              </w:rPr>
            </w:pPr>
          </w:p>
        </w:tc>
        <w:tc>
          <w:tcPr>
            <w:tcW w:w="127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64D2C"/>
            <w:vAlign w:val="center"/>
          </w:tcPr>
          <w:p w14:paraId="4ED62D60" w14:textId="77777777" w:rsidR="00DF019A" w:rsidRPr="008E7494" w:rsidRDefault="00DF019A" w:rsidP="00066DE4">
            <w:pPr>
              <w:spacing w:after="0" w:line="240" w:lineRule="auto"/>
              <w:jc w:val="center"/>
              <w:rPr>
                <w:rFonts w:cs="Arial"/>
                <w:sz w:val="16"/>
                <w:szCs w:val="16"/>
              </w:rPr>
            </w:pPr>
            <w:r w:rsidRPr="008E7494">
              <w:rPr>
                <w:rFonts w:cs="Arial"/>
                <w:sz w:val="16"/>
                <w:szCs w:val="16"/>
              </w:rPr>
              <w:t>1</w:t>
            </w:r>
            <w:r>
              <w:rPr>
                <w:rFonts w:cs="Arial"/>
                <w:sz w:val="16"/>
                <w:szCs w:val="16"/>
              </w:rPr>
              <w:t>2</w:t>
            </w:r>
          </w:p>
        </w:tc>
        <w:tc>
          <w:tcPr>
            <w:tcW w:w="1418"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64D2C"/>
            <w:vAlign w:val="center"/>
          </w:tcPr>
          <w:p w14:paraId="0997A65A" w14:textId="77777777" w:rsidR="00DF019A" w:rsidRPr="008E7494" w:rsidRDefault="00DF019A" w:rsidP="00066DE4">
            <w:pPr>
              <w:spacing w:after="0" w:line="240" w:lineRule="auto"/>
              <w:jc w:val="center"/>
              <w:rPr>
                <w:rFonts w:cs="Arial"/>
                <w:sz w:val="16"/>
                <w:szCs w:val="16"/>
              </w:rPr>
            </w:pPr>
            <w:r>
              <w:rPr>
                <w:rFonts w:cs="Arial"/>
                <w:sz w:val="16"/>
                <w:szCs w:val="16"/>
              </w:rPr>
              <w:t>13</w:t>
            </w:r>
          </w:p>
        </w:tc>
        <w:tc>
          <w:tcPr>
            <w:tcW w:w="1276"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64D2C"/>
            <w:vAlign w:val="center"/>
          </w:tcPr>
          <w:p w14:paraId="19D58272" w14:textId="77777777" w:rsidR="00DF019A" w:rsidRPr="008E7494" w:rsidRDefault="00DF019A" w:rsidP="00066DE4">
            <w:pPr>
              <w:spacing w:after="0" w:line="240" w:lineRule="auto"/>
              <w:jc w:val="center"/>
              <w:rPr>
                <w:rFonts w:cs="Arial"/>
                <w:sz w:val="16"/>
                <w:szCs w:val="16"/>
              </w:rPr>
            </w:pPr>
            <w:r>
              <w:rPr>
                <w:rFonts w:cs="Arial"/>
                <w:sz w:val="16"/>
                <w:szCs w:val="16"/>
              </w:rPr>
              <w:t>14</w:t>
            </w:r>
          </w:p>
        </w:tc>
        <w:tc>
          <w:tcPr>
            <w:tcW w:w="1559" w:type="dxa"/>
            <w:tcBorders>
              <w:top w:val="single" w:sz="18" w:space="0" w:color="C0C0C0"/>
              <w:left w:val="single" w:sz="18" w:space="0" w:color="BFBFBF" w:themeColor="background1" w:themeShade="BF"/>
              <w:right w:val="single" w:sz="18" w:space="0" w:color="808080"/>
            </w:tcBorders>
            <w:vAlign w:val="center"/>
          </w:tcPr>
          <w:p w14:paraId="2EFA0849" w14:textId="77777777" w:rsidR="00DF019A" w:rsidRPr="008E7494" w:rsidRDefault="00DF019A" w:rsidP="00066DE4">
            <w:pPr>
              <w:spacing w:after="0" w:line="240" w:lineRule="auto"/>
              <w:jc w:val="center"/>
              <w:rPr>
                <w:rFonts w:cs="Arial"/>
                <w:bCs/>
                <w:sz w:val="16"/>
                <w:szCs w:val="16"/>
              </w:rPr>
            </w:pPr>
          </w:p>
        </w:tc>
        <w:tc>
          <w:tcPr>
            <w:tcW w:w="2806" w:type="dxa"/>
            <w:tcBorders>
              <w:top w:val="single" w:sz="18" w:space="0" w:color="C0C0C0"/>
              <w:left w:val="single" w:sz="18" w:space="0" w:color="808080"/>
              <w:right w:val="single" w:sz="18" w:space="0" w:color="808080"/>
            </w:tcBorders>
            <w:vAlign w:val="center"/>
          </w:tcPr>
          <w:p w14:paraId="491CAD30" w14:textId="77777777" w:rsidR="00DF019A" w:rsidRPr="008E7494" w:rsidRDefault="00DF019A" w:rsidP="00066DE4">
            <w:pPr>
              <w:spacing w:after="0" w:line="240" w:lineRule="auto"/>
              <w:jc w:val="center"/>
              <w:rPr>
                <w:rFonts w:cs="Arial"/>
                <w:sz w:val="16"/>
                <w:szCs w:val="16"/>
              </w:rPr>
            </w:pPr>
          </w:p>
        </w:tc>
      </w:tr>
      <w:tr w:rsidR="00DF019A" w:rsidRPr="008E7494" w14:paraId="2BC0CEAB" w14:textId="77777777" w:rsidTr="00066DE4">
        <w:trPr>
          <w:trHeight w:hRule="exact" w:val="284"/>
          <w:jc w:val="center"/>
        </w:trPr>
        <w:tc>
          <w:tcPr>
            <w:tcW w:w="1730" w:type="dxa"/>
            <w:vMerge w:val="restart"/>
            <w:tcBorders>
              <w:top w:val="single" w:sz="18" w:space="0" w:color="BFBFBF"/>
              <w:left w:val="single" w:sz="18" w:space="0" w:color="808080"/>
              <w:right w:val="single" w:sz="18" w:space="0" w:color="C0C0C0"/>
            </w:tcBorders>
            <w:vAlign w:val="center"/>
          </w:tcPr>
          <w:p w14:paraId="12B3F8A8" w14:textId="77777777" w:rsidR="00DF019A" w:rsidRPr="008E7494" w:rsidRDefault="00DF019A" w:rsidP="00066DE4">
            <w:pPr>
              <w:spacing w:after="0" w:line="240" w:lineRule="auto"/>
              <w:jc w:val="center"/>
              <w:rPr>
                <w:rFonts w:cs="Arial"/>
                <w:sz w:val="16"/>
                <w:szCs w:val="16"/>
              </w:rPr>
            </w:pPr>
            <w:r w:rsidRPr="008E7494">
              <w:rPr>
                <w:rFonts w:cs="Arial"/>
                <w:sz w:val="16"/>
                <w:szCs w:val="16"/>
              </w:rPr>
              <w:t>1</w:t>
            </w:r>
            <w:r>
              <w:rPr>
                <w:rFonts w:cs="Arial"/>
                <w:sz w:val="16"/>
                <w:szCs w:val="16"/>
              </w:rPr>
              <w:t>8</w:t>
            </w:r>
            <w:r w:rsidRPr="008E7494">
              <w:rPr>
                <w:rFonts w:cs="Arial"/>
                <w:sz w:val="16"/>
                <w:szCs w:val="16"/>
              </w:rPr>
              <w:t xml:space="preserve"> February</w:t>
            </w:r>
          </w:p>
        </w:tc>
        <w:tc>
          <w:tcPr>
            <w:tcW w:w="1418" w:type="dxa"/>
            <w:vMerge w:val="restart"/>
            <w:tcBorders>
              <w:top w:val="single" w:sz="18" w:space="0" w:color="BFBFBF"/>
              <w:left w:val="single" w:sz="18" w:space="0" w:color="C0C0C0"/>
              <w:right w:val="single" w:sz="18" w:space="0" w:color="BFBFBF" w:themeColor="background1" w:themeShade="BF"/>
            </w:tcBorders>
            <w:vAlign w:val="center"/>
          </w:tcPr>
          <w:p w14:paraId="1D56F969" w14:textId="77777777" w:rsidR="00DF019A" w:rsidRPr="008E7494" w:rsidRDefault="00DF019A" w:rsidP="00066DE4">
            <w:pPr>
              <w:spacing w:after="0" w:line="240" w:lineRule="auto"/>
              <w:jc w:val="center"/>
              <w:rPr>
                <w:rFonts w:cs="Arial"/>
                <w:color w:val="000000"/>
                <w:sz w:val="16"/>
                <w:szCs w:val="16"/>
              </w:rPr>
            </w:pPr>
          </w:p>
        </w:tc>
        <w:tc>
          <w:tcPr>
            <w:tcW w:w="1275" w:type="dxa"/>
            <w:tcBorders>
              <w:top w:val="single" w:sz="18" w:space="0" w:color="BFBFBF" w:themeColor="background1" w:themeShade="BF"/>
              <w:left w:val="single" w:sz="18" w:space="0" w:color="BFBFBF" w:themeColor="background1" w:themeShade="BF"/>
              <w:bottom w:val="nil"/>
              <w:right w:val="single" w:sz="18" w:space="0" w:color="BFBFBF" w:themeColor="background1" w:themeShade="BF"/>
            </w:tcBorders>
            <w:shd w:val="clear" w:color="auto" w:fill="A972A9"/>
            <w:vAlign w:val="center"/>
          </w:tcPr>
          <w:p w14:paraId="2CAAE359"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19</w:t>
            </w:r>
          </w:p>
        </w:tc>
        <w:tc>
          <w:tcPr>
            <w:tcW w:w="1418" w:type="dxa"/>
            <w:tcBorders>
              <w:top w:val="single" w:sz="18" w:space="0" w:color="BFBFBF" w:themeColor="background1" w:themeShade="BF"/>
              <w:left w:val="single" w:sz="18" w:space="0" w:color="BFBFBF" w:themeColor="background1" w:themeShade="BF"/>
              <w:bottom w:val="nil"/>
              <w:right w:val="single" w:sz="18" w:space="0" w:color="BFBFBF" w:themeColor="background1" w:themeShade="BF"/>
            </w:tcBorders>
            <w:shd w:val="clear" w:color="auto" w:fill="A972A9"/>
            <w:vAlign w:val="center"/>
          </w:tcPr>
          <w:p w14:paraId="32E09BA2" w14:textId="77777777" w:rsidR="00DF019A" w:rsidRPr="008E7494" w:rsidRDefault="00DF019A" w:rsidP="00066DE4">
            <w:pPr>
              <w:spacing w:after="0" w:line="240" w:lineRule="auto"/>
              <w:jc w:val="center"/>
              <w:rPr>
                <w:rFonts w:cs="Arial"/>
                <w:color w:val="000000"/>
                <w:sz w:val="16"/>
                <w:szCs w:val="16"/>
              </w:rPr>
            </w:pPr>
            <w:r w:rsidRPr="008E7494">
              <w:rPr>
                <w:rFonts w:cs="Arial"/>
                <w:color w:val="000000"/>
                <w:sz w:val="16"/>
                <w:szCs w:val="16"/>
              </w:rPr>
              <w:t>2</w:t>
            </w:r>
            <w:r>
              <w:rPr>
                <w:rFonts w:cs="Arial"/>
                <w:color w:val="000000"/>
                <w:sz w:val="16"/>
                <w:szCs w:val="16"/>
              </w:rPr>
              <w:t>0</w:t>
            </w:r>
          </w:p>
        </w:tc>
        <w:tc>
          <w:tcPr>
            <w:tcW w:w="1276" w:type="dxa"/>
            <w:vMerge w:val="restart"/>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768968"/>
            <w:vAlign w:val="center"/>
          </w:tcPr>
          <w:p w14:paraId="6DBF6892" w14:textId="77777777" w:rsidR="00DF019A" w:rsidRPr="008E7494" w:rsidRDefault="00DF019A" w:rsidP="00066DE4">
            <w:pPr>
              <w:spacing w:after="0" w:line="240" w:lineRule="auto"/>
              <w:jc w:val="center"/>
              <w:rPr>
                <w:rFonts w:cs="Arial"/>
                <w:color w:val="000000"/>
                <w:sz w:val="16"/>
                <w:szCs w:val="16"/>
              </w:rPr>
            </w:pPr>
            <w:r w:rsidRPr="008E7494">
              <w:rPr>
                <w:rFonts w:cs="Arial"/>
                <w:color w:val="000000"/>
                <w:sz w:val="16"/>
                <w:szCs w:val="16"/>
              </w:rPr>
              <w:t>2</w:t>
            </w:r>
            <w:r>
              <w:rPr>
                <w:rFonts w:cs="Arial"/>
                <w:color w:val="000000"/>
                <w:sz w:val="16"/>
                <w:szCs w:val="16"/>
              </w:rPr>
              <w:t>1</w:t>
            </w:r>
          </w:p>
        </w:tc>
        <w:tc>
          <w:tcPr>
            <w:tcW w:w="1559" w:type="dxa"/>
            <w:vMerge w:val="restart"/>
            <w:tcBorders>
              <w:top w:val="single" w:sz="18" w:space="0" w:color="BFBFBF"/>
              <w:left w:val="single" w:sz="18" w:space="0" w:color="BFBFBF" w:themeColor="background1" w:themeShade="BF"/>
              <w:right w:val="single" w:sz="18" w:space="0" w:color="808080"/>
            </w:tcBorders>
            <w:vAlign w:val="center"/>
          </w:tcPr>
          <w:p w14:paraId="631B9742" w14:textId="77777777" w:rsidR="00DF019A" w:rsidRPr="008E7494" w:rsidRDefault="00DF019A" w:rsidP="00066DE4">
            <w:pPr>
              <w:spacing w:after="0" w:line="240" w:lineRule="auto"/>
              <w:jc w:val="center"/>
              <w:rPr>
                <w:rFonts w:cs="Arial"/>
                <w:bCs/>
                <w:sz w:val="16"/>
                <w:szCs w:val="16"/>
              </w:rPr>
            </w:pPr>
          </w:p>
        </w:tc>
        <w:tc>
          <w:tcPr>
            <w:tcW w:w="2806" w:type="dxa"/>
            <w:vMerge w:val="restart"/>
            <w:tcBorders>
              <w:top w:val="single" w:sz="18" w:space="0" w:color="BFBFBF"/>
              <w:left w:val="single" w:sz="18" w:space="0" w:color="808080"/>
              <w:right w:val="single" w:sz="18" w:space="0" w:color="808080"/>
            </w:tcBorders>
            <w:vAlign w:val="center"/>
          </w:tcPr>
          <w:p w14:paraId="3486A04F" w14:textId="77777777" w:rsidR="00DF019A" w:rsidRPr="008E7494" w:rsidRDefault="00DF019A" w:rsidP="00066DE4">
            <w:pPr>
              <w:spacing w:after="0" w:line="240" w:lineRule="auto"/>
              <w:jc w:val="center"/>
              <w:rPr>
                <w:rFonts w:cs="Arial"/>
                <w:sz w:val="16"/>
                <w:szCs w:val="16"/>
              </w:rPr>
            </w:pPr>
          </w:p>
        </w:tc>
      </w:tr>
      <w:tr w:rsidR="00DF019A" w:rsidRPr="008E7494" w14:paraId="7729EA44" w14:textId="77777777" w:rsidTr="00066DE4">
        <w:trPr>
          <w:trHeight w:hRule="exact" w:val="284"/>
          <w:jc w:val="center"/>
        </w:trPr>
        <w:tc>
          <w:tcPr>
            <w:tcW w:w="1730" w:type="dxa"/>
            <w:vMerge/>
            <w:tcBorders>
              <w:left w:val="single" w:sz="18" w:space="0" w:color="808080"/>
              <w:bottom w:val="single" w:sz="18" w:space="0" w:color="BFBFBF" w:themeColor="background1" w:themeShade="BF"/>
              <w:right w:val="single" w:sz="18" w:space="0" w:color="C0C0C0"/>
            </w:tcBorders>
            <w:vAlign w:val="center"/>
          </w:tcPr>
          <w:p w14:paraId="1EC5330A" w14:textId="77777777" w:rsidR="00DF019A" w:rsidRPr="008E7494" w:rsidRDefault="00DF019A" w:rsidP="00066DE4">
            <w:pPr>
              <w:spacing w:after="0" w:line="240" w:lineRule="auto"/>
              <w:jc w:val="center"/>
              <w:rPr>
                <w:rFonts w:cs="Arial"/>
                <w:sz w:val="16"/>
                <w:szCs w:val="16"/>
              </w:rPr>
            </w:pPr>
          </w:p>
        </w:tc>
        <w:tc>
          <w:tcPr>
            <w:tcW w:w="1418" w:type="dxa"/>
            <w:vMerge/>
            <w:tcBorders>
              <w:left w:val="single" w:sz="18" w:space="0" w:color="C0C0C0"/>
              <w:bottom w:val="single" w:sz="18" w:space="0" w:color="BFBFBF" w:themeColor="background1" w:themeShade="BF"/>
              <w:right w:val="single" w:sz="18" w:space="0" w:color="BFBFBF" w:themeColor="background1" w:themeShade="BF"/>
            </w:tcBorders>
            <w:vAlign w:val="center"/>
          </w:tcPr>
          <w:p w14:paraId="0E43D3F6" w14:textId="77777777" w:rsidR="00DF019A" w:rsidRPr="008E7494" w:rsidRDefault="00DF019A" w:rsidP="00066DE4">
            <w:pPr>
              <w:spacing w:after="0" w:line="240" w:lineRule="auto"/>
              <w:jc w:val="center"/>
              <w:rPr>
                <w:rFonts w:cs="Arial"/>
                <w:color w:val="000000"/>
                <w:sz w:val="16"/>
                <w:szCs w:val="16"/>
              </w:rPr>
            </w:pPr>
          </w:p>
        </w:tc>
        <w:tc>
          <w:tcPr>
            <w:tcW w:w="1275" w:type="dxa"/>
            <w:tcBorders>
              <w:top w:val="nil"/>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DDB136"/>
            <w:vAlign w:val="center"/>
          </w:tcPr>
          <w:p w14:paraId="5B27493A"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19</w:t>
            </w:r>
          </w:p>
        </w:tc>
        <w:tc>
          <w:tcPr>
            <w:tcW w:w="1418" w:type="dxa"/>
            <w:tcBorders>
              <w:top w:val="nil"/>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768968"/>
            <w:vAlign w:val="center"/>
          </w:tcPr>
          <w:p w14:paraId="0D310D24"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20</w:t>
            </w:r>
          </w:p>
        </w:tc>
        <w:tc>
          <w:tcPr>
            <w:tcW w:w="1276" w:type="dxa"/>
            <w:vMerge/>
            <w:tcBorders>
              <w:top w:val="single" w:sz="18" w:space="0" w:color="FFFFF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768968"/>
            <w:vAlign w:val="center"/>
          </w:tcPr>
          <w:p w14:paraId="2DD1D41A" w14:textId="77777777" w:rsidR="00DF019A" w:rsidRPr="008E7494" w:rsidRDefault="00DF019A" w:rsidP="00066DE4">
            <w:pPr>
              <w:spacing w:after="0" w:line="240" w:lineRule="auto"/>
              <w:jc w:val="center"/>
              <w:rPr>
                <w:rFonts w:cs="Arial"/>
                <w:color w:val="000000"/>
                <w:sz w:val="16"/>
                <w:szCs w:val="16"/>
              </w:rPr>
            </w:pPr>
          </w:p>
        </w:tc>
        <w:tc>
          <w:tcPr>
            <w:tcW w:w="1559" w:type="dxa"/>
            <w:vMerge/>
            <w:tcBorders>
              <w:left w:val="single" w:sz="18" w:space="0" w:color="BFBFBF" w:themeColor="background1" w:themeShade="BF"/>
              <w:bottom w:val="single" w:sz="18" w:space="0" w:color="BFBFBF" w:themeColor="background1" w:themeShade="BF"/>
              <w:right w:val="single" w:sz="18" w:space="0" w:color="808080"/>
            </w:tcBorders>
            <w:vAlign w:val="center"/>
          </w:tcPr>
          <w:p w14:paraId="65C2C1DC" w14:textId="77777777" w:rsidR="00DF019A" w:rsidRPr="008E7494" w:rsidRDefault="00DF019A" w:rsidP="00066DE4">
            <w:pPr>
              <w:spacing w:after="0" w:line="240" w:lineRule="auto"/>
              <w:jc w:val="center"/>
              <w:rPr>
                <w:rFonts w:cs="Arial"/>
                <w:bCs/>
                <w:sz w:val="16"/>
                <w:szCs w:val="16"/>
              </w:rPr>
            </w:pPr>
          </w:p>
        </w:tc>
        <w:tc>
          <w:tcPr>
            <w:tcW w:w="2806" w:type="dxa"/>
            <w:vMerge/>
            <w:tcBorders>
              <w:left w:val="single" w:sz="18" w:space="0" w:color="808080"/>
              <w:bottom w:val="single" w:sz="18" w:space="0" w:color="BFBFBF" w:themeColor="background1" w:themeShade="BF"/>
              <w:right w:val="single" w:sz="18" w:space="0" w:color="808080"/>
            </w:tcBorders>
            <w:vAlign w:val="center"/>
          </w:tcPr>
          <w:p w14:paraId="7B93FBA5" w14:textId="77777777" w:rsidR="00DF019A" w:rsidRPr="008E7494" w:rsidRDefault="00DF019A" w:rsidP="00066DE4">
            <w:pPr>
              <w:spacing w:after="0" w:line="240" w:lineRule="auto"/>
              <w:jc w:val="center"/>
              <w:rPr>
                <w:rFonts w:cs="Arial"/>
                <w:sz w:val="16"/>
                <w:szCs w:val="16"/>
              </w:rPr>
            </w:pPr>
          </w:p>
        </w:tc>
      </w:tr>
      <w:tr w:rsidR="00DF019A" w:rsidRPr="008E7494" w14:paraId="50E1DC66" w14:textId="77777777" w:rsidTr="00066DE4">
        <w:trPr>
          <w:trHeight w:hRule="exact" w:val="284"/>
          <w:jc w:val="center"/>
        </w:trPr>
        <w:tc>
          <w:tcPr>
            <w:tcW w:w="1730" w:type="dxa"/>
            <w:vMerge w:val="restart"/>
            <w:tcBorders>
              <w:top w:val="single" w:sz="18" w:space="0" w:color="BFBFBF" w:themeColor="background1" w:themeShade="BF"/>
              <w:left w:val="single" w:sz="18" w:space="0" w:color="808080"/>
              <w:right w:val="single" w:sz="18" w:space="0" w:color="C0C0C0"/>
            </w:tcBorders>
            <w:vAlign w:val="center"/>
          </w:tcPr>
          <w:p w14:paraId="1E0D2053" w14:textId="77777777" w:rsidR="00DF019A" w:rsidRPr="008E7494" w:rsidRDefault="00DF019A" w:rsidP="00066DE4">
            <w:pPr>
              <w:spacing w:after="0" w:line="240" w:lineRule="auto"/>
              <w:jc w:val="center"/>
              <w:rPr>
                <w:rFonts w:cs="Arial"/>
                <w:sz w:val="16"/>
                <w:szCs w:val="16"/>
              </w:rPr>
            </w:pPr>
            <w:r w:rsidRPr="008E7494">
              <w:rPr>
                <w:rFonts w:cs="Arial"/>
                <w:sz w:val="16"/>
                <w:szCs w:val="16"/>
              </w:rPr>
              <w:t>2</w:t>
            </w:r>
            <w:r>
              <w:rPr>
                <w:rFonts w:cs="Arial"/>
                <w:sz w:val="16"/>
                <w:szCs w:val="16"/>
              </w:rPr>
              <w:t>5</w:t>
            </w:r>
            <w:r w:rsidRPr="008E7494">
              <w:rPr>
                <w:rFonts w:cs="Arial"/>
                <w:sz w:val="16"/>
                <w:szCs w:val="16"/>
              </w:rPr>
              <w:t xml:space="preserve"> February</w:t>
            </w:r>
          </w:p>
        </w:tc>
        <w:tc>
          <w:tcPr>
            <w:tcW w:w="1418" w:type="dxa"/>
            <w:vMerge w:val="restart"/>
            <w:tcBorders>
              <w:top w:val="single" w:sz="18" w:space="0" w:color="BFBFBF" w:themeColor="background1" w:themeShade="BF"/>
              <w:left w:val="single" w:sz="18" w:space="0" w:color="C0C0C0"/>
              <w:right w:val="single" w:sz="18" w:space="0" w:color="BFBFBF" w:themeColor="background1" w:themeShade="BF"/>
            </w:tcBorders>
            <w:vAlign w:val="center"/>
          </w:tcPr>
          <w:p w14:paraId="789DE019" w14:textId="77777777" w:rsidR="00DF019A" w:rsidRPr="008E7494" w:rsidRDefault="00DF019A" w:rsidP="00066DE4">
            <w:pPr>
              <w:spacing w:after="0" w:line="240" w:lineRule="auto"/>
              <w:jc w:val="center"/>
              <w:rPr>
                <w:rFonts w:cs="Arial"/>
                <w:color w:val="000000"/>
                <w:sz w:val="16"/>
                <w:szCs w:val="16"/>
              </w:rPr>
            </w:pPr>
          </w:p>
        </w:tc>
        <w:tc>
          <w:tcPr>
            <w:tcW w:w="1275" w:type="dxa"/>
            <w:tcBorders>
              <w:top w:val="single" w:sz="18" w:space="0" w:color="BFBFBF" w:themeColor="background1" w:themeShade="BF"/>
              <w:left w:val="single" w:sz="18" w:space="0" w:color="BFBFBF" w:themeColor="background1" w:themeShade="BF"/>
              <w:bottom w:val="nil"/>
              <w:right w:val="single" w:sz="18" w:space="0" w:color="BFBFBF" w:themeColor="background1" w:themeShade="BF"/>
            </w:tcBorders>
            <w:shd w:val="clear" w:color="auto" w:fill="A64D2C"/>
            <w:vAlign w:val="center"/>
          </w:tcPr>
          <w:p w14:paraId="5BAB1804" w14:textId="77777777" w:rsidR="00DF019A" w:rsidRPr="008E7494" w:rsidRDefault="00DF019A" w:rsidP="00066DE4">
            <w:pPr>
              <w:spacing w:after="0" w:line="240" w:lineRule="auto"/>
              <w:jc w:val="center"/>
              <w:rPr>
                <w:rFonts w:cs="Arial"/>
                <w:color w:val="000000"/>
                <w:sz w:val="16"/>
                <w:szCs w:val="16"/>
              </w:rPr>
            </w:pPr>
            <w:r w:rsidRPr="008E7494">
              <w:rPr>
                <w:rFonts w:cs="Arial"/>
                <w:color w:val="000000"/>
                <w:sz w:val="16"/>
                <w:szCs w:val="16"/>
              </w:rPr>
              <w:t>2</w:t>
            </w:r>
            <w:r>
              <w:rPr>
                <w:rFonts w:cs="Arial"/>
                <w:color w:val="000000"/>
                <w:sz w:val="16"/>
                <w:szCs w:val="16"/>
              </w:rPr>
              <w:t>6</w:t>
            </w:r>
          </w:p>
        </w:tc>
        <w:tc>
          <w:tcPr>
            <w:tcW w:w="1418" w:type="dxa"/>
            <w:vMerge w:val="restart"/>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A64D2C"/>
            <w:vAlign w:val="center"/>
          </w:tcPr>
          <w:p w14:paraId="4DC531E3"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27</w:t>
            </w:r>
          </w:p>
        </w:tc>
        <w:tc>
          <w:tcPr>
            <w:tcW w:w="1276" w:type="dxa"/>
            <w:vMerge w:val="restart"/>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A64D2C"/>
            <w:vAlign w:val="center"/>
          </w:tcPr>
          <w:p w14:paraId="2117A28A"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28</w:t>
            </w:r>
          </w:p>
        </w:tc>
        <w:tc>
          <w:tcPr>
            <w:tcW w:w="1559" w:type="dxa"/>
            <w:vMerge w:val="restart"/>
            <w:tcBorders>
              <w:top w:val="single" w:sz="18" w:space="0" w:color="BFBFBF" w:themeColor="background1" w:themeShade="BF"/>
              <w:left w:val="single" w:sz="18" w:space="0" w:color="BFBFBF" w:themeColor="background1" w:themeShade="BF"/>
              <w:right w:val="single" w:sz="18" w:space="0" w:color="808080"/>
            </w:tcBorders>
            <w:vAlign w:val="center"/>
          </w:tcPr>
          <w:p w14:paraId="22C35024" w14:textId="77777777" w:rsidR="00DF019A" w:rsidRPr="008E7494" w:rsidRDefault="00DF019A" w:rsidP="00066DE4">
            <w:pPr>
              <w:spacing w:after="0" w:line="240" w:lineRule="auto"/>
              <w:jc w:val="center"/>
              <w:rPr>
                <w:rFonts w:cs="Arial"/>
                <w:bCs/>
                <w:sz w:val="16"/>
                <w:szCs w:val="16"/>
              </w:rPr>
            </w:pPr>
          </w:p>
        </w:tc>
        <w:tc>
          <w:tcPr>
            <w:tcW w:w="2806" w:type="dxa"/>
            <w:vMerge w:val="restart"/>
            <w:tcBorders>
              <w:top w:val="single" w:sz="18" w:space="0" w:color="BFBFBF" w:themeColor="background1" w:themeShade="BF"/>
              <w:left w:val="single" w:sz="18" w:space="0" w:color="808080"/>
              <w:right w:val="single" w:sz="18" w:space="0" w:color="808080"/>
            </w:tcBorders>
            <w:vAlign w:val="center"/>
          </w:tcPr>
          <w:p w14:paraId="39E63DE9" w14:textId="77777777" w:rsidR="00DF019A" w:rsidRPr="008E7494" w:rsidRDefault="00DF019A" w:rsidP="00066DE4">
            <w:pPr>
              <w:spacing w:after="0" w:line="240" w:lineRule="auto"/>
              <w:jc w:val="center"/>
              <w:rPr>
                <w:rFonts w:cs="Arial"/>
                <w:sz w:val="16"/>
                <w:szCs w:val="16"/>
              </w:rPr>
            </w:pPr>
          </w:p>
        </w:tc>
      </w:tr>
      <w:tr w:rsidR="00DF019A" w:rsidRPr="008E7494" w14:paraId="4DE11581" w14:textId="77777777" w:rsidTr="00066DE4">
        <w:trPr>
          <w:trHeight w:hRule="exact" w:val="284"/>
          <w:jc w:val="center"/>
        </w:trPr>
        <w:tc>
          <w:tcPr>
            <w:tcW w:w="1730" w:type="dxa"/>
            <w:vMerge/>
            <w:tcBorders>
              <w:left w:val="single" w:sz="18" w:space="0" w:color="808080"/>
              <w:bottom w:val="single" w:sz="18" w:space="0" w:color="808080" w:themeColor="background1" w:themeShade="80"/>
              <w:right w:val="single" w:sz="18" w:space="0" w:color="C0C0C0"/>
            </w:tcBorders>
            <w:vAlign w:val="center"/>
          </w:tcPr>
          <w:p w14:paraId="03D11D36" w14:textId="77777777" w:rsidR="00DF019A" w:rsidRPr="008E7494" w:rsidRDefault="00DF019A" w:rsidP="00066DE4">
            <w:pPr>
              <w:spacing w:after="0" w:line="240" w:lineRule="auto"/>
              <w:jc w:val="center"/>
              <w:rPr>
                <w:rFonts w:cs="Arial"/>
                <w:sz w:val="16"/>
                <w:szCs w:val="16"/>
              </w:rPr>
            </w:pPr>
          </w:p>
        </w:tc>
        <w:tc>
          <w:tcPr>
            <w:tcW w:w="1418" w:type="dxa"/>
            <w:vMerge/>
            <w:tcBorders>
              <w:left w:val="single" w:sz="18" w:space="0" w:color="C0C0C0"/>
              <w:right w:val="single" w:sz="18" w:space="0" w:color="BFBFBF" w:themeColor="background1" w:themeShade="BF"/>
            </w:tcBorders>
            <w:vAlign w:val="center"/>
          </w:tcPr>
          <w:p w14:paraId="085A402A" w14:textId="77777777" w:rsidR="00DF019A" w:rsidRPr="008E7494" w:rsidRDefault="00DF019A" w:rsidP="00066DE4">
            <w:pPr>
              <w:spacing w:after="0" w:line="240" w:lineRule="auto"/>
              <w:jc w:val="center"/>
              <w:rPr>
                <w:rFonts w:cs="Arial"/>
                <w:color w:val="000000"/>
                <w:sz w:val="16"/>
                <w:szCs w:val="16"/>
              </w:rPr>
            </w:pPr>
          </w:p>
        </w:tc>
        <w:tc>
          <w:tcPr>
            <w:tcW w:w="1275" w:type="dxa"/>
            <w:tcBorders>
              <w:top w:val="nil"/>
              <w:left w:val="single" w:sz="18" w:space="0" w:color="BFBFBF" w:themeColor="background1" w:themeShade="BF"/>
              <w:bottom w:val="single" w:sz="18" w:space="0" w:color="808080" w:themeColor="background1" w:themeShade="80"/>
              <w:right w:val="single" w:sz="18" w:space="0" w:color="BFBFBF" w:themeColor="background1" w:themeShade="BF"/>
            </w:tcBorders>
            <w:shd w:val="clear" w:color="auto" w:fill="467082"/>
            <w:vAlign w:val="center"/>
          </w:tcPr>
          <w:p w14:paraId="095C50CC"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26</w:t>
            </w:r>
          </w:p>
        </w:tc>
        <w:tc>
          <w:tcPr>
            <w:tcW w:w="1418" w:type="dxa"/>
            <w:vMerge/>
            <w:tcBorders>
              <w:left w:val="single" w:sz="18" w:space="0" w:color="BFBFBF" w:themeColor="background1" w:themeShade="BF"/>
              <w:bottom w:val="single" w:sz="18" w:space="0" w:color="808080" w:themeColor="background1" w:themeShade="80"/>
              <w:right w:val="single" w:sz="18" w:space="0" w:color="BFBFBF" w:themeColor="background1" w:themeShade="BF"/>
            </w:tcBorders>
            <w:shd w:val="clear" w:color="auto" w:fill="A64D2C"/>
            <w:vAlign w:val="center"/>
          </w:tcPr>
          <w:p w14:paraId="359444CD" w14:textId="77777777" w:rsidR="00DF019A" w:rsidRDefault="00DF019A" w:rsidP="00066DE4">
            <w:pPr>
              <w:spacing w:after="0" w:line="240" w:lineRule="auto"/>
              <w:jc w:val="center"/>
              <w:rPr>
                <w:rFonts w:cs="Arial"/>
                <w:color w:val="000000"/>
                <w:sz w:val="16"/>
                <w:szCs w:val="16"/>
              </w:rPr>
            </w:pPr>
          </w:p>
        </w:tc>
        <w:tc>
          <w:tcPr>
            <w:tcW w:w="1276" w:type="dxa"/>
            <w:vMerge/>
            <w:tcBorders>
              <w:left w:val="single" w:sz="18" w:space="0" w:color="BFBFBF" w:themeColor="background1" w:themeShade="BF"/>
              <w:bottom w:val="single" w:sz="18" w:space="0" w:color="808080" w:themeColor="background1" w:themeShade="80"/>
              <w:right w:val="single" w:sz="18" w:space="0" w:color="BFBFBF" w:themeColor="background1" w:themeShade="BF"/>
            </w:tcBorders>
            <w:shd w:val="clear" w:color="auto" w:fill="A64D2C"/>
            <w:vAlign w:val="center"/>
          </w:tcPr>
          <w:p w14:paraId="14204A23" w14:textId="77777777" w:rsidR="00DF019A" w:rsidRDefault="00DF019A" w:rsidP="00066DE4">
            <w:pPr>
              <w:spacing w:after="0" w:line="240" w:lineRule="auto"/>
              <w:jc w:val="center"/>
              <w:rPr>
                <w:rFonts w:cs="Arial"/>
                <w:color w:val="000000"/>
                <w:sz w:val="16"/>
                <w:szCs w:val="16"/>
              </w:rPr>
            </w:pPr>
          </w:p>
        </w:tc>
        <w:tc>
          <w:tcPr>
            <w:tcW w:w="1559" w:type="dxa"/>
            <w:vMerge/>
            <w:tcBorders>
              <w:left w:val="single" w:sz="18" w:space="0" w:color="BFBFBF" w:themeColor="background1" w:themeShade="BF"/>
              <w:bottom w:val="single" w:sz="18" w:space="0" w:color="808080"/>
              <w:right w:val="single" w:sz="18" w:space="0" w:color="808080"/>
            </w:tcBorders>
            <w:vAlign w:val="center"/>
          </w:tcPr>
          <w:p w14:paraId="35C8D624" w14:textId="77777777" w:rsidR="00DF019A" w:rsidRPr="008E7494" w:rsidRDefault="00DF019A" w:rsidP="00066DE4">
            <w:pPr>
              <w:spacing w:after="0" w:line="240" w:lineRule="auto"/>
              <w:jc w:val="center"/>
              <w:rPr>
                <w:rFonts w:cs="Arial"/>
                <w:bCs/>
                <w:sz w:val="16"/>
                <w:szCs w:val="16"/>
              </w:rPr>
            </w:pPr>
          </w:p>
        </w:tc>
        <w:tc>
          <w:tcPr>
            <w:tcW w:w="2806" w:type="dxa"/>
            <w:vMerge/>
            <w:tcBorders>
              <w:left w:val="single" w:sz="18" w:space="0" w:color="808080"/>
              <w:bottom w:val="single" w:sz="18" w:space="0" w:color="808080"/>
              <w:right w:val="single" w:sz="18" w:space="0" w:color="808080"/>
            </w:tcBorders>
            <w:vAlign w:val="center"/>
          </w:tcPr>
          <w:p w14:paraId="74CBEA1B" w14:textId="77777777" w:rsidR="00DF019A" w:rsidRPr="008E7494" w:rsidRDefault="00DF019A" w:rsidP="00066DE4">
            <w:pPr>
              <w:spacing w:after="0" w:line="240" w:lineRule="auto"/>
              <w:jc w:val="center"/>
              <w:rPr>
                <w:rFonts w:cs="Arial"/>
                <w:sz w:val="16"/>
                <w:szCs w:val="16"/>
              </w:rPr>
            </w:pPr>
          </w:p>
        </w:tc>
      </w:tr>
      <w:tr w:rsidR="00DF019A" w:rsidRPr="008E7494" w14:paraId="57CB8D04" w14:textId="77777777" w:rsidTr="00066DE4">
        <w:trPr>
          <w:trHeight w:hRule="exact" w:val="284"/>
          <w:jc w:val="center"/>
        </w:trPr>
        <w:tc>
          <w:tcPr>
            <w:tcW w:w="1730" w:type="dxa"/>
            <w:vMerge w:val="restart"/>
            <w:tcBorders>
              <w:top w:val="single" w:sz="18" w:space="0" w:color="808080" w:themeColor="background1" w:themeShade="80"/>
              <w:left w:val="single" w:sz="18" w:space="0" w:color="808080"/>
              <w:right w:val="single" w:sz="18" w:space="0" w:color="C0C0C0"/>
            </w:tcBorders>
            <w:vAlign w:val="center"/>
          </w:tcPr>
          <w:p w14:paraId="4F02CDE7" w14:textId="77777777" w:rsidR="00DF019A" w:rsidRPr="00CE6C60" w:rsidRDefault="00DF019A" w:rsidP="00066DE4">
            <w:pPr>
              <w:spacing w:after="0" w:line="240" w:lineRule="auto"/>
              <w:jc w:val="center"/>
              <w:rPr>
                <w:rFonts w:cs="Arial"/>
                <w:sz w:val="16"/>
                <w:szCs w:val="16"/>
              </w:rPr>
            </w:pPr>
            <w:r w:rsidRPr="00CE6C60">
              <w:rPr>
                <w:rFonts w:cs="Arial"/>
                <w:sz w:val="16"/>
                <w:szCs w:val="16"/>
              </w:rPr>
              <w:t>4 March</w:t>
            </w:r>
          </w:p>
        </w:tc>
        <w:tc>
          <w:tcPr>
            <w:tcW w:w="1418" w:type="dxa"/>
            <w:vMerge w:val="restart"/>
            <w:tcBorders>
              <w:top w:val="single" w:sz="18" w:space="0" w:color="808080"/>
              <w:left w:val="single" w:sz="18" w:space="0" w:color="C0C0C0"/>
              <w:right w:val="single" w:sz="18" w:space="0" w:color="BFBFBF" w:themeColor="background1" w:themeShade="BF"/>
            </w:tcBorders>
            <w:vAlign w:val="center"/>
          </w:tcPr>
          <w:p w14:paraId="39A2012B" w14:textId="77777777" w:rsidR="00DF019A" w:rsidRPr="008E7494" w:rsidRDefault="00DF019A" w:rsidP="00066DE4">
            <w:pPr>
              <w:spacing w:after="0" w:line="240" w:lineRule="auto"/>
              <w:jc w:val="center"/>
              <w:rPr>
                <w:rFonts w:cs="Arial"/>
                <w:sz w:val="16"/>
                <w:szCs w:val="16"/>
              </w:rPr>
            </w:pPr>
          </w:p>
        </w:tc>
        <w:tc>
          <w:tcPr>
            <w:tcW w:w="1275" w:type="dxa"/>
            <w:vMerge w:val="restart"/>
            <w:tcBorders>
              <w:top w:val="single" w:sz="18" w:space="0" w:color="808080" w:themeColor="background1" w:themeShade="80"/>
              <w:left w:val="single" w:sz="18" w:space="0" w:color="BFBFBF" w:themeColor="background1" w:themeShade="BF"/>
              <w:right w:val="single" w:sz="18" w:space="0" w:color="BFBFBF" w:themeColor="background1" w:themeShade="BF"/>
            </w:tcBorders>
            <w:shd w:val="clear" w:color="auto" w:fill="A972A9"/>
            <w:vAlign w:val="center"/>
          </w:tcPr>
          <w:p w14:paraId="171397D4" w14:textId="77777777" w:rsidR="00DF019A" w:rsidRPr="008E7494" w:rsidRDefault="00DF019A" w:rsidP="00066DE4">
            <w:pPr>
              <w:spacing w:after="0" w:line="240" w:lineRule="auto"/>
              <w:jc w:val="center"/>
              <w:rPr>
                <w:rFonts w:cs="Arial"/>
                <w:sz w:val="16"/>
                <w:szCs w:val="16"/>
              </w:rPr>
            </w:pPr>
            <w:r>
              <w:rPr>
                <w:rFonts w:cs="Arial"/>
                <w:sz w:val="16"/>
                <w:szCs w:val="16"/>
              </w:rPr>
              <w:t>5</w:t>
            </w:r>
          </w:p>
        </w:tc>
        <w:tc>
          <w:tcPr>
            <w:tcW w:w="1418" w:type="dxa"/>
            <w:vMerge w:val="restart"/>
            <w:tcBorders>
              <w:top w:val="single" w:sz="18" w:space="0" w:color="808080" w:themeColor="background1" w:themeShade="80"/>
              <w:left w:val="single" w:sz="18" w:space="0" w:color="BFBFBF" w:themeColor="background1" w:themeShade="BF"/>
              <w:right w:val="single" w:sz="18" w:space="0" w:color="BFBFBF" w:themeColor="background1" w:themeShade="BF"/>
            </w:tcBorders>
            <w:shd w:val="clear" w:color="auto" w:fill="A972A9"/>
            <w:vAlign w:val="center"/>
          </w:tcPr>
          <w:p w14:paraId="65B4653F"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6</w:t>
            </w:r>
          </w:p>
        </w:tc>
        <w:tc>
          <w:tcPr>
            <w:tcW w:w="1276" w:type="dxa"/>
            <w:tcBorders>
              <w:top w:val="single" w:sz="18" w:space="0" w:color="808080" w:themeColor="background1" w:themeShade="80"/>
              <w:left w:val="single" w:sz="18" w:space="0" w:color="BFBFBF" w:themeColor="background1" w:themeShade="BF"/>
              <w:bottom w:val="nil"/>
              <w:right w:val="single" w:sz="18" w:space="0" w:color="BFBFBF" w:themeColor="background1" w:themeShade="BF"/>
            </w:tcBorders>
            <w:shd w:val="clear" w:color="auto" w:fill="A972A9"/>
            <w:vAlign w:val="center"/>
          </w:tcPr>
          <w:p w14:paraId="549D1BCB"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7</w:t>
            </w:r>
          </w:p>
        </w:tc>
        <w:tc>
          <w:tcPr>
            <w:tcW w:w="1559" w:type="dxa"/>
            <w:vMerge w:val="restart"/>
            <w:tcBorders>
              <w:top w:val="single" w:sz="18" w:space="0" w:color="808080"/>
              <w:left w:val="single" w:sz="18" w:space="0" w:color="BFBFBF" w:themeColor="background1" w:themeShade="BF"/>
              <w:right w:val="single" w:sz="18" w:space="0" w:color="808080"/>
            </w:tcBorders>
            <w:vAlign w:val="center"/>
          </w:tcPr>
          <w:p w14:paraId="2A4028E4" w14:textId="77777777" w:rsidR="00DF019A" w:rsidRPr="008E7494" w:rsidRDefault="00DF019A" w:rsidP="00066DE4">
            <w:pPr>
              <w:spacing w:after="0" w:line="240" w:lineRule="auto"/>
              <w:jc w:val="center"/>
              <w:rPr>
                <w:rFonts w:cs="Arial"/>
                <w:bCs/>
                <w:sz w:val="16"/>
                <w:szCs w:val="16"/>
              </w:rPr>
            </w:pPr>
          </w:p>
        </w:tc>
        <w:tc>
          <w:tcPr>
            <w:tcW w:w="2806" w:type="dxa"/>
            <w:vMerge w:val="restart"/>
            <w:tcBorders>
              <w:top w:val="single" w:sz="18" w:space="0" w:color="808080"/>
              <w:left w:val="single" w:sz="18" w:space="0" w:color="808080"/>
              <w:right w:val="single" w:sz="18" w:space="0" w:color="808080"/>
            </w:tcBorders>
            <w:vAlign w:val="center"/>
          </w:tcPr>
          <w:p w14:paraId="7A6D8D1D" w14:textId="77777777" w:rsidR="00DF019A" w:rsidRPr="008E7494" w:rsidRDefault="00DF019A" w:rsidP="00066DE4">
            <w:pPr>
              <w:spacing w:after="0" w:line="240" w:lineRule="auto"/>
              <w:jc w:val="center"/>
              <w:rPr>
                <w:rFonts w:cs="Arial"/>
                <w:sz w:val="16"/>
                <w:szCs w:val="16"/>
              </w:rPr>
            </w:pPr>
          </w:p>
        </w:tc>
      </w:tr>
      <w:tr w:rsidR="00DF019A" w:rsidRPr="008E7494" w14:paraId="76E15705" w14:textId="77777777" w:rsidTr="00066DE4">
        <w:trPr>
          <w:trHeight w:hRule="exact" w:val="284"/>
          <w:jc w:val="center"/>
        </w:trPr>
        <w:tc>
          <w:tcPr>
            <w:tcW w:w="1730" w:type="dxa"/>
            <w:vMerge/>
            <w:tcBorders>
              <w:left w:val="single" w:sz="18" w:space="0" w:color="808080"/>
              <w:right w:val="single" w:sz="18" w:space="0" w:color="C0C0C0"/>
            </w:tcBorders>
            <w:vAlign w:val="center"/>
          </w:tcPr>
          <w:p w14:paraId="36EDB97B" w14:textId="77777777" w:rsidR="00DF019A" w:rsidRPr="00CE6C60" w:rsidRDefault="00DF019A" w:rsidP="00066DE4">
            <w:pPr>
              <w:spacing w:after="0" w:line="240" w:lineRule="auto"/>
              <w:jc w:val="center"/>
              <w:rPr>
                <w:rFonts w:cs="Arial"/>
                <w:sz w:val="16"/>
                <w:szCs w:val="16"/>
              </w:rPr>
            </w:pPr>
          </w:p>
        </w:tc>
        <w:tc>
          <w:tcPr>
            <w:tcW w:w="1418" w:type="dxa"/>
            <w:vMerge/>
            <w:tcBorders>
              <w:left w:val="single" w:sz="18" w:space="0" w:color="C0C0C0"/>
              <w:right w:val="single" w:sz="18" w:space="0" w:color="BFBFBF" w:themeColor="background1" w:themeShade="BF"/>
            </w:tcBorders>
            <w:vAlign w:val="center"/>
          </w:tcPr>
          <w:p w14:paraId="58F17428" w14:textId="77777777" w:rsidR="00DF019A" w:rsidRPr="008E7494" w:rsidRDefault="00DF019A" w:rsidP="00066DE4">
            <w:pPr>
              <w:spacing w:after="0" w:line="240" w:lineRule="auto"/>
              <w:jc w:val="center"/>
              <w:rPr>
                <w:rFonts w:cs="Arial"/>
                <w:sz w:val="16"/>
                <w:szCs w:val="16"/>
              </w:rPr>
            </w:pPr>
          </w:p>
        </w:tc>
        <w:tc>
          <w:tcPr>
            <w:tcW w:w="1275" w:type="dxa"/>
            <w:vMerge/>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972A9"/>
            <w:vAlign w:val="center"/>
          </w:tcPr>
          <w:p w14:paraId="4201FF84" w14:textId="77777777" w:rsidR="00DF019A" w:rsidRDefault="00DF019A" w:rsidP="00066DE4">
            <w:pPr>
              <w:spacing w:after="0" w:line="240" w:lineRule="auto"/>
              <w:jc w:val="center"/>
              <w:rPr>
                <w:rFonts w:cs="Arial"/>
                <w:sz w:val="16"/>
                <w:szCs w:val="16"/>
              </w:rPr>
            </w:pPr>
          </w:p>
        </w:tc>
        <w:tc>
          <w:tcPr>
            <w:tcW w:w="1418" w:type="dxa"/>
            <w:vMerge/>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972A9"/>
            <w:vAlign w:val="center"/>
          </w:tcPr>
          <w:p w14:paraId="61B454C0" w14:textId="77777777" w:rsidR="00DF019A" w:rsidRDefault="00DF019A" w:rsidP="00066DE4">
            <w:pPr>
              <w:spacing w:after="0" w:line="240" w:lineRule="auto"/>
              <w:jc w:val="center"/>
              <w:rPr>
                <w:rFonts w:cs="Arial"/>
                <w:color w:val="000000"/>
                <w:sz w:val="16"/>
                <w:szCs w:val="16"/>
              </w:rPr>
            </w:pPr>
          </w:p>
        </w:tc>
        <w:tc>
          <w:tcPr>
            <w:tcW w:w="1276" w:type="dxa"/>
            <w:tcBorders>
              <w:top w:val="nil"/>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768968"/>
            <w:vAlign w:val="center"/>
          </w:tcPr>
          <w:p w14:paraId="5E2435DF" w14:textId="77777777" w:rsidR="00DF019A" w:rsidRDefault="00DF019A" w:rsidP="00066DE4">
            <w:pPr>
              <w:spacing w:after="0" w:line="240" w:lineRule="auto"/>
              <w:jc w:val="center"/>
              <w:rPr>
                <w:rFonts w:cs="Arial"/>
                <w:color w:val="000000"/>
                <w:sz w:val="16"/>
                <w:szCs w:val="16"/>
              </w:rPr>
            </w:pPr>
            <w:r>
              <w:rPr>
                <w:rFonts w:cs="Arial"/>
                <w:color w:val="000000"/>
                <w:sz w:val="16"/>
                <w:szCs w:val="16"/>
              </w:rPr>
              <w:t>7</w:t>
            </w:r>
          </w:p>
        </w:tc>
        <w:tc>
          <w:tcPr>
            <w:tcW w:w="1559" w:type="dxa"/>
            <w:vMerge/>
            <w:tcBorders>
              <w:left w:val="single" w:sz="18" w:space="0" w:color="BFBFBF" w:themeColor="background1" w:themeShade="BF"/>
              <w:right w:val="single" w:sz="18" w:space="0" w:color="808080"/>
            </w:tcBorders>
            <w:vAlign w:val="center"/>
          </w:tcPr>
          <w:p w14:paraId="2E3389F9" w14:textId="77777777" w:rsidR="00DF019A" w:rsidRPr="008E7494" w:rsidRDefault="00DF019A" w:rsidP="00066DE4">
            <w:pPr>
              <w:spacing w:after="0" w:line="240" w:lineRule="auto"/>
              <w:jc w:val="center"/>
              <w:rPr>
                <w:rFonts w:cs="Arial"/>
                <w:bCs/>
                <w:sz w:val="16"/>
                <w:szCs w:val="16"/>
              </w:rPr>
            </w:pPr>
          </w:p>
        </w:tc>
        <w:tc>
          <w:tcPr>
            <w:tcW w:w="2806" w:type="dxa"/>
            <w:vMerge/>
            <w:tcBorders>
              <w:left w:val="single" w:sz="18" w:space="0" w:color="808080"/>
              <w:right w:val="single" w:sz="18" w:space="0" w:color="808080"/>
            </w:tcBorders>
            <w:vAlign w:val="center"/>
          </w:tcPr>
          <w:p w14:paraId="0A40E6C2" w14:textId="77777777" w:rsidR="00DF019A" w:rsidRPr="008E7494" w:rsidRDefault="00DF019A" w:rsidP="00066DE4">
            <w:pPr>
              <w:spacing w:after="0" w:line="240" w:lineRule="auto"/>
              <w:jc w:val="center"/>
              <w:rPr>
                <w:rFonts w:cs="Arial"/>
                <w:sz w:val="16"/>
                <w:szCs w:val="16"/>
              </w:rPr>
            </w:pPr>
          </w:p>
        </w:tc>
      </w:tr>
      <w:tr w:rsidR="00DF019A" w:rsidRPr="008E7494" w14:paraId="6E5FFEBE" w14:textId="77777777" w:rsidTr="00066DE4">
        <w:trPr>
          <w:trHeight w:val="397"/>
          <w:jc w:val="center"/>
        </w:trPr>
        <w:tc>
          <w:tcPr>
            <w:tcW w:w="1730" w:type="dxa"/>
            <w:tcBorders>
              <w:top w:val="single" w:sz="18" w:space="0" w:color="C0C0C0"/>
              <w:left w:val="single" w:sz="18" w:space="0" w:color="808080"/>
              <w:right w:val="single" w:sz="18" w:space="0" w:color="C0C0C0"/>
            </w:tcBorders>
            <w:vAlign w:val="center"/>
          </w:tcPr>
          <w:p w14:paraId="3DD46403" w14:textId="77777777" w:rsidR="00DF019A" w:rsidRPr="00CE6C60" w:rsidRDefault="00DF019A" w:rsidP="00066DE4">
            <w:pPr>
              <w:spacing w:after="0" w:line="240" w:lineRule="auto"/>
              <w:jc w:val="center"/>
              <w:rPr>
                <w:rFonts w:cs="Arial"/>
                <w:sz w:val="16"/>
                <w:szCs w:val="16"/>
              </w:rPr>
            </w:pPr>
            <w:r w:rsidRPr="00CE6C60">
              <w:rPr>
                <w:rFonts w:cs="Arial"/>
                <w:sz w:val="16"/>
                <w:szCs w:val="16"/>
              </w:rPr>
              <w:t>11 March</w:t>
            </w:r>
          </w:p>
        </w:tc>
        <w:tc>
          <w:tcPr>
            <w:tcW w:w="1418" w:type="dxa"/>
            <w:tcBorders>
              <w:top w:val="single" w:sz="18" w:space="0" w:color="C0C0C0"/>
              <w:left w:val="single" w:sz="18" w:space="0" w:color="C0C0C0"/>
              <w:right w:val="single" w:sz="18" w:space="0" w:color="BFBFBF" w:themeColor="background1" w:themeShade="BF"/>
            </w:tcBorders>
            <w:vAlign w:val="center"/>
          </w:tcPr>
          <w:p w14:paraId="180D910C" w14:textId="77777777" w:rsidR="00DF019A" w:rsidRPr="008E7494" w:rsidRDefault="00DF019A" w:rsidP="00066DE4">
            <w:pPr>
              <w:spacing w:after="0" w:line="240" w:lineRule="auto"/>
              <w:jc w:val="center"/>
              <w:rPr>
                <w:rFonts w:cs="Arial"/>
                <w:color w:val="000000"/>
                <w:sz w:val="16"/>
                <w:szCs w:val="16"/>
              </w:rPr>
            </w:pPr>
          </w:p>
        </w:tc>
        <w:tc>
          <w:tcPr>
            <w:tcW w:w="127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64D2C"/>
            <w:vAlign w:val="center"/>
          </w:tcPr>
          <w:p w14:paraId="5B82378C" w14:textId="77777777" w:rsidR="00DF019A" w:rsidRPr="008E7494" w:rsidRDefault="00DF019A" w:rsidP="00066DE4">
            <w:pPr>
              <w:spacing w:after="0" w:line="240" w:lineRule="auto"/>
              <w:jc w:val="center"/>
              <w:rPr>
                <w:rFonts w:cs="Arial"/>
                <w:color w:val="000000"/>
                <w:sz w:val="16"/>
                <w:szCs w:val="16"/>
              </w:rPr>
            </w:pPr>
            <w:r w:rsidRPr="008E7494">
              <w:rPr>
                <w:rFonts w:cs="Arial"/>
                <w:color w:val="000000"/>
                <w:sz w:val="16"/>
                <w:szCs w:val="16"/>
              </w:rPr>
              <w:t>1</w:t>
            </w:r>
            <w:r>
              <w:rPr>
                <w:rFonts w:cs="Arial"/>
                <w:color w:val="000000"/>
                <w:sz w:val="16"/>
                <w:szCs w:val="16"/>
              </w:rPr>
              <w:t>2</w:t>
            </w:r>
          </w:p>
        </w:tc>
        <w:tc>
          <w:tcPr>
            <w:tcW w:w="1418"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64D2C"/>
            <w:vAlign w:val="center"/>
          </w:tcPr>
          <w:p w14:paraId="2D99ECEC" w14:textId="77777777" w:rsidR="00DF019A" w:rsidRPr="008E7494" w:rsidRDefault="00DF019A" w:rsidP="00066DE4">
            <w:pPr>
              <w:spacing w:after="0" w:line="240" w:lineRule="auto"/>
              <w:jc w:val="center"/>
              <w:rPr>
                <w:rFonts w:cs="Arial"/>
                <w:sz w:val="16"/>
                <w:szCs w:val="16"/>
              </w:rPr>
            </w:pPr>
            <w:r>
              <w:rPr>
                <w:rFonts w:cs="Arial"/>
                <w:sz w:val="16"/>
                <w:szCs w:val="16"/>
              </w:rPr>
              <w:t>13</w:t>
            </w:r>
          </w:p>
        </w:tc>
        <w:tc>
          <w:tcPr>
            <w:tcW w:w="1276"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64D2C"/>
            <w:vAlign w:val="center"/>
          </w:tcPr>
          <w:p w14:paraId="0522E544" w14:textId="77777777" w:rsidR="00DF019A" w:rsidRPr="008E7494" w:rsidRDefault="00DF019A" w:rsidP="00066DE4">
            <w:pPr>
              <w:spacing w:after="0" w:line="240" w:lineRule="auto"/>
              <w:jc w:val="center"/>
              <w:rPr>
                <w:rFonts w:cs="Arial"/>
                <w:sz w:val="16"/>
                <w:szCs w:val="16"/>
              </w:rPr>
            </w:pPr>
            <w:r>
              <w:rPr>
                <w:rFonts w:cs="Arial"/>
                <w:sz w:val="16"/>
                <w:szCs w:val="16"/>
              </w:rPr>
              <w:t>14</w:t>
            </w:r>
          </w:p>
        </w:tc>
        <w:tc>
          <w:tcPr>
            <w:tcW w:w="1559" w:type="dxa"/>
            <w:tcBorders>
              <w:top w:val="single" w:sz="18" w:space="0" w:color="C0C0C0"/>
              <w:left w:val="single" w:sz="18" w:space="0" w:color="BFBFBF" w:themeColor="background1" w:themeShade="BF"/>
              <w:right w:val="single" w:sz="18" w:space="0" w:color="808080"/>
            </w:tcBorders>
            <w:vAlign w:val="center"/>
          </w:tcPr>
          <w:p w14:paraId="26C218C7" w14:textId="77777777" w:rsidR="00DF019A" w:rsidRPr="008E7494" w:rsidRDefault="00DF019A" w:rsidP="00066DE4">
            <w:pPr>
              <w:spacing w:after="0" w:line="240" w:lineRule="auto"/>
              <w:jc w:val="center"/>
              <w:rPr>
                <w:rFonts w:cs="Arial"/>
                <w:bCs/>
                <w:sz w:val="16"/>
                <w:szCs w:val="16"/>
              </w:rPr>
            </w:pPr>
          </w:p>
        </w:tc>
        <w:tc>
          <w:tcPr>
            <w:tcW w:w="2806" w:type="dxa"/>
            <w:tcBorders>
              <w:top w:val="single" w:sz="18" w:space="0" w:color="C0C0C0"/>
              <w:left w:val="single" w:sz="18" w:space="0" w:color="808080"/>
              <w:right w:val="single" w:sz="18" w:space="0" w:color="808080"/>
            </w:tcBorders>
            <w:vAlign w:val="center"/>
          </w:tcPr>
          <w:p w14:paraId="7F3D512C" w14:textId="77777777" w:rsidR="00DF019A" w:rsidRPr="008E7494" w:rsidRDefault="00DF019A" w:rsidP="00066DE4">
            <w:pPr>
              <w:spacing w:after="0" w:line="240" w:lineRule="auto"/>
              <w:jc w:val="center"/>
              <w:rPr>
                <w:rFonts w:cs="Arial"/>
                <w:sz w:val="16"/>
                <w:szCs w:val="16"/>
              </w:rPr>
            </w:pPr>
          </w:p>
        </w:tc>
      </w:tr>
      <w:tr w:rsidR="00DF019A" w:rsidRPr="008E7494" w14:paraId="59D9C4B9" w14:textId="77777777" w:rsidTr="00066DE4">
        <w:trPr>
          <w:trHeight w:hRule="exact" w:val="284"/>
          <w:jc w:val="center"/>
        </w:trPr>
        <w:tc>
          <w:tcPr>
            <w:tcW w:w="1730" w:type="dxa"/>
            <w:vMerge w:val="restart"/>
            <w:tcBorders>
              <w:top w:val="single" w:sz="18" w:space="0" w:color="C0C0C0"/>
              <w:left w:val="single" w:sz="18" w:space="0" w:color="808080"/>
              <w:right w:val="single" w:sz="18" w:space="0" w:color="C0C0C0"/>
            </w:tcBorders>
            <w:vAlign w:val="center"/>
          </w:tcPr>
          <w:p w14:paraId="73BC9F4E" w14:textId="77777777" w:rsidR="00DF019A" w:rsidRPr="008E7494" w:rsidRDefault="00DF019A" w:rsidP="00066DE4">
            <w:pPr>
              <w:spacing w:after="0" w:line="240" w:lineRule="auto"/>
              <w:jc w:val="center"/>
              <w:rPr>
                <w:rFonts w:cs="Arial"/>
                <w:sz w:val="16"/>
                <w:szCs w:val="16"/>
              </w:rPr>
            </w:pPr>
            <w:r w:rsidRPr="008E7494">
              <w:rPr>
                <w:rFonts w:cs="Arial"/>
                <w:sz w:val="16"/>
                <w:szCs w:val="16"/>
              </w:rPr>
              <w:t>1</w:t>
            </w:r>
            <w:r>
              <w:rPr>
                <w:rFonts w:cs="Arial"/>
                <w:sz w:val="16"/>
                <w:szCs w:val="16"/>
              </w:rPr>
              <w:t>8</w:t>
            </w:r>
            <w:r w:rsidRPr="008E7494">
              <w:rPr>
                <w:rFonts w:cs="Arial"/>
                <w:sz w:val="16"/>
                <w:szCs w:val="16"/>
              </w:rPr>
              <w:t xml:space="preserve"> March</w:t>
            </w:r>
          </w:p>
        </w:tc>
        <w:tc>
          <w:tcPr>
            <w:tcW w:w="1418" w:type="dxa"/>
            <w:vMerge w:val="restart"/>
            <w:tcBorders>
              <w:top w:val="single" w:sz="18" w:space="0" w:color="C0C0C0"/>
              <w:left w:val="single" w:sz="18" w:space="0" w:color="C0C0C0"/>
              <w:right w:val="single" w:sz="18" w:space="0" w:color="BFBFBF" w:themeColor="background1" w:themeShade="BF"/>
            </w:tcBorders>
            <w:vAlign w:val="center"/>
          </w:tcPr>
          <w:p w14:paraId="26385CE9" w14:textId="77777777" w:rsidR="00DF019A" w:rsidRPr="008E7494" w:rsidRDefault="00DF019A" w:rsidP="00066DE4">
            <w:pPr>
              <w:spacing w:after="0" w:line="240" w:lineRule="auto"/>
              <w:jc w:val="center"/>
              <w:rPr>
                <w:rFonts w:cs="Arial"/>
                <w:color w:val="000000"/>
                <w:sz w:val="16"/>
                <w:szCs w:val="16"/>
              </w:rPr>
            </w:pPr>
          </w:p>
        </w:tc>
        <w:tc>
          <w:tcPr>
            <w:tcW w:w="1275" w:type="dxa"/>
            <w:tcBorders>
              <w:top w:val="single" w:sz="18" w:space="0" w:color="BFBFBF" w:themeColor="background1" w:themeShade="BF"/>
              <w:left w:val="single" w:sz="18" w:space="0" w:color="BFBFBF" w:themeColor="background1" w:themeShade="BF"/>
              <w:bottom w:val="nil"/>
              <w:right w:val="single" w:sz="18" w:space="0" w:color="BFBFBF" w:themeColor="background1" w:themeShade="BF"/>
            </w:tcBorders>
            <w:shd w:val="clear" w:color="auto" w:fill="A972A9"/>
            <w:vAlign w:val="center"/>
          </w:tcPr>
          <w:p w14:paraId="5B512DEF"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19</w:t>
            </w:r>
          </w:p>
        </w:tc>
        <w:tc>
          <w:tcPr>
            <w:tcW w:w="1418" w:type="dxa"/>
            <w:vMerge w:val="restart"/>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A972A9"/>
            <w:vAlign w:val="center"/>
          </w:tcPr>
          <w:p w14:paraId="545C1B1D" w14:textId="77777777" w:rsidR="00DF019A" w:rsidRPr="008E7494" w:rsidRDefault="00DF019A" w:rsidP="00066DE4">
            <w:pPr>
              <w:spacing w:after="0" w:line="240" w:lineRule="auto"/>
              <w:jc w:val="center"/>
              <w:rPr>
                <w:rFonts w:cs="Arial"/>
                <w:color w:val="000000"/>
                <w:sz w:val="16"/>
                <w:szCs w:val="16"/>
              </w:rPr>
            </w:pPr>
            <w:r w:rsidRPr="008E7494">
              <w:rPr>
                <w:rFonts w:cs="Arial"/>
                <w:color w:val="000000"/>
                <w:sz w:val="16"/>
                <w:szCs w:val="16"/>
              </w:rPr>
              <w:t>2</w:t>
            </w:r>
            <w:r>
              <w:rPr>
                <w:rFonts w:cs="Arial"/>
                <w:color w:val="000000"/>
                <w:sz w:val="16"/>
                <w:szCs w:val="16"/>
              </w:rPr>
              <w:t>0</w:t>
            </w:r>
          </w:p>
        </w:tc>
        <w:tc>
          <w:tcPr>
            <w:tcW w:w="1276" w:type="dxa"/>
            <w:tcBorders>
              <w:top w:val="single" w:sz="18" w:space="0" w:color="BFBFBF" w:themeColor="background1" w:themeShade="BF"/>
              <w:left w:val="single" w:sz="18" w:space="0" w:color="BFBFBF" w:themeColor="background1" w:themeShade="BF"/>
              <w:bottom w:val="nil"/>
              <w:right w:val="single" w:sz="18" w:space="0" w:color="BFBFBF" w:themeColor="background1" w:themeShade="BF"/>
            </w:tcBorders>
            <w:shd w:val="clear" w:color="auto" w:fill="A972A9"/>
            <w:vAlign w:val="center"/>
          </w:tcPr>
          <w:p w14:paraId="6C8919F3" w14:textId="77777777" w:rsidR="00DF019A" w:rsidRPr="008E7494" w:rsidRDefault="00DF019A" w:rsidP="00066DE4">
            <w:pPr>
              <w:spacing w:after="0" w:line="240" w:lineRule="auto"/>
              <w:jc w:val="center"/>
              <w:rPr>
                <w:rFonts w:cs="Arial"/>
                <w:color w:val="000000"/>
                <w:sz w:val="16"/>
                <w:szCs w:val="16"/>
              </w:rPr>
            </w:pPr>
            <w:r w:rsidRPr="008E7494">
              <w:rPr>
                <w:rFonts w:cs="Arial"/>
                <w:color w:val="000000"/>
                <w:sz w:val="16"/>
                <w:szCs w:val="16"/>
              </w:rPr>
              <w:t>2</w:t>
            </w:r>
            <w:r>
              <w:rPr>
                <w:rFonts w:cs="Arial"/>
                <w:color w:val="000000"/>
                <w:sz w:val="16"/>
                <w:szCs w:val="16"/>
              </w:rPr>
              <w:t>1</w:t>
            </w:r>
          </w:p>
        </w:tc>
        <w:tc>
          <w:tcPr>
            <w:tcW w:w="1559" w:type="dxa"/>
            <w:vMerge w:val="restart"/>
            <w:tcBorders>
              <w:top w:val="single" w:sz="18" w:space="0" w:color="C0C0C0"/>
              <w:left w:val="single" w:sz="18" w:space="0" w:color="BFBFBF" w:themeColor="background1" w:themeShade="BF"/>
              <w:right w:val="single" w:sz="18" w:space="0" w:color="808080"/>
            </w:tcBorders>
            <w:vAlign w:val="center"/>
          </w:tcPr>
          <w:p w14:paraId="62B56720" w14:textId="77777777" w:rsidR="00DF019A" w:rsidRPr="008E7494" w:rsidRDefault="00DF019A" w:rsidP="00066DE4">
            <w:pPr>
              <w:spacing w:after="0" w:line="240" w:lineRule="auto"/>
              <w:jc w:val="center"/>
              <w:rPr>
                <w:rFonts w:cs="Arial"/>
                <w:bCs/>
                <w:sz w:val="16"/>
                <w:szCs w:val="16"/>
              </w:rPr>
            </w:pPr>
          </w:p>
        </w:tc>
        <w:tc>
          <w:tcPr>
            <w:tcW w:w="2806" w:type="dxa"/>
            <w:vMerge w:val="restart"/>
            <w:tcBorders>
              <w:top w:val="single" w:sz="18" w:space="0" w:color="C0C0C0"/>
              <w:left w:val="single" w:sz="18" w:space="0" w:color="808080"/>
              <w:right w:val="single" w:sz="18" w:space="0" w:color="808080"/>
            </w:tcBorders>
            <w:vAlign w:val="center"/>
          </w:tcPr>
          <w:p w14:paraId="64422D89" w14:textId="77777777" w:rsidR="00DF019A" w:rsidRPr="008E7494" w:rsidRDefault="00DF019A" w:rsidP="00066DE4">
            <w:pPr>
              <w:spacing w:after="0" w:line="240" w:lineRule="auto"/>
              <w:jc w:val="center"/>
              <w:rPr>
                <w:rFonts w:cs="Arial"/>
                <w:sz w:val="16"/>
                <w:szCs w:val="16"/>
              </w:rPr>
            </w:pPr>
          </w:p>
        </w:tc>
      </w:tr>
      <w:tr w:rsidR="00DF019A" w:rsidRPr="008E7494" w14:paraId="42A5EF3E" w14:textId="77777777" w:rsidTr="00066DE4">
        <w:trPr>
          <w:trHeight w:hRule="exact" w:val="284"/>
          <w:jc w:val="center"/>
        </w:trPr>
        <w:tc>
          <w:tcPr>
            <w:tcW w:w="1730" w:type="dxa"/>
            <w:vMerge/>
            <w:tcBorders>
              <w:left w:val="single" w:sz="18" w:space="0" w:color="808080"/>
              <w:right w:val="single" w:sz="18" w:space="0" w:color="C0C0C0"/>
            </w:tcBorders>
            <w:vAlign w:val="center"/>
          </w:tcPr>
          <w:p w14:paraId="125CD2E3" w14:textId="77777777" w:rsidR="00DF019A" w:rsidRPr="008E7494" w:rsidRDefault="00DF019A" w:rsidP="00066DE4">
            <w:pPr>
              <w:spacing w:after="0" w:line="240" w:lineRule="auto"/>
              <w:jc w:val="center"/>
              <w:rPr>
                <w:rFonts w:cs="Arial"/>
                <w:sz w:val="16"/>
                <w:szCs w:val="16"/>
              </w:rPr>
            </w:pPr>
          </w:p>
        </w:tc>
        <w:tc>
          <w:tcPr>
            <w:tcW w:w="1418" w:type="dxa"/>
            <w:vMerge/>
            <w:tcBorders>
              <w:left w:val="single" w:sz="18" w:space="0" w:color="C0C0C0"/>
              <w:right w:val="single" w:sz="18" w:space="0" w:color="BFBFBF" w:themeColor="background1" w:themeShade="BF"/>
            </w:tcBorders>
            <w:vAlign w:val="center"/>
          </w:tcPr>
          <w:p w14:paraId="0E13149A" w14:textId="77777777" w:rsidR="00DF019A" w:rsidRPr="008E7494" w:rsidRDefault="00DF019A" w:rsidP="00066DE4">
            <w:pPr>
              <w:spacing w:after="0" w:line="240" w:lineRule="auto"/>
              <w:jc w:val="center"/>
              <w:rPr>
                <w:rFonts w:cs="Arial"/>
                <w:color w:val="000000"/>
                <w:sz w:val="16"/>
                <w:szCs w:val="16"/>
              </w:rPr>
            </w:pPr>
          </w:p>
        </w:tc>
        <w:tc>
          <w:tcPr>
            <w:tcW w:w="1275" w:type="dxa"/>
            <w:tcBorders>
              <w:top w:val="nil"/>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DDB136"/>
            <w:vAlign w:val="center"/>
          </w:tcPr>
          <w:p w14:paraId="0D0A0C06"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19</w:t>
            </w:r>
          </w:p>
        </w:tc>
        <w:tc>
          <w:tcPr>
            <w:tcW w:w="1418" w:type="dxa"/>
            <w:vMerge/>
            <w:tcBorders>
              <w:left w:val="single" w:sz="18" w:space="0" w:color="BFBFBF" w:themeColor="background1" w:themeShade="BF"/>
              <w:right w:val="single" w:sz="18" w:space="0" w:color="BFBFBF" w:themeColor="background1" w:themeShade="BF"/>
            </w:tcBorders>
            <w:vAlign w:val="center"/>
          </w:tcPr>
          <w:p w14:paraId="557BFEDF" w14:textId="77777777" w:rsidR="00DF019A" w:rsidRPr="008E7494" w:rsidRDefault="00DF019A" w:rsidP="00066DE4">
            <w:pPr>
              <w:spacing w:after="0" w:line="240" w:lineRule="auto"/>
              <w:jc w:val="center"/>
              <w:rPr>
                <w:rFonts w:cs="Arial"/>
                <w:color w:val="000000"/>
                <w:sz w:val="16"/>
                <w:szCs w:val="16"/>
              </w:rPr>
            </w:pPr>
          </w:p>
        </w:tc>
        <w:tc>
          <w:tcPr>
            <w:tcW w:w="1276" w:type="dxa"/>
            <w:tcBorders>
              <w:top w:val="nil"/>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768968"/>
            <w:vAlign w:val="center"/>
          </w:tcPr>
          <w:p w14:paraId="10ED8FCD"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21</w:t>
            </w:r>
          </w:p>
        </w:tc>
        <w:tc>
          <w:tcPr>
            <w:tcW w:w="1559" w:type="dxa"/>
            <w:vMerge/>
            <w:tcBorders>
              <w:left w:val="single" w:sz="18" w:space="0" w:color="BFBFBF" w:themeColor="background1" w:themeShade="BF"/>
              <w:right w:val="single" w:sz="18" w:space="0" w:color="808080"/>
            </w:tcBorders>
            <w:vAlign w:val="center"/>
          </w:tcPr>
          <w:p w14:paraId="04B25656" w14:textId="77777777" w:rsidR="00DF019A" w:rsidRPr="008E7494" w:rsidRDefault="00DF019A" w:rsidP="00066DE4">
            <w:pPr>
              <w:spacing w:after="0" w:line="240" w:lineRule="auto"/>
              <w:jc w:val="center"/>
              <w:rPr>
                <w:rFonts w:cs="Arial"/>
                <w:bCs/>
                <w:sz w:val="16"/>
                <w:szCs w:val="16"/>
              </w:rPr>
            </w:pPr>
          </w:p>
        </w:tc>
        <w:tc>
          <w:tcPr>
            <w:tcW w:w="2806" w:type="dxa"/>
            <w:vMerge/>
            <w:tcBorders>
              <w:left w:val="single" w:sz="18" w:space="0" w:color="808080"/>
              <w:right w:val="single" w:sz="18" w:space="0" w:color="808080"/>
            </w:tcBorders>
            <w:vAlign w:val="center"/>
          </w:tcPr>
          <w:p w14:paraId="48A6D0D2" w14:textId="77777777" w:rsidR="00DF019A" w:rsidRPr="008E7494" w:rsidRDefault="00DF019A" w:rsidP="00066DE4">
            <w:pPr>
              <w:spacing w:after="0" w:line="240" w:lineRule="auto"/>
              <w:jc w:val="center"/>
              <w:rPr>
                <w:rFonts w:cs="Arial"/>
                <w:sz w:val="16"/>
                <w:szCs w:val="16"/>
              </w:rPr>
            </w:pPr>
          </w:p>
        </w:tc>
      </w:tr>
      <w:tr w:rsidR="00DF019A" w:rsidRPr="008E7494" w14:paraId="1323E9CD" w14:textId="77777777" w:rsidTr="00066DE4">
        <w:trPr>
          <w:trHeight w:val="524"/>
          <w:jc w:val="center"/>
        </w:trPr>
        <w:tc>
          <w:tcPr>
            <w:tcW w:w="1730" w:type="dxa"/>
            <w:tcBorders>
              <w:top w:val="single" w:sz="18" w:space="0" w:color="BFBFBF"/>
              <w:left w:val="single" w:sz="18" w:space="0" w:color="808080"/>
              <w:right w:val="single" w:sz="18" w:space="0" w:color="C0C0C0"/>
            </w:tcBorders>
            <w:vAlign w:val="center"/>
          </w:tcPr>
          <w:p w14:paraId="72D7E706" w14:textId="77777777" w:rsidR="00DF019A" w:rsidRPr="008E7494" w:rsidRDefault="00DF019A" w:rsidP="00066DE4">
            <w:pPr>
              <w:spacing w:after="0" w:line="240" w:lineRule="auto"/>
              <w:jc w:val="center"/>
              <w:rPr>
                <w:rFonts w:cs="Arial"/>
                <w:sz w:val="16"/>
                <w:szCs w:val="16"/>
              </w:rPr>
            </w:pPr>
            <w:r w:rsidRPr="008E7494">
              <w:rPr>
                <w:rFonts w:cs="Arial"/>
                <w:sz w:val="16"/>
                <w:szCs w:val="16"/>
              </w:rPr>
              <w:t>2</w:t>
            </w:r>
            <w:r>
              <w:rPr>
                <w:rFonts w:cs="Arial"/>
                <w:sz w:val="16"/>
                <w:szCs w:val="16"/>
              </w:rPr>
              <w:t>5</w:t>
            </w:r>
            <w:r w:rsidRPr="008E7494">
              <w:rPr>
                <w:rFonts w:cs="Arial"/>
                <w:sz w:val="16"/>
                <w:szCs w:val="16"/>
              </w:rPr>
              <w:t xml:space="preserve"> March</w:t>
            </w:r>
          </w:p>
        </w:tc>
        <w:tc>
          <w:tcPr>
            <w:tcW w:w="1418" w:type="dxa"/>
            <w:tcBorders>
              <w:top w:val="single" w:sz="18" w:space="0" w:color="BFBFBF"/>
              <w:left w:val="single" w:sz="18" w:space="0" w:color="C0C0C0"/>
              <w:right w:val="single" w:sz="18" w:space="0" w:color="BFBFBF" w:themeColor="background1" w:themeShade="BF"/>
            </w:tcBorders>
            <w:vAlign w:val="center"/>
          </w:tcPr>
          <w:p w14:paraId="5FC6D8A6" w14:textId="77777777" w:rsidR="00DF019A" w:rsidRPr="008E7494" w:rsidRDefault="00DF019A" w:rsidP="00066DE4">
            <w:pPr>
              <w:spacing w:after="0" w:line="240" w:lineRule="auto"/>
              <w:jc w:val="center"/>
              <w:rPr>
                <w:rFonts w:cs="Arial"/>
                <w:color w:val="000000"/>
                <w:sz w:val="16"/>
                <w:szCs w:val="16"/>
              </w:rPr>
            </w:pPr>
          </w:p>
        </w:tc>
        <w:tc>
          <w:tcPr>
            <w:tcW w:w="1275" w:type="dxa"/>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A64D2C"/>
            <w:vAlign w:val="center"/>
          </w:tcPr>
          <w:p w14:paraId="6A7241BA" w14:textId="77777777" w:rsidR="00DF019A" w:rsidRPr="008E7494" w:rsidRDefault="00DF019A" w:rsidP="00066DE4">
            <w:pPr>
              <w:spacing w:after="0" w:line="240" w:lineRule="auto"/>
              <w:jc w:val="center"/>
              <w:rPr>
                <w:rFonts w:cs="Arial"/>
                <w:color w:val="000000"/>
                <w:sz w:val="16"/>
                <w:szCs w:val="16"/>
              </w:rPr>
            </w:pPr>
            <w:r w:rsidRPr="008E7494">
              <w:rPr>
                <w:rFonts w:cs="Arial"/>
                <w:color w:val="000000"/>
                <w:sz w:val="16"/>
                <w:szCs w:val="16"/>
              </w:rPr>
              <w:t>2</w:t>
            </w:r>
            <w:r>
              <w:rPr>
                <w:rFonts w:cs="Arial"/>
                <w:color w:val="000000"/>
                <w:sz w:val="16"/>
                <w:szCs w:val="16"/>
              </w:rPr>
              <w:t>6</w:t>
            </w:r>
          </w:p>
        </w:tc>
        <w:tc>
          <w:tcPr>
            <w:tcW w:w="1418" w:type="dxa"/>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A64D2C"/>
            <w:vAlign w:val="center"/>
          </w:tcPr>
          <w:p w14:paraId="3C506C37"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27</w:t>
            </w:r>
          </w:p>
        </w:tc>
        <w:tc>
          <w:tcPr>
            <w:tcW w:w="1276" w:type="dxa"/>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A64D2C"/>
            <w:vAlign w:val="center"/>
          </w:tcPr>
          <w:p w14:paraId="7454462E"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28</w:t>
            </w:r>
          </w:p>
        </w:tc>
        <w:tc>
          <w:tcPr>
            <w:tcW w:w="1559" w:type="dxa"/>
            <w:tcBorders>
              <w:top w:val="single" w:sz="18" w:space="0" w:color="BFBFBF"/>
              <w:left w:val="single" w:sz="18" w:space="0" w:color="BFBFBF" w:themeColor="background1" w:themeShade="BF"/>
              <w:right w:val="single" w:sz="18" w:space="0" w:color="808080"/>
            </w:tcBorders>
            <w:vAlign w:val="center"/>
          </w:tcPr>
          <w:p w14:paraId="6015487F" w14:textId="77777777" w:rsidR="00DF019A" w:rsidRPr="008E7494" w:rsidRDefault="00DF019A" w:rsidP="00066DE4">
            <w:pPr>
              <w:spacing w:after="0" w:line="240" w:lineRule="auto"/>
              <w:jc w:val="center"/>
              <w:rPr>
                <w:rFonts w:cs="Arial"/>
                <w:bCs/>
                <w:sz w:val="16"/>
                <w:szCs w:val="16"/>
              </w:rPr>
            </w:pPr>
          </w:p>
        </w:tc>
        <w:tc>
          <w:tcPr>
            <w:tcW w:w="2806" w:type="dxa"/>
            <w:tcBorders>
              <w:top w:val="single" w:sz="18" w:space="0" w:color="BFBFBF"/>
              <w:left w:val="single" w:sz="18" w:space="0" w:color="808080"/>
              <w:right w:val="single" w:sz="18" w:space="0" w:color="808080"/>
            </w:tcBorders>
            <w:vAlign w:val="center"/>
          </w:tcPr>
          <w:p w14:paraId="2B8B1EA8" w14:textId="77777777" w:rsidR="00DF019A" w:rsidRPr="008E7494" w:rsidRDefault="00DF019A" w:rsidP="00066DE4">
            <w:pPr>
              <w:spacing w:after="0" w:line="240" w:lineRule="auto"/>
              <w:jc w:val="center"/>
              <w:rPr>
                <w:rFonts w:cs="Arial"/>
                <w:sz w:val="16"/>
                <w:szCs w:val="16"/>
              </w:rPr>
            </w:pPr>
          </w:p>
        </w:tc>
      </w:tr>
      <w:tr w:rsidR="00DF019A" w:rsidRPr="008E7494" w14:paraId="41C3771B" w14:textId="77777777" w:rsidTr="00066DE4">
        <w:trPr>
          <w:trHeight w:hRule="exact" w:val="284"/>
          <w:jc w:val="center"/>
        </w:trPr>
        <w:tc>
          <w:tcPr>
            <w:tcW w:w="1730" w:type="dxa"/>
            <w:vMerge w:val="restart"/>
            <w:tcBorders>
              <w:top w:val="single" w:sz="18" w:space="0" w:color="808080"/>
              <w:left w:val="single" w:sz="18" w:space="0" w:color="808080"/>
              <w:right w:val="single" w:sz="18" w:space="0" w:color="C0C0C0"/>
            </w:tcBorders>
            <w:vAlign w:val="center"/>
          </w:tcPr>
          <w:p w14:paraId="63CD1DFC" w14:textId="77777777" w:rsidR="00DF019A" w:rsidRPr="008E7494" w:rsidRDefault="00DF019A" w:rsidP="00066DE4">
            <w:pPr>
              <w:spacing w:after="0" w:line="240" w:lineRule="auto"/>
              <w:jc w:val="center"/>
              <w:rPr>
                <w:rFonts w:cs="Arial"/>
                <w:sz w:val="16"/>
                <w:szCs w:val="16"/>
              </w:rPr>
            </w:pPr>
            <w:r>
              <w:rPr>
                <w:rFonts w:cs="Arial"/>
                <w:sz w:val="16"/>
                <w:szCs w:val="16"/>
              </w:rPr>
              <w:t>1</w:t>
            </w:r>
            <w:r w:rsidRPr="008E7494">
              <w:rPr>
                <w:rFonts w:cs="Arial"/>
                <w:sz w:val="16"/>
                <w:szCs w:val="16"/>
              </w:rPr>
              <w:t xml:space="preserve"> April</w:t>
            </w:r>
          </w:p>
        </w:tc>
        <w:tc>
          <w:tcPr>
            <w:tcW w:w="1418" w:type="dxa"/>
            <w:vMerge w:val="restart"/>
            <w:tcBorders>
              <w:top w:val="single" w:sz="18" w:space="0" w:color="808080"/>
              <w:left w:val="single" w:sz="18" w:space="0" w:color="C0C0C0"/>
              <w:right w:val="single" w:sz="18" w:space="0" w:color="BFBFBF" w:themeColor="background1" w:themeShade="BF"/>
            </w:tcBorders>
            <w:shd w:val="clear" w:color="auto" w:fill="auto"/>
            <w:vAlign w:val="center"/>
          </w:tcPr>
          <w:p w14:paraId="4F043572" w14:textId="77777777" w:rsidR="00DF019A" w:rsidRPr="008E7494" w:rsidRDefault="00DF019A" w:rsidP="00066DE4">
            <w:pPr>
              <w:spacing w:after="0" w:line="240" w:lineRule="auto"/>
              <w:jc w:val="center"/>
              <w:rPr>
                <w:rFonts w:cs="Arial"/>
                <w:sz w:val="16"/>
                <w:szCs w:val="16"/>
              </w:rPr>
            </w:pPr>
          </w:p>
        </w:tc>
        <w:tc>
          <w:tcPr>
            <w:tcW w:w="1275" w:type="dxa"/>
            <w:vMerge w:val="restart"/>
            <w:tcBorders>
              <w:top w:val="single" w:sz="18" w:space="0" w:color="808080" w:themeColor="background1" w:themeShade="80"/>
              <w:left w:val="single" w:sz="18" w:space="0" w:color="BFBFBF" w:themeColor="background1" w:themeShade="BF"/>
              <w:right w:val="single" w:sz="18" w:space="0" w:color="BFBFBF" w:themeColor="background1" w:themeShade="BF"/>
            </w:tcBorders>
            <w:shd w:val="clear" w:color="auto" w:fill="A972A9"/>
            <w:vAlign w:val="center"/>
          </w:tcPr>
          <w:p w14:paraId="6F833BA4"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2</w:t>
            </w:r>
          </w:p>
        </w:tc>
        <w:tc>
          <w:tcPr>
            <w:tcW w:w="1418" w:type="dxa"/>
            <w:vMerge w:val="restart"/>
            <w:tcBorders>
              <w:top w:val="single" w:sz="18" w:space="0" w:color="808080" w:themeColor="background1" w:themeShade="80"/>
              <w:left w:val="single" w:sz="18" w:space="0" w:color="BFBFBF" w:themeColor="background1" w:themeShade="BF"/>
              <w:right w:val="single" w:sz="18" w:space="0" w:color="BFBFBF" w:themeColor="background1" w:themeShade="BF"/>
            </w:tcBorders>
            <w:shd w:val="clear" w:color="auto" w:fill="A972A9"/>
            <w:vAlign w:val="center"/>
          </w:tcPr>
          <w:p w14:paraId="1893EBA1" w14:textId="77777777" w:rsidR="00DF019A" w:rsidRPr="008E7494" w:rsidRDefault="00DF019A" w:rsidP="00066DE4">
            <w:pPr>
              <w:spacing w:after="0" w:line="240" w:lineRule="auto"/>
              <w:jc w:val="center"/>
              <w:rPr>
                <w:rFonts w:cs="Arial"/>
                <w:sz w:val="16"/>
                <w:szCs w:val="16"/>
              </w:rPr>
            </w:pPr>
            <w:r>
              <w:rPr>
                <w:rFonts w:cs="Arial"/>
                <w:sz w:val="16"/>
                <w:szCs w:val="16"/>
              </w:rPr>
              <w:t>3</w:t>
            </w:r>
          </w:p>
        </w:tc>
        <w:tc>
          <w:tcPr>
            <w:tcW w:w="1276" w:type="dxa"/>
            <w:tcBorders>
              <w:top w:val="single" w:sz="18" w:space="0" w:color="808080" w:themeColor="background1" w:themeShade="80"/>
              <w:left w:val="single" w:sz="18" w:space="0" w:color="BFBFBF" w:themeColor="background1" w:themeShade="BF"/>
              <w:bottom w:val="nil"/>
              <w:right w:val="single" w:sz="18" w:space="0" w:color="BFBFBF" w:themeColor="background1" w:themeShade="BF"/>
            </w:tcBorders>
            <w:shd w:val="clear" w:color="auto" w:fill="A972A9"/>
            <w:vAlign w:val="center"/>
          </w:tcPr>
          <w:p w14:paraId="7DC34C70" w14:textId="77777777" w:rsidR="00DF019A" w:rsidRPr="008E7494" w:rsidRDefault="00DF019A" w:rsidP="00066DE4">
            <w:pPr>
              <w:spacing w:after="0" w:line="240" w:lineRule="auto"/>
              <w:jc w:val="center"/>
              <w:rPr>
                <w:rFonts w:cs="Arial"/>
                <w:sz w:val="16"/>
                <w:szCs w:val="16"/>
              </w:rPr>
            </w:pPr>
            <w:r>
              <w:rPr>
                <w:rFonts w:cs="Arial"/>
                <w:sz w:val="16"/>
                <w:szCs w:val="16"/>
              </w:rPr>
              <w:t>4</w:t>
            </w:r>
          </w:p>
        </w:tc>
        <w:tc>
          <w:tcPr>
            <w:tcW w:w="1559" w:type="dxa"/>
            <w:vMerge w:val="restart"/>
            <w:tcBorders>
              <w:top w:val="single" w:sz="18" w:space="0" w:color="808080"/>
              <w:left w:val="single" w:sz="18" w:space="0" w:color="BFBFBF" w:themeColor="background1" w:themeShade="BF"/>
              <w:right w:val="single" w:sz="18" w:space="0" w:color="808080"/>
            </w:tcBorders>
            <w:shd w:val="clear" w:color="auto" w:fill="auto"/>
            <w:vAlign w:val="center"/>
          </w:tcPr>
          <w:p w14:paraId="4858536E" w14:textId="77777777" w:rsidR="00DF019A" w:rsidRPr="008E7494" w:rsidRDefault="00DF019A" w:rsidP="00066DE4">
            <w:pPr>
              <w:spacing w:after="0" w:line="240" w:lineRule="auto"/>
              <w:jc w:val="center"/>
              <w:rPr>
                <w:rFonts w:cs="Arial"/>
                <w:bCs/>
                <w:sz w:val="16"/>
                <w:szCs w:val="16"/>
              </w:rPr>
            </w:pPr>
          </w:p>
        </w:tc>
        <w:tc>
          <w:tcPr>
            <w:tcW w:w="2806" w:type="dxa"/>
            <w:vMerge w:val="restart"/>
            <w:tcBorders>
              <w:top w:val="single" w:sz="18" w:space="0" w:color="808080"/>
              <w:left w:val="single" w:sz="18" w:space="0" w:color="808080"/>
              <w:right w:val="single" w:sz="18" w:space="0" w:color="808080"/>
            </w:tcBorders>
            <w:shd w:val="clear" w:color="auto" w:fill="auto"/>
            <w:vAlign w:val="center"/>
          </w:tcPr>
          <w:p w14:paraId="7F858EC7" w14:textId="77777777" w:rsidR="00DF019A" w:rsidRPr="008E7494" w:rsidRDefault="00DF019A" w:rsidP="00066DE4">
            <w:pPr>
              <w:spacing w:after="0" w:line="240" w:lineRule="auto"/>
              <w:jc w:val="center"/>
              <w:rPr>
                <w:rFonts w:cs="Arial"/>
                <w:sz w:val="16"/>
                <w:szCs w:val="16"/>
              </w:rPr>
            </w:pPr>
          </w:p>
        </w:tc>
      </w:tr>
      <w:tr w:rsidR="00DF019A" w:rsidRPr="008E7494" w14:paraId="77064EFF" w14:textId="77777777" w:rsidTr="00066DE4">
        <w:trPr>
          <w:trHeight w:hRule="exact" w:val="284"/>
          <w:jc w:val="center"/>
        </w:trPr>
        <w:tc>
          <w:tcPr>
            <w:tcW w:w="1730" w:type="dxa"/>
            <w:vMerge/>
            <w:tcBorders>
              <w:left w:val="single" w:sz="18" w:space="0" w:color="808080"/>
              <w:bottom w:val="single" w:sz="18" w:space="0" w:color="C0C0C0"/>
              <w:right w:val="single" w:sz="18" w:space="0" w:color="C0C0C0"/>
            </w:tcBorders>
            <w:vAlign w:val="center"/>
          </w:tcPr>
          <w:p w14:paraId="02BD28BE" w14:textId="77777777" w:rsidR="00DF019A" w:rsidRDefault="00DF019A" w:rsidP="00066DE4">
            <w:pPr>
              <w:spacing w:after="0" w:line="240" w:lineRule="auto"/>
              <w:jc w:val="center"/>
              <w:rPr>
                <w:rFonts w:cs="Arial"/>
                <w:sz w:val="16"/>
                <w:szCs w:val="16"/>
              </w:rPr>
            </w:pPr>
          </w:p>
        </w:tc>
        <w:tc>
          <w:tcPr>
            <w:tcW w:w="1418" w:type="dxa"/>
            <w:vMerge/>
            <w:tcBorders>
              <w:left w:val="single" w:sz="18" w:space="0" w:color="C0C0C0"/>
              <w:bottom w:val="single" w:sz="18" w:space="0" w:color="C0C0C0"/>
              <w:right w:val="single" w:sz="18" w:space="0" w:color="BFBFBF" w:themeColor="background1" w:themeShade="BF"/>
            </w:tcBorders>
            <w:shd w:val="clear" w:color="auto" w:fill="auto"/>
            <w:vAlign w:val="center"/>
          </w:tcPr>
          <w:p w14:paraId="2DD0C403" w14:textId="77777777" w:rsidR="00DF019A" w:rsidRPr="008E7494" w:rsidRDefault="00DF019A" w:rsidP="00066DE4">
            <w:pPr>
              <w:spacing w:after="0" w:line="240" w:lineRule="auto"/>
              <w:jc w:val="center"/>
              <w:rPr>
                <w:rFonts w:cs="Arial"/>
                <w:sz w:val="16"/>
                <w:szCs w:val="16"/>
              </w:rPr>
            </w:pPr>
          </w:p>
        </w:tc>
        <w:tc>
          <w:tcPr>
            <w:tcW w:w="1275" w:type="dxa"/>
            <w:vMerge/>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972A9"/>
            <w:vAlign w:val="center"/>
          </w:tcPr>
          <w:p w14:paraId="3CFC6967" w14:textId="77777777" w:rsidR="00DF019A" w:rsidRDefault="00DF019A" w:rsidP="00066DE4">
            <w:pPr>
              <w:spacing w:after="0" w:line="240" w:lineRule="auto"/>
              <w:jc w:val="center"/>
              <w:rPr>
                <w:rFonts w:cs="Arial"/>
                <w:color w:val="000000"/>
                <w:sz w:val="16"/>
                <w:szCs w:val="16"/>
              </w:rPr>
            </w:pPr>
          </w:p>
        </w:tc>
        <w:tc>
          <w:tcPr>
            <w:tcW w:w="1418" w:type="dxa"/>
            <w:vMerge/>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972A9"/>
            <w:vAlign w:val="center"/>
          </w:tcPr>
          <w:p w14:paraId="3A647BBF" w14:textId="77777777" w:rsidR="00DF019A" w:rsidRDefault="00DF019A" w:rsidP="00066DE4">
            <w:pPr>
              <w:spacing w:after="0" w:line="240" w:lineRule="auto"/>
              <w:jc w:val="center"/>
              <w:rPr>
                <w:rFonts w:cs="Arial"/>
                <w:sz w:val="16"/>
                <w:szCs w:val="16"/>
              </w:rPr>
            </w:pPr>
          </w:p>
        </w:tc>
        <w:tc>
          <w:tcPr>
            <w:tcW w:w="1276" w:type="dxa"/>
            <w:tcBorders>
              <w:top w:val="nil"/>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768968"/>
            <w:vAlign w:val="center"/>
          </w:tcPr>
          <w:p w14:paraId="3BEC145F" w14:textId="77777777" w:rsidR="00DF019A" w:rsidRDefault="00DF019A" w:rsidP="00066DE4">
            <w:pPr>
              <w:spacing w:after="0" w:line="240" w:lineRule="auto"/>
              <w:jc w:val="center"/>
              <w:rPr>
                <w:rFonts w:cs="Arial"/>
                <w:sz w:val="16"/>
                <w:szCs w:val="16"/>
              </w:rPr>
            </w:pPr>
            <w:r>
              <w:rPr>
                <w:rFonts w:cs="Arial"/>
                <w:sz w:val="16"/>
                <w:szCs w:val="16"/>
              </w:rPr>
              <w:t>4</w:t>
            </w:r>
          </w:p>
        </w:tc>
        <w:tc>
          <w:tcPr>
            <w:tcW w:w="1559" w:type="dxa"/>
            <w:vMerge/>
            <w:tcBorders>
              <w:left w:val="single" w:sz="18" w:space="0" w:color="BFBFBF" w:themeColor="background1" w:themeShade="BF"/>
              <w:bottom w:val="single" w:sz="18" w:space="0" w:color="C0C0C0"/>
              <w:right w:val="single" w:sz="18" w:space="0" w:color="808080"/>
            </w:tcBorders>
            <w:shd w:val="clear" w:color="auto" w:fill="auto"/>
            <w:vAlign w:val="center"/>
          </w:tcPr>
          <w:p w14:paraId="6AD64D03" w14:textId="77777777" w:rsidR="00DF019A" w:rsidRPr="008E7494" w:rsidRDefault="00DF019A" w:rsidP="00066DE4">
            <w:pPr>
              <w:spacing w:after="0" w:line="240" w:lineRule="auto"/>
              <w:jc w:val="center"/>
              <w:rPr>
                <w:rFonts w:cs="Arial"/>
                <w:bCs/>
                <w:sz w:val="16"/>
                <w:szCs w:val="16"/>
              </w:rPr>
            </w:pPr>
          </w:p>
        </w:tc>
        <w:tc>
          <w:tcPr>
            <w:tcW w:w="2806" w:type="dxa"/>
            <w:vMerge/>
            <w:tcBorders>
              <w:left w:val="single" w:sz="18" w:space="0" w:color="808080"/>
              <w:bottom w:val="single" w:sz="18" w:space="0" w:color="C0C0C0"/>
              <w:right w:val="single" w:sz="18" w:space="0" w:color="808080"/>
            </w:tcBorders>
            <w:shd w:val="clear" w:color="auto" w:fill="auto"/>
            <w:vAlign w:val="center"/>
          </w:tcPr>
          <w:p w14:paraId="3A555763" w14:textId="77777777" w:rsidR="00DF019A" w:rsidRPr="008E7494" w:rsidRDefault="00DF019A" w:rsidP="00066DE4">
            <w:pPr>
              <w:spacing w:after="0" w:line="240" w:lineRule="auto"/>
              <w:jc w:val="center"/>
              <w:rPr>
                <w:rFonts w:cs="Arial"/>
                <w:sz w:val="16"/>
                <w:szCs w:val="16"/>
              </w:rPr>
            </w:pPr>
          </w:p>
        </w:tc>
      </w:tr>
      <w:tr w:rsidR="00DF019A" w:rsidRPr="008E7494" w14:paraId="563764F7" w14:textId="77777777" w:rsidTr="00066DE4">
        <w:trPr>
          <w:trHeight w:val="397"/>
          <w:jc w:val="center"/>
        </w:trPr>
        <w:tc>
          <w:tcPr>
            <w:tcW w:w="1730" w:type="dxa"/>
            <w:tcBorders>
              <w:top w:val="single" w:sz="18" w:space="0" w:color="C0C0C0"/>
              <w:left w:val="single" w:sz="18" w:space="0" w:color="808080"/>
              <w:right w:val="single" w:sz="18" w:space="0" w:color="C0C0C0"/>
            </w:tcBorders>
            <w:vAlign w:val="center"/>
          </w:tcPr>
          <w:p w14:paraId="48118B44" w14:textId="77777777" w:rsidR="00DF019A" w:rsidRPr="008E7494" w:rsidRDefault="00DF019A" w:rsidP="00066DE4">
            <w:pPr>
              <w:spacing w:after="0" w:line="240" w:lineRule="auto"/>
              <w:jc w:val="center"/>
              <w:rPr>
                <w:rFonts w:cs="Arial"/>
                <w:sz w:val="16"/>
                <w:szCs w:val="16"/>
              </w:rPr>
            </w:pPr>
            <w:r>
              <w:rPr>
                <w:rFonts w:cs="Arial"/>
                <w:sz w:val="16"/>
                <w:szCs w:val="16"/>
              </w:rPr>
              <w:t>8</w:t>
            </w:r>
            <w:r w:rsidRPr="008E7494">
              <w:rPr>
                <w:rFonts w:cs="Arial"/>
                <w:sz w:val="16"/>
                <w:szCs w:val="16"/>
              </w:rPr>
              <w:t xml:space="preserve"> April</w:t>
            </w:r>
          </w:p>
        </w:tc>
        <w:tc>
          <w:tcPr>
            <w:tcW w:w="1418" w:type="dxa"/>
            <w:tcBorders>
              <w:top w:val="single" w:sz="18" w:space="0" w:color="C0C0C0"/>
              <w:left w:val="single" w:sz="18" w:space="0" w:color="C0C0C0"/>
              <w:bottom w:val="single" w:sz="18" w:space="0" w:color="C0C0C0"/>
              <w:right w:val="single" w:sz="18" w:space="0" w:color="BFBFBF" w:themeColor="background1" w:themeShade="BF"/>
            </w:tcBorders>
            <w:shd w:val="clear" w:color="auto" w:fill="D9D9D9"/>
            <w:vAlign w:val="center"/>
          </w:tcPr>
          <w:p w14:paraId="641888A4" w14:textId="77777777" w:rsidR="00DF019A" w:rsidRPr="008E7494" w:rsidRDefault="00DF019A" w:rsidP="00066DE4">
            <w:pPr>
              <w:spacing w:after="0" w:line="240" w:lineRule="auto"/>
              <w:jc w:val="center"/>
              <w:rPr>
                <w:rFonts w:cs="Arial"/>
                <w:color w:val="000000"/>
                <w:sz w:val="16"/>
                <w:szCs w:val="16"/>
              </w:rPr>
            </w:pPr>
          </w:p>
        </w:tc>
        <w:tc>
          <w:tcPr>
            <w:tcW w:w="127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D9D9D9"/>
            <w:vAlign w:val="center"/>
          </w:tcPr>
          <w:p w14:paraId="1C3EECB9" w14:textId="77777777" w:rsidR="00DF019A" w:rsidRPr="008E7494" w:rsidRDefault="00DF019A" w:rsidP="00066DE4">
            <w:pPr>
              <w:spacing w:after="0" w:line="240" w:lineRule="auto"/>
              <w:jc w:val="center"/>
              <w:rPr>
                <w:rFonts w:cs="Arial"/>
                <w:color w:val="000000"/>
                <w:sz w:val="16"/>
                <w:szCs w:val="16"/>
              </w:rPr>
            </w:pPr>
          </w:p>
        </w:tc>
        <w:tc>
          <w:tcPr>
            <w:tcW w:w="1418"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467082"/>
            <w:vAlign w:val="center"/>
          </w:tcPr>
          <w:p w14:paraId="350C3353" w14:textId="77777777" w:rsidR="00DF019A" w:rsidRPr="008E7494" w:rsidRDefault="00DF019A" w:rsidP="00066DE4">
            <w:pPr>
              <w:spacing w:after="0" w:line="240" w:lineRule="auto"/>
              <w:jc w:val="center"/>
              <w:rPr>
                <w:rFonts w:cs="Arial"/>
                <w:sz w:val="16"/>
                <w:szCs w:val="16"/>
              </w:rPr>
            </w:pPr>
            <w:r>
              <w:rPr>
                <w:rFonts w:cs="Arial"/>
                <w:sz w:val="16"/>
                <w:szCs w:val="16"/>
              </w:rPr>
              <w:t>10</w:t>
            </w:r>
          </w:p>
        </w:tc>
        <w:tc>
          <w:tcPr>
            <w:tcW w:w="1276"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D9D9D9"/>
            <w:vAlign w:val="center"/>
          </w:tcPr>
          <w:p w14:paraId="3019C0E2" w14:textId="77777777" w:rsidR="00DF019A" w:rsidRPr="008E7494" w:rsidRDefault="00DF019A" w:rsidP="00066DE4">
            <w:pPr>
              <w:spacing w:after="0" w:line="240" w:lineRule="auto"/>
              <w:jc w:val="center"/>
              <w:rPr>
                <w:rFonts w:cs="Arial"/>
                <w:sz w:val="16"/>
                <w:szCs w:val="16"/>
              </w:rPr>
            </w:pPr>
          </w:p>
        </w:tc>
        <w:tc>
          <w:tcPr>
            <w:tcW w:w="1559" w:type="dxa"/>
            <w:tcBorders>
              <w:top w:val="single" w:sz="18" w:space="0" w:color="C0C0C0"/>
              <w:left w:val="single" w:sz="18" w:space="0" w:color="BFBFBF" w:themeColor="background1" w:themeShade="BF"/>
              <w:right w:val="single" w:sz="18" w:space="0" w:color="808080"/>
            </w:tcBorders>
            <w:shd w:val="clear" w:color="auto" w:fill="D9D9D9"/>
            <w:vAlign w:val="center"/>
          </w:tcPr>
          <w:p w14:paraId="67096DC0" w14:textId="77777777" w:rsidR="00DF019A" w:rsidRPr="008E7494" w:rsidRDefault="00DF019A" w:rsidP="00066DE4">
            <w:pPr>
              <w:spacing w:after="0" w:line="240" w:lineRule="auto"/>
              <w:jc w:val="center"/>
              <w:rPr>
                <w:rFonts w:cs="Arial"/>
                <w:bCs/>
                <w:sz w:val="16"/>
                <w:szCs w:val="16"/>
              </w:rPr>
            </w:pPr>
          </w:p>
        </w:tc>
        <w:tc>
          <w:tcPr>
            <w:tcW w:w="2806" w:type="dxa"/>
            <w:tcBorders>
              <w:top w:val="single" w:sz="18" w:space="0" w:color="C0C0C0"/>
              <w:left w:val="single" w:sz="18" w:space="0" w:color="808080"/>
              <w:right w:val="single" w:sz="18" w:space="0" w:color="808080"/>
            </w:tcBorders>
            <w:shd w:val="clear" w:color="auto" w:fill="D9D9D9"/>
            <w:vAlign w:val="center"/>
          </w:tcPr>
          <w:p w14:paraId="6FC43BCF" w14:textId="77777777" w:rsidR="00DF019A" w:rsidRPr="008E7494" w:rsidRDefault="00DF019A" w:rsidP="00066DE4">
            <w:pPr>
              <w:spacing w:after="0" w:line="240" w:lineRule="auto"/>
              <w:jc w:val="center"/>
              <w:rPr>
                <w:rFonts w:cs="Arial"/>
                <w:sz w:val="16"/>
                <w:szCs w:val="16"/>
              </w:rPr>
            </w:pPr>
          </w:p>
        </w:tc>
      </w:tr>
      <w:tr w:rsidR="00DF019A" w:rsidRPr="008E7494" w14:paraId="123FA3DA" w14:textId="77777777" w:rsidTr="00066DE4">
        <w:trPr>
          <w:trHeight w:val="397"/>
          <w:jc w:val="center"/>
        </w:trPr>
        <w:tc>
          <w:tcPr>
            <w:tcW w:w="1730" w:type="dxa"/>
            <w:tcBorders>
              <w:top w:val="single" w:sz="18" w:space="0" w:color="C0C0C0"/>
              <w:left w:val="single" w:sz="18" w:space="0" w:color="808080"/>
              <w:right w:val="single" w:sz="18" w:space="0" w:color="C0C0C0"/>
            </w:tcBorders>
            <w:vAlign w:val="center"/>
          </w:tcPr>
          <w:p w14:paraId="26293FCF" w14:textId="77777777" w:rsidR="00DF019A" w:rsidRPr="008E7494" w:rsidRDefault="00DF019A" w:rsidP="00066DE4">
            <w:pPr>
              <w:spacing w:after="0" w:line="240" w:lineRule="auto"/>
              <w:jc w:val="center"/>
              <w:rPr>
                <w:rFonts w:cs="Arial"/>
                <w:sz w:val="16"/>
                <w:szCs w:val="16"/>
              </w:rPr>
            </w:pPr>
            <w:r w:rsidRPr="008E7494">
              <w:rPr>
                <w:rFonts w:cs="Arial"/>
                <w:sz w:val="16"/>
                <w:szCs w:val="16"/>
              </w:rPr>
              <w:t>1</w:t>
            </w:r>
            <w:r>
              <w:rPr>
                <w:rFonts w:cs="Arial"/>
                <w:sz w:val="16"/>
                <w:szCs w:val="16"/>
              </w:rPr>
              <w:t>5</w:t>
            </w:r>
            <w:r w:rsidRPr="008E7494">
              <w:rPr>
                <w:rFonts w:cs="Arial"/>
                <w:sz w:val="16"/>
                <w:szCs w:val="16"/>
              </w:rPr>
              <w:t xml:space="preserve"> April</w:t>
            </w:r>
          </w:p>
        </w:tc>
        <w:tc>
          <w:tcPr>
            <w:tcW w:w="1418" w:type="dxa"/>
            <w:tcBorders>
              <w:top w:val="single" w:sz="18" w:space="0" w:color="C0C0C0"/>
              <w:left w:val="single" w:sz="18" w:space="0" w:color="C0C0C0"/>
              <w:bottom w:val="single" w:sz="18" w:space="0" w:color="BFBFBF"/>
              <w:right w:val="single" w:sz="18" w:space="0" w:color="BFBFBF" w:themeColor="background1" w:themeShade="BF"/>
            </w:tcBorders>
            <w:shd w:val="clear" w:color="auto" w:fill="D9D9D9"/>
            <w:vAlign w:val="center"/>
          </w:tcPr>
          <w:p w14:paraId="1781A724" w14:textId="77777777" w:rsidR="00DF019A" w:rsidRPr="008E7494" w:rsidRDefault="00DF019A" w:rsidP="00066DE4">
            <w:pPr>
              <w:spacing w:after="0" w:line="240" w:lineRule="auto"/>
              <w:jc w:val="center"/>
              <w:rPr>
                <w:rFonts w:cs="Arial"/>
                <w:sz w:val="16"/>
                <w:szCs w:val="16"/>
              </w:rPr>
            </w:pPr>
          </w:p>
        </w:tc>
        <w:tc>
          <w:tcPr>
            <w:tcW w:w="127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D9D9D9"/>
            <w:vAlign w:val="center"/>
          </w:tcPr>
          <w:p w14:paraId="63F5D9BB" w14:textId="77777777" w:rsidR="00DF019A" w:rsidRPr="008E7494" w:rsidRDefault="00DF019A" w:rsidP="00066DE4">
            <w:pPr>
              <w:spacing w:after="0" w:line="240" w:lineRule="auto"/>
              <w:jc w:val="center"/>
              <w:rPr>
                <w:rFonts w:cs="Arial"/>
                <w:color w:val="000000"/>
                <w:sz w:val="16"/>
                <w:szCs w:val="16"/>
              </w:rPr>
            </w:pPr>
          </w:p>
        </w:tc>
        <w:tc>
          <w:tcPr>
            <w:tcW w:w="1418"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D9D9D9"/>
            <w:vAlign w:val="center"/>
          </w:tcPr>
          <w:p w14:paraId="69AEC9FA" w14:textId="77777777" w:rsidR="00DF019A" w:rsidRPr="008E7494" w:rsidRDefault="00DF019A" w:rsidP="00066DE4">
            <w:pPr>
              <w:spacing w:after="0" w:line="240" w:lineRule="auto"/>
              <w:jc w:val="center"/>
              <w:rPr>
                <w:rFonts w:cs="Arial"/>
                <w:sz w:val="16"/>
                <w:szCs w:val="16"/>
              </w:rPr>
            </w:pPr>
          </w:p>
        </w:tc>
        <w:tc>
          <w:tcPr>
            <w:tcW w:w="1276"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D9D9D9"/>
            <w:vAlign w:val="center"/>
          </w:tcPr>
          <w:p w14:paraId="71875D00" w14:textId="77777777" w:rsidR="00DF019A" w:rsidRPr="008E7494" w:rsidRDefault="00DF019A" w:rsidP="00066DE4">
            <w:pPr>
              <w:spacing w:after="0" w:line="240" w:lineRule="auto"/>
              <w:jc w:val="center"/>
              <w:rPr>
                <w:rFonts w:cs="Arial"/>
                <w:sz w:val="16"/>
                <w:szCs w:val="16"/>
              </w:rPr>
            </w:pPr>
          </w:p>
        </w:tc>
        <w:tc>
          <w:tcPr>
            <w:tcW w:w="1559" w:type="dxa"/>
            <w:tcBorders>
              <w:top w:val="single" w:sz="18" w:space="0" w:color="C0C0C0"/>
              <w:left w:val="single" w:sz="18" w:space="0" w:color="BFBFBF" w:themeColor="background1" w:themeShade="BF"/>
              <w:right w:val="single" w:sz="18" w:space="0" w:color="808080"/>
            </w:tcBorders>
            <w:shd w:val="clear" w:color="auto" w:fill="D9D9D9"/>
            <w:vAlign w:val="center"/>
          </w:tcPr>
          <w:p w14:paraId="7107B964" w14:textId="77777777" w:rsidR="00DF019A" w:rsidRPr="008E7494" w:rsidRDefault="00DF019A" w:rsidP="00066DE4">
            <w:pPr>
              <w:spacing w:after="0" w:line="240" w:lineRule="auto"/>
              <w:jc w:val="center"/>
              <w:rPr>
                <w:rFonts w:cs="Arial"/>
                <w:bCs/>
                <w:sz w:val="16"/>
                <w:szCs w:val="16"/>
              </w:rPr>
            </w:pPr>
            <w:r w:rsidRPr="008E7494">
              <w:rPr>
                <w:rFonts w:cs="Arial"/>
                <w:color w:val="000000"/>
                <w:sz w:val="16"/>
                <w:szCs w:val="16"/>
              </w:rPr>
              <w:t>Public Holiday</w:t>
            </w:r>
          </w:p>
        </w:tc>
        <w:tc>
          <w:tcPr>
            <w:tcW w:w="2806" w:type="dxa"/>
            <w:tcBorders>
              <w:top w:val="single" w:sz="18" w:space="0" w:color="C0C0C0"/>
              <w:left w:val="single" w:sz="18" w:space="0" w:color="808080"/>
              <w:right w:val="single" w:sz="18" w:space="0" w:color="808080"/>
            </w:tcBorders>
            <w:shd w:val="clear" w:color="auto" w:fill="D9D9D9"/>
            <w:vAlign w:val="center"/>
          </w:tcPr>
          <w:p w14:paraId="50601CD9" w14:textId="77777777" w:rsidR="00DF019A" w:rsidRPr="008E7494" w:rsidRDefault="00DF019A" w:rsidP="00066DE4">
            <w:pPr>
              <w:spacing w:after="0" w:line="240" w:lineRule="auto"/>
              <w:jc w:val="center"/>
              <w:rPr>
                <w:rFonts w:cs="Arial"/>
                <w:sz w:val="16"/>
                <w:szCs w:val="16"/>
              </w:rPr>
            </w:pPr>
            <w:r>
              <w:rPr>
                <w:rFonts w:cs="Arial"/>
                <w:sz w:val="16"/>
                <w:szCs w:val="16"/>
              </w:rPr>
              <w:t>19</w:t>
            </w:r>
            <w:r w:rsidRPr="008E7494">
              <w:rPr>
                <w:rFonts w:cs="Arial"/>
                <w:sz w:val="16"/>
                <w:szCs w:val="16"/>
              </w:rPr>
              <w:t xml:space="preserve"> Good Friday</w:t>
            </w:r>
          </w:p>
        </w:tc>
      </w:tr>
      <w:tr w:rsidR="00DF019A" w:rsidRPr="008E7494" w14:paraId="08BBB6AC" w14:textId="77777777" w:rsidTr="00066DE4">
        <w:trPr>
          <w:trHeight w:val="397"/>
          <w:jc w:val="center"/>
        </w:trPr>
        <w:tc>
          <w:tcPr>
            <w:tcW w:w="1730" w:type="dxa"/>
            <w:tcBorders>
              <w:top w:val="single" w:sz="18" w:space="0" w:color="BFBFBF"/>
              <w:left w:val="single" w:sz="18" w:space="0" w:color="808080"/>
              <w:bottom w:val="single" w:sz="18" w:space="0" w:color="C0C0C0"/>
              <w:right w:val="single" w:sz="18" w:space="0" w:color="C0C0C0"/>
            </w:tcBorders>
            <w:vAlign w:val="center"/>
          </w:tcPr>
          <w:p w14:paraId="2E7D8EB4" w14:textId="77777777" w:rsidR="00DF019A" w:rsidRPr="00CE6C60" w:rsidRDefault="00DF019A" w:rsidP="00066DE4">
            <w:pPr>
              <w:spacing w:after="0" w:line="240" w:lineRule="auto"/>
              <w:jc w:val="center"/>
              <w:rPr>
                <w:rFonts w:cs="Arial"/>
                <w:sz w:val="16"/>
                <w:szCs w:val="16"/>
              </w:rPr>
            </w:pPr>
            <w:r w:rsidRPr="00CE6C60">
              <w:rPr>
                <w:rFonts w:cs="Arial"/>
                <w:sz w:val="16"/>
                <w:szCs w:val="16"/>
              </w:rPr>
              <w:t>22 April</w:t>
            </w:r>
          </w:p>
        </w:tc>
        <w:tc>
          <w:tcPr>
            <w:tcW w:w="1418" w:type="dxa"/>
            <w:tcBorders>
              <w:top w:val="single" w:sz="18" w:space="0" w:color="BFBFBF"/>
              <w:left w:val="single" w:sz="18" w:space="0" w:color="C0C0C0"/>
              <w:bottom w:val="single" w:sz="18" w:space="0" w:color="C0C0C0"/>
              <w:right w:val="single" w:sz="18" w:space="0" w:color="BFBFBF" w:themeColor="background1" w:themeShade="BF"/>
            </w:tcBorders>
            <w:shd w:val="clear" w:color="auto" w:fill="D9D9D9"/>
            <w:vAlign w:val="center"/>
          </w:tcPr>
          <w:p w14:paraId="21D86530" w14:textId="77777777" w:rsidR="00DF019A" w:rsidRPr="008E7494" w:rsidRDefault="00DF019A" w:rsidP="00066DE4">
            <w:pPr>
              <w:spacing w:after="0" w:line="240" w:lineRule="auto"/>
              <w:jc w:val="center"/>
              <w:rPr>
                <w:rFonts w:cs="Arial"/>
                <w:color w:val="000000"/>
                <w:sz w:val="16"/>
                <w:szCs w:val="16"/>
              </w:rPr>
            </w:pPr>
            <w:r w:rsidRPr="008E7494">
              <w:rPr>
                <w:rFonts w:cs="Arial"/>
                <w:color w:val="000000"/>
                <w:sz w:val="16"/>
                <w:szCs w:val="16"/>
              </w:rPr>
              <w:t>Public Holiday</w:t>
            </w:r>
          </w:p>
        </w:tc>
        <w:tc>
          <w:tcPr>
            <w:tcW w:w="127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uto"/>
            <w:vAlign w:val="center"/>
          </w:tcPr>
          <w:p w14:paraId="05AE9518" w14:textId="77777777" w:rsidR="00DF019A" w:rsidRPr="008E7494" w:rsidRDefault="00DF019A" w:rsidP="00066DE4">
            <w:pPr>
              <w:spacing w:after="0" w:line="240" w:lineRule="auto"/>
              <w:jc w:val="center"/>
              <w:rPr>
                <w:rFonts w:cs="Arial"/>
                <w:color w:val="000000"/>
                <w:sz w:val="16"/>
                <w:szCs w:val="16"/>
              </w:rPr>
            </w:pPr>
          </w:p>
        </w:tc>
        <w:tc>
          <w:tcPr>
            <w:tcW w:w="1418"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uto"/>
            <w:vAlign w:val="center"/>
          </w:tcPr>
          <w:p w14:paraId="159A651B" w14:textId="77777777" w:rsidR="00DF019A" w:rsidRPr="008E7494" w:rsidRDefault="00DF019A" w:rsidP="00066DE4">
            <w:pPr>
              <w:spacing w:after="0" w:line="240" w:lineRule="auto"/>
              <w:jc w:val="center"/>
              <w:rPr>
                <w:rFonts w:cs="Arial"/>
                <w:sz w:val="16"/>
                <w:szCs w:val="16"/>
              </w:rPr>
            </w:pPr>
          </w:p>
        </w:tc>
        <w:tc>
          <w:tcPr>
            <w:tcW w:w="1276"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uto"/>
            <w:vAlign w:val="center"/>
          </w:tcPr>
          <w:p w14:paraId="5F2576CD" w14:textId="77777777" w:rsidR="00DF019A" w:rsidRPr="008E7494" w:rsidRDefault="00DF019A" w:rsidP="00066DE4">
            <w:pPr>
              <w:spacing w:after="0" w:line="240" w:lineRule="auto"/>
              <w:jc w:val="center"/>
              <w:rPr>
                <w:rFonts w:cs="Arial"/>
                <w:sz w:val="16"/>
                <w:szCs w:val="16"/>
              </w:rPr>
            </w:pPr>
            <w:r w:rsidRPr="008E7494">
              <w:rPr>
                <w:rFonts w:cs="Arial"/>
                <w:color w:val="000000"/>
                <w:sz w:val="16"/>
                <w:szCs w:val="16"/>
              </w:rPr>
              <w:t>Public Holiday</w:t>
            </w:r>
          </w:p>
        </w:tc>
        <w:tc>
          <w:tcPr>
            <w:tcW w:w="1559" w:type="dxa"/>
            <w:tcBorders>
              <w:top w:val="single" w:sz="18" w:space="0" w:color="BFBFBF"/>
              <w:left w:val="single" w:sz="18" w:space="0" w:color="BFBFBF" w:themeColor="background1" w:themeShade="BF"/>
              <w:bottom w:val="single" w:sz="18" w:space="0" w:color="BFBFBF" w:themeColor="background1" w:themeShade="BF"/>
              <w:right w:val="single" w:sz="18" w:space="0" w:color="808080"/>
            </w:tcBorders>
            <w:vAlign w:val="center"/>
          </w:tcPr>
          <w:p w14:paraId="3B4B86F1" w14:textId="77777777" w:rsidR="00DF019A" w:rsidRPr="008E7494" w:rsidRDefault="00DF019A" w:rsidP="00066DE4">
            <w:pPr>
              <w:spacing w:after="0" w:line="240" w:lineRule="auto"/>
              <w:jc w:val="center"/>
              <w:rPr>
                <w:rFonts w:cs="Arial"/>
                <w:bCs/>
                <w:sz w:val="16"/>
                <w:szCs w:val="16"/>
              </w:rPr>
            </w:pPr>
          </w:p>
        </w:tc>
        <w:tc>
          <w:tcPr>
            <w:tcW w:w="2806" w:type="dxa"/>
            <w:tcBorders>
              <w:top w:val="single" w:sz="18" w:space="0" w:color="BFBFBF"/>
              <w:left w:val="single" w:sz="18" w:space="0" w:color="808080"/>
              <w:bottom w:val="single" w:sz="18" w:space="0" w:color="BFBFBF" w:themeColor="background1" w:themeShade="BF"/>
              <w:right w:val="single" w:sz="18" w:space="0" w:color="808080"/>
            </w:tcBorders>
            <w:vAlign w:val="center"/>
          </w:tcPr>
          <w:p w14:paraId="5B8497AD" w14:textId="77777777" w:rsidR="00DF019A" w:rsidRPr="008E7494" w:rsidRDefault="00DF019A" w:rsidP="00066DE4">
            <w:pPr>
              <w:spacing w:after="0" w:line="240" w:lineRule="auto"/>
              <w:jc w:val="center"/>
              <w:rPr>
                <w:rFonts w:cs="Arial"/>
                <w:sz w:val="16"/>
                <w:szCs w:val="16"/>
              </w:rPr>
            </w:pPr>
            <w:r w:rsidRPr="008E7494">
              <w:rPr>
                <w:rFonts w:cs="Arial"/>
                <w:sz w:val="16"/>
                <w:szCs w:val="16"/>
              </w:rPr>
              <w:t>2</w:t>
            </w:r>
            <w:r>
              <w:rPr>
                <w:rFonts w:cs="Arial"/>
                <w:sz w:val="16"/>
                <w:szCs w:val="16"/>
              </w:rPr>
              <w:t>2</w:t>
            </w:r>
            <w:r w:rsidRPr="008E7494">
              <w:rPr>
                <w:rFonts w:cs="Arial"/>
                <w:sz w:val="16"/>
                <w:szCs w:val="16"/>
              </w:rPr>
              <w:t xml:space="preserve"> Easter Monday</w:t>
            </w:r>
            <w:r>
              <w:rPr>
                <w:rFonts w:cs="Arial"/>
                <w:sz w:val="16"/>
                <w:szCs w:val="16"/>
              </w:rPr>
              <w:t>,</w:t>
            </w:r>
            <w:r w:rsidRPr="008E7494">
              <w:rPr>
                <w:rFonts w:cs="Arial"/>
                <w:sz w:val="16"/>
                <w:szCs w:val="16"/>
              </w:rPr>
              <w:t xml:space="preserve"> 25 Anzac Day</w:t>
            </w:r>
          </w:p>
        </w:tc>
      </w:tr>
      <w:tr w:rsidR="00DF019A" w:rsidRPr="008E7494" w14:paraId="68436281" w14:textId="77777777" w:rsidTr="00066DE4">
        <w:trPr>
          <w:trHeight w:val="397"/>
          <w:jc w:val="center"/>
        </w:trPr>
        <w:tc>
          <w:tcPr>
            <w:tcW w:w="1730" w:type="dxa"/>
            <w:tcBorders>
              <w:top w:val="single" w:sz="18" w:space="0" w:color="C0C0C0"/>
              <w:left w:val="single" w:sz="18" w:space="0" w:color="808080"/>
              <w:bottom w:val="single" w:sz="18" w:space="0" w:color="808080" w:themeColor="background1" w:themeShade="80"/>
              <w:right w:val="single" w:sz="18" w:space="0" w:color="C0C0C0"/>
            </w:tcBorders>
            <w:vAlign w:val="center"/>
          </w:tcPr>
          <w:p w14:paraId="245B8A66" w14:textId="77777777" w:rsidR="00DF019A" w:rsidRPr="008E7494" w:rsidRDefault="00DF019A" w:rsidP="00066DE4">
            <w:pPr>
              <w:spacing w:after="0" w:line="240" w:lineRule="auto"/>
              <w:jc w:val="center"/>
              <w:rPr>
                <w:rFonts w:cs="Arial"/>
                <w:sz w:val="16"/>
                <w:szCs w:val="16"/>
              </w:rPr>
            </w:pPr>
            <w:r>
              <w:rPr>
                <w:rFonts w:cs="Arial"/>
                <w:sz w:val="16"/>
                <w:szCs w:val="16"/>
              </w:rPr>
              <w:t>29</w:t>
            </w:r>
            <w:r w:rsidRPr="008E7494">
              <w:rPr>
                <w:rFonts w:cs="Arial"/>
                <w:sz w:val="16"/>
                <w:szCs w:val="16"/>
              </w:rPr>
              <w:t xml:space="preserve"> April</w:t>
            </w:r>
          </w:p>
        </w:tc>
        <w:tc>
          <w:tcPr>
            <w:tcW w:w="1418" w:type="dxa"/>
            <w:tcBorders>
              <w:top w:val="single" w:sz="18" w:space="0" w:color="C0C0C0"/>
              <w:left w:val="single" w:sz="18" w:space="0" w:color="C0C0C0"/>
              <w:bottom w:val="single" w:sz="18" w:space="0" w:color="808080" w:themeColor="background1" w:themeShade="80"/>
              <w:right w:val="single" w:sz="18" w:space="0" w:color="BFBFBF" w:themeColor="background1" w:themeShade="BF"/>
            </w:tcBorders>
            <w:vAlign w:val="center"/>
          </w:tcPr>
          <w:p w14:paraId="66D94172" w14:textId="77777777" w:rsidR="00DF019A" w:rsidRPr="008E7494" w:rsidRDefault="00DF019A" w:rsidP="00066DE4">
            <w:pPr>
              <w:spacing w:after="0" w:line="240" w:lineRule="auto"/>
              <w:jc w:val="center"/>
              <w:rPr>
                <w:rFonts w:cs="Arial"/>
                <w:sz w:val="16"/>
                <w:szCs w:val="16"/>
              </w:rPr>
            </w:pPr>
          </w:p>
        </w:tc>
        <w:tc>
          <w:tcPr>
            <w:tcW w:w="1275" w:type="dxa"/>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A64D2C"/>
            <w:vAlign w:val="center"/>
          </w:tcPr>
          <w:p w14:paraId="37B09CD0"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30</w:t>
            </w:r>
          </w:p>
        </w:tc>
        <w:tc>
          <w:tcPr>
            <w:tcW w:w="1418" w:type="dxa"/>
            <w:tcBorders>
              <w:top w:val="single" w:sz="18" w:space="0" w:color="BFBFBF" w:themeColor="background1" w:themeShade="BF"/>
              <w:left w:val="single" w:sz="18" w:space="0" w:color="BFBFBF" w:themeColor="background1" w:themeShade="BF"/>
              <w:bottom w:val="single" w:sz="18" w:space="0" w:color="808080" w:themeColor="background1" w:themeShade="80"/>
              <w:right w:val="single" w:sz="18" w:space="0" w:color="BFBFBF" w:themeColor="background1" w:themeShade="BF"/>
            </w:tcBorders>
            <w:shd w:val="clear" w:color="auto" w:fill="A64D2C"/>
            <w:vAlign w:val="center"/>
          </w:tcPr>
          <w:p w14:paraId="0D7CAEB5" w14:textId="77777777" w:rsidR="00DF019A" w:rsidRPr="008E7494" w:rsidRDefault="00DF019A" w:rsidP="00066DE4">
            <w:pPr>
              <w:spacing w:after="0" w:line="240" w:lineRule="auto"/>
              <w:jc w:val="center"/>
              <w:rPr>
                <w:rFonts w:cs="Arial"/>
                <w:sz w:val="16"/>
                <w:szCs w:val="16"/>
              </w:rPr>
            </w:pPr>
            <w:r>
              <w:rPr>
                <w:rFonts w:cs="Arial"/>
                <w:sz w:val="16"/>
                <w:szCs w:val="16"/>
              </w:rPr>
              <w:t>1</w:t>
            </w:r>
          </w:p>
        </w:tc>
        <w:tc>
          <w:tcPr>
            <w:tcW w:w="1276" w:type="dxa"/>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A64D2C"/>
            <w:vAlign w:val="center"/>
          </w:tcPr>
          <w:p w14:paraId="034712C0" w14:textId="77777777" w:rsidR="00DF019A" w:rsidRPr="008E7494" w:rsidRDefault="00DF019A" w:rsidP="00066DE4">
            <w:pPr>
              <w:spacing w:after="0" w:line="240" w:lineRule="auto"/>
              <w:jc w:val="center"/>
              <w:rPr>
                <w:rFonts w:cs="Arial"/>
                <w:sz w:val="16"/>
                <w:szCs w:val="16"/>
              </w:rPr>
            </w:pPr>
            <w:r>
              <w:rPr>
                <w:rFonts w:cs="Arial"/>
                <w:sz w:val="16"/>
                <w:szCs w:val="16"/>
              </w:rPr>
              <w:t>2</w:t>
            </w:r>
          </w:p>
        </w:tc>
        <w:tc>
          <w:tcPr>
            <w:tcW w:w="1559" w:type="dxa"/>
            <w:tcBorders>
              <w:top w:val="single" w:sz="18" w:space="0" w:color="BFBFBF" w:themeColor="background1" w:themeShade="BF"/>
              <w:left w:val="single" w:sz="18" w:space="0" w:color="BFBFBF" w:themeColor="background1" w:themeShade="BF"/>
              <w:bottom w:val="single" w:sz="18" w:space="0" w:color="808080"/>
              <w:right w:val="single" w:sz="18" w:space="0" w:color="808080"/>
            </w:tcBorders>
            <w:shd w:val="clear" w:color="auto" w:fill="auto"/>
            <w:vAlign w:val="center"/>
          </w:tcPr>
          <w:p w14:paraId="58A6FDAE" w14:textId="77777777" w:rsidR="00DF019A" w:rsidRPr="008E7494" w:rsidRDefault="00DF019A" w:rsidP="00066DE4">
            <w:pPr>
              <w:spacing w:after="0" w:line="240" w:lineRule="auto"/>
              <w:jc w:val="center"/>
              <w:rPr>
                <w:rFonts w:cs="Arial"/>
                <w:bCs/>
                <w:sz w:val="16"/>
                <w:szCs w:val="16"/>
              </w:rPr>
            </w:pPr>
          </w:p>
        </w:tc>
        <w:tc>
          <w:tcPr>
            <w:tcW w:w="2806" w:type="dxa"/>
            <w:tcBorders>
              <w:top w:val="single" w:sz="18" w:space="0" w:color="BFBFBF" w:themeColor="background1" w:themeShade="BF"/>
              <w:left w:val="single" w:sz="18" w:space="0" w:color="808080"/>
              <w:bottom w:val="single" w:sz="18" w:space="0" w:color="808080"/>
              <w:right w:val="single" w:sz="18" w:space="0" w:color="808080"/>
            </w:tcBorders>
            <w:shd w:val="clear" w:color="auto" w:fill="auto"/>
            <w:vAlign w:val="center"/>
          </w:tcPr>
          <w:p w14:paraId="195EE351" w14:textId="77777777" w:rsidR="00DF019A" w:rsidRPr="008E7494" w:rsidRDefault="00DF019A" w:rsidP="00066DE4">
            <w:pPr>
              <w:spacing w:after="0" w:line="240" w:lineRule="auto"/>
              <w:jc w:val="center"/>
              <w:rPr>
                <w:rFonts w:cs="Arial"/>
                <w:sz w:val="16"/>
                <w:szCs w:val="16"/>
              </w:rPr>
            </w:pPr>
          </w:p>
        </w:tc>
      </w:tr>
      <w:tr w:rsidR="00DF019A" w:rsidRPr="008E7494" w14:paraId="0AD45C7A" w14:textId="77777777" w:rsidTr="00066DE4">
        <w:trPr>
          <w:trHeight w:hRule="exact" w:val="284"/>
          <w:jc w:val="center"/>
        </w:trPr>
        <w:tc>
          <w:tcPr>
            <w:tcW w:w="1730" w:type="dxa"/>
            <w:vMerge w:val="restart"/>
            <w:tcBorders>
              <w:top w:val="single" w:sz="18" w:space="0" w:color="808080" w:themeColor="background1" w:themeShade="80"/>
              <w:left w:val="single" w:sz="18" w:space="0" w:color="808080"/>
              <w:right w:val="single" w:sz="18" w:space="0" w:color="C0C0C0"/>
            </w:tcBorders>
            <w:vAlign w:val="center"/>
          </w:tcPr>
          <w:p w14:paraId="7C26E506" w14:textId="77777777" w:rsidR="00DF019A" w:rsidRPr="008E7494" w:rsidRDefault="00DF019A" w:rsidP="00066DE4">
            <w:pPr>
              <w:spacing w:after="0" w:line="240" w:lineRule="auto"/>
              <w:jc w:val="center"/>
              <w:rPr>
                <w:rFonts w:cs="Arial"/>
                <w:sz w:val="16"/>
                <w:szCs w:val="16"/>
              </w:rPr>
            </w:pPr>
            <w:r>
              <w:rPr>
                <w:rFonts w:cs="Arial"/>
                <w:sz w:val="16"/>
                <w:szCs w:val="16"/>
              </w:rPr>
              <w:t>6</w:t>
            </w:r>
            <w:r w:rsidRPr="008E7494">
              <w:rPr>
                <w:rFonts w:cs="Arial"/>
                <w:sz w:val="16"/>
                <w:szCs w:val="16"/>
              </w:rPr>
              <w:t xml:space="preserve"> May</w:t>
            </w:r>
          </w:p>
        </w:tc>
        <w:tc>
          <w:tcPr>
            <w:tcW w:w="1418" w:type="dxa"/>
            <w:vMerge w:val="restart"/>
            <w:tcBorders>
              <w:top w:val="single" w:sz="18" w:space="0" w:color="808080" w:themeColor="background1" w:themeShade="80"/>
              <w:left w:val="single" w:sz="18" w:space="0" w:color="C0C0C0"/>
              <w:right w:val="single" w:sz="18" w:space="0" w:color="BFBFBF" w:themeColor="background1" w:themeShade="BF"/>
            </w:tcBorders>
            <w:shd w:val="clear" w:color="auto" w:fill="auto"/>
            <w:vAlign w:val="center"/>
          </w:tcPr>
          <w:p w14:paraId="7B2D022D" w14:textId="77777777" w:rsidR="00DF019A" w:rsidRPr="008E7494" w:rsidRDefault="00DF019A" w:rsidP="00066DE4">
            <w:pPr>
              <w:spacing w:after="0" w:line="240" w:lineRule="auto"/>
              <w:jc w:val="center"/>
              <w:rPr>
                <w:rFonts w:cs="Arial"/>
                <w:color w:val="000000"/>
                <w:sz w:val="16"/>
                <w:szCs w:val="16"/>
              </w:rPr>
            </w:pPr>
            <w:r w:rsidRPr="008E7494">
              <w:rPr>
                <w:rFonts w:cs="Arial"/>
                <w:color w:val="000000"/>
                <w:sz w:val="16"/>
                <w:szCs w:val="16"/>
              </w:rPr>
              <w:t>Public Holiday</w:t>
            </w:r>
          </w:p>
        </w:tc>
        <w:tc>
          <w:tcPr>
            <w:tcW w:w="1275" w:type="dxa"/>
            <w:vMerge w:val="restart"/>
            <w:tcBorders>
              <w:top w:val="single" w:sz="18" w:space="0" w:color="808080" w:themeColor="background1" w:themeShade="80"/>
              <w:left w:val="single" w:sz="18" w:space="0" w:color="BFBFBF" w:themeColor="background1" w:themeShade="BF"/>
              <w:right w:val="single" w:sz="18" w:space="0" w:color="BFBFBF" w:themeColor="background1" w:themeShade="BF"/>
            </w:tcBorders>
            <w:shd w:val="clear" w:color="auto" w:fill="DDB136"/>
            <w:vAlign w:val="center"/>
          </w:tcPr>
          <w:p w14:paraId="08B960E0"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7</w:t>
            </w:r>
          </w:p>
        </w:tc>
        <w:tc>
          <w:tcPr>
            <w:tcW w:w="1418" w:type="dxa"/>
            <w:tcBorders>
              <w:top w:val="single" w:sz="18" w:space="0" w:color="808080" w:themeColor="background1" w:themeShade="80"/>
              <w:left w:val="single" w:sz="18" w:space="0" w:color="BFBFBF" w:themeColor="background1" w:themeShade="BF"/>
              <w:bottom w:val="nil"/>
              <w:right w:val="single" w:sz="18" w:space="0" w:color="BFBFBF" w:themeColor="background1" w:themeShade="BF"/>
            </w:tcBorders>
            <w:shd w:val="clear" w:color="auto" w:fill="A972A9"/>
            <w:vAlign w:val="center"/>
          </w:tcPr>
          <w:p w14:paraId="4AC633D6" w14:textId="77777777" w:rsidR="00DF019A" w:rsidRPr="008E7494" w:rsidRDefault="00DF019A" w:rsidP="00066DE4">
            <w:pPr>
              <w:spacing w:after="0" w:line="240" w:lineRule="auto"/>
              <w:jc w:val="center"/>
              <w:rPr>
                <w:rFonts w:cs="Arial"/>
                <w:sz w:val="16"/>
                <w:szCs w:val="16"/>
              </w:rPr>
            </w:pPr>
            <w:r>
              <w:rPr>
                <w:rFonts w:cs="Arial"/>
                <w:sz w:val="16"/>
                <w:szCs w:val="16"/>
              </w:rPr>
              <w:t>8</w:t>
            </w:r>
          </w:p>
        </w:tc>
        <w:tc>
          <w:tcPr>
            <w:tcW w:w="1276" w:type="dxa"/>
            <w:tcBorders>
              <w:top w:val="single" w:sz="18" w:space="0" w:color="808080" w:themeColor="background1" w:themeShade="80"/>
              <w:left w:val="single" w:sz="18" w:space="0" w:color="BFBFBF" w:themeColor="background1" w:themeShade="BF"/>
              <w:bottom w:val="nil"/>
              <w:right w:val="single" w:sz="18" w:space="0" w:color="BFBFBF" w:themeColor="background1" w:themeShade="BF"/>
            </w:tcBorders>
            <w:shd w:val="clear" w:color="auto" w:fill="A972A9"/>
            <w:vAlign w:val="center"/>
          </w:tcPr>
          <w:p w14:paraId="30BF7701" w14:textId="77777777" w:rsidR="00DF019A" w:rsidRPr="008E7494" w:rsidRDefault="00DF019A" w:rsidP="00066DE4">
            <w:pPr>
              <w:spacing w:after="0" w:line="240" w:lineRule="auto"/>
              <w:jc w:val="center"/>
              <w:rPr>
                <w:rFonts w:cs="Arial"/>
                <w:sz w:val="16"/>
                <w:szCs w:val="16"/>
              </w:rPr>
            </w:pPr>
            <w:r>
              <w:rPr>
                <w:rFonts w:cs="Arial"/>
                <w:sz w:val="16"/>
                <w:szCs w:val="16"/>
              </w:rPr>
              <w:t>9</w:t>
            </w:r>
          </w:p>
        </w:tc>
        <w:tc>
          <w:tcPr>
            <w:tcW w:w="1559" w:type="dxa"/>
            <w:vMerge w:val="restart"/>
            <w:tcBorders>
              <w:top w:val="single" w:sz="18" w:space="0" w:color="808080"/>
              <w:left w:val="single" w:sz="18" w:space="0" w:color="BFBFBF" w:themeColor="background1" w:themeShade="BF"/>
              <w:right w:val="single" w:sz="18" w:space="0" w:color="808080"/>
            </w:tcBorders>
            <w:shd w:val="clear" w:color="auto" w:fill="auto"/>
            <w:vAlign w:val="center"/>
          </w:tcPr>
          <w:p w14:paraId="3C45282C" w14:textId="77777777" w:rsidR="00DF019A" w:rsidRPr="008E7494" w:rsidRDefault="00DF019A" w:rsidP="00066DE4">
            <w:pPr>
              <w:spacing w:after="0" w:line="240" w:lineRule="auto"/>
              <w:jc w:val="center"/>
              <w:rPr>
                <w:rFonts w:cs="Arial"/>
                <w:bCs/>
                <w:sz w:val="16"/>
                <w:szCs w:val="16"/>
              </w:rPr>
            </w:pPr>
          </w:p>
        </w:tc>
        <w:tc>
          <w:tcPr>
            <w:tcW w:w="2806" w:type="dxa"/>
            <w:vMerge w:val="restart"/>
            <w:tcBorders>
              <w:top w:val="single" w:sz="18" w:space="0" w:color="808080"/>
              <w:left w:val="single" w:sz="18" w:space="0" w:color="808080"/>
              <w:right w:val="single" w:sz="18" w:space="0" w:color="808080"/>
            </w:tcBorders>
            <w:shd w:val="clear" w:color="auto" w:fill="auto"/>
            <w:vAlign w:val="center"/>
          </w:tcPr>
          <w:p w14:paraId="4422EC69" w14:textId="77777777" w:rsidR="00DF019A" w:rsidRPr="008E7494" w:rsidRDefault="00DF019A" w:rsidP="00066DE4">
            <w:pPr>
              <w:spacing w:after="0" w:line="240" w:lineRule="auto"/>
              <w:jc w:val="center"/>
              <w:rPr>
                <w:rFonts w:cs="Arial"/>
                <w:sz w:val="16"/>
                <w:szCs w:val="16"/>
              </w:rPr>
            </w:pPr>
            <w:r>
              <w:rPr>
                <w:rFonts w:cs="Arial"/>
                <w:sz w:val="16"/>
                <w:szCs w:val="16"/>
              </w:rPr>
              <w:t>6</w:t>
            </w:r>
            <w:r w:rsidRPr="008E7494">
              <w:rPr>
                <w:rFonts w:cs="Arial"/>
                <w:sz w:val="16"/>
                <w:szCs w:val="16"/>
              </w:rPr>
              <w:t xml:space="preserve"> Labour Day</w:t>
            </w:r>
          </w:p>
        </w:tc>
      </w:tr>
      <w:tr w:rsidR="00DF019A" w:rsidRPr="008E7494" w14:paraId="3A289F9B" w14:textId="77777777" w:rsidTr="00066DE4">
        <w:trPr>
          <w:trHeight w:hRule="exact" w:val="284"/>
          <w:jc w:val="center"/>
        </w:trPr>
        <w:tc>
          <w:tcPr>
            <w:tcW w:w="1730" w:type="dxa"/>
            <w:vMerge/>
            <w:tcBorders>
              <w:left w:val="single" w:sz="18" w:space="0" w:color="808080"/>
              <w:right w:val="single" w:sz="18" w:space="0" w:color="C0C0C0"/>
            </w:tcBorders>
            <w:vAlign w:val="center"/>
          </w:tcPr>
          <w:p w14:paraId="0FEC701E" w14:textId="77777777" w:rsidR="00DF019A" w:rsidRDefault="00DF019A" w:rsidP="00066DE4">
            <w:pPr>
              <w:spacing w:after="0" w:line="240" w:lineRule="auto"/>
              <w:jc w:val="center"/>
              <w:rPr>
                <w:rFonts w:cs="Arial"/>
                <w:sz w:val="16"/>
                <w:szCs w:val="16"/>
              </w:rPr>
            </w:pPr>
          </w:p>
        </w:tc>
        <w:tc>
          <w:tcPr>
            <w:tcW w:w="1418" w:type="dxa"/>
            <w:vMerge/>
            <w:tcBorders>
              <w:left w:val="single" w:sz="18" w:space="0" w:color="C0C0C0"/>
              <w:bottom w:val="single" w:sz="18" w:space="0" w:color="C0C0C0"/>
              <w:right w:val="single" w:sz="18" w:space="0" w:color="BFBFBF" w:themeColor="background1" w:themeShade="BF"/>
            </w:tcBorders>
            <w:shd w:val="clear" w:color="auto" w:fill="auto"/>
            <w:vAlign w:val="center"/>
          </w:tcPr>
          <w:p w14:paraId="7C95E06C" w14:textId="77777777" w:rsidR="00DF019A" w:rsidRPr="008E7494" w:rsidRDefault="00DF019A" w:rsidP="00066DE4">
            <w:pPr>
              <w:spacing w:after="0" w:line="240" w:lineRule="auto"/>
              <w:jc w:val="center"/>
              <w:rPr>
                <w:rFonts w:cs="Arial"/>
                <w:color w:val="000000"/>
                <w:sz w:val="16"/>
                <w:szCs w:val="16"/>
              </w:rPr>
            </w:pPr>
          </w:p>
        </w:tc>
        <w:tc>
          <w:tcPr>
            <w:tcW w:w="1275" w:type="dxa"/>
            <w:vMerge/>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DDB136"/>
            <w:vAlign w:val="center"/>
          </w:tcPr>
          <w:p w14:paraId="1CCF91E9" w14:textId="77777777" w:rsidR="00DF019A" w:rsidRDefault="00DF019A" w:rsidP="00066DE4">
            <w:pPr>
              <w:spacing w:after="0" w:line="240" w:lineRule="auto"/>
              <w:jc w:val="center"/>
              <w:rPr>
                <w:rFonts w:cs="Arial"/>
                <w:color w:val="000000"/>
                <w:sz w:val="16"/>
                <w:szCs w:val="16"/>
              </w:rPr>
            </w:pPr>
          </w:p>
        </w:tc>
        <w:tc>
          <w:tcPr>
            <w:tcW w:w="1418" w:type="dxa"/>
            <w:tcBorders>
              <w:top w:val="nil"/>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DDB136"/>
            <w:vAlign w:val="center"/>
          </w:tcPr>
          <w:p w14:paraId="621D6917" w14:textId="77777777" w:rsidR="00DF019A" w:rsidRDefault="00DF019A" w:rsidP="00066DE4">
            <w:pPr>
              <w:spacing w:after="0" w:line="240" w:lineRule="auto"/>
              <w:jc w:val="center"/>
              <w:rPr>
                <w:rFonts w:cs="Arial"/>
                <w:sz w:val="16"/>
                <w:szCs w:val="16"/>
              </w:rPr>
            </w:pPr>
            <w:r>
              <w:rPr>
                <w:rFonts w:cs="Arial"/>
                <w:sz w:val="16"/>
                <w:szCs w:val="16"/>
              </w:rPr>
              <w:t>8</w:t>
            </w:r>
          </w:p>
        </w:tc>
        <w:tc>
          <w:tcPr>
            <w:tcW w:w="1276" w:type="dxa"/>
            <w:tcBorders>
              <w:top w:val="nil"/>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768968"/>
            <w:vAlign w:val="center"/>
          </w:tcPr>
          <w:p w14:paraId="1D558235" w14:textId="77777777" w:rsidR="00DF019A" w:rsidRDefault="00DF019A" w:rsidP="00066DE4">
            <w:pPr>
              <w:spacing w:after="0" w:line="240" w:lineRule="auto"/>
              <w:jc w:val="center"/>
              <w:rPr>
                <w:rFonts w:cs="Arial"/>
                <w:sz w:val="16"/>
                <w:szCs w:val="16"/>
              </w:rPr>
            </w:pPr>
            <w:r>
              <w:rPr>
                <w:rFonts w:cs="Arial"/>
                <w:sz w:val="16"/>
                <w:szCs w:val="16"/>
              </w:rPr>
              <w:t>9</w:t>
            </w:r>
          </w:p>
        </w:tc>
        <w:tc>
          <w:tcPr>
            <w:tcW w:w="1559" w:type="dxa"/>
            <w:vMerge/>
            <w:tcBorders>
              <w:left w:val="single" w:sz="18" w:space="0" w:color="BFBFBF" w:themeColor="background1" w:themeShade="BF"/>
              <w:right w:val="single" w:sz="18" w:space="0" w:color="808080"/>
            </w:tcBorders>
            <w:shd w:val="clear" w:color="auto" w:fill="auto"/>
            <w:vAlign w:val="center"/>
          </w:tcPr>
          <w:p w14:paraId="7470DF7A" w14:textId="77777777" w:rsidR="00DF019A" w:rsidRPr="008E7494" w:rsidRDefault="00DF019A" w:rsidP="00066DE4">
            <w:pPr>
              <w:spacing w:after="0" w:line="240" w:lineRule="auto"/>
              <w:jc w:val="center"/>
              <w:rPr>
                <w:rFonts w:cs="Arial"/>
                <w:bCs/>
                <w:sz w:val="16"/>
                <w:szCs w:val="16"/>
              </w:rPr>
            </w:pPr>
          </w:p>
        </w:tc>
        <w:tc>
          <w:tcPr>
            <w:tcW w:w="2806" w:type="dxa"/>
            <w:vMerge/>
            <w:tcBorders>
              <w:left w:val="single" w:sz="18" w:space="0" w:color="808080"/>
              <w:right w:val="single" w:sz="18" w:space="0" w:color="808080"/>
            </w:tcBorders>
            <w:shd w:val="clear" w:color="auto" w:fill="auto"/>
            <w:vAlign w:val="center"/>
          </w:tcPr>
          <w:p w14:paraId="293A3C50" w14:textId="77777777" w:rsidR="00DF019A" w:rsidRPr="008E7494" w:rsidRDefault="00DF019A" w:rsidP="00066DE4">
            <w:pPr>
              <w:spacing w:after="0" w:line="240" w:lineRule="auto"/>
              <w:jc w:val="center"/>
              <w:rPr>
                <w:rFonts w:cs="Arial"/>
                <w:sz w:val="16"/>
                <w:szCs w:val="16"/>
              </w:rPr>
            </w:pPr>
          </w:p>
        </w:tc>
      </w:tr>
      <w:tr w:rsidR="00DF019A" w:rsidRPr="008E7494" w14:paraId="3666808B" w14:textId="77777777" w:rsidTr="00066DE4">
        <w:trPr>
          <w:trHeight w:hRule="exact" w:val="284"/>
          <w:jc w:val="center"/>
        </w:trPr>
        <w:tc>
          <w:tcPr>
            <w:tcW w:w="1730" w:type="dxa"/>
            <w:vMerge w:val="restart"/>
            <w:tcBorders>
              <w:top w:val="single" w:sz="18" w:space="0" w:color="C0C0C0"/>
              <w:left w:val="single" w:sz="18" w:space="0" w:color="808080"/>
              <w:right w:val="single" w:sz="18" w:space="0" w:color="C0C0C0"/>
            </w:tcBorders>
            <w:vAlign w:val="center"/>
          </w:tcPr>
          <w:p w14:paraId="437FCF48" w14:textId="77777777" w:rsidR="00DF019A" w:rsidRPr="00CE6C60" w:rsidRDefault="00DF019A" w:rsidP="00066DE4">
            <w:pPr>
              <w:spacing w:after="0" w:line="240" w:lineRule="auto"/>
              <w:jc w:val="center"/>
              <w:rPr>
                <w:rFonts w:cs="Arial"/>
                <w:sz w:val="16"/>
                <w:szCs w:val="16"/>
              </w:rPr>
            </w:pPr>
            <w:r w:rsidRPr="00CE6C60">
              <w:rPr>
                <w:rFonts w:cs="Arial"/>
                <w:sz w:val="16"/>
                <w:szCs w:val="16"/>
              </w:rPr>
              <w:t>13 May</w:t>
            </w:r>
          </w:p>
        </w:tc>
        <w:tc>
          <w:tcPr>
            <w:tcW w:w="1418" w:type="dxa"/>
            <w:vMerge w:val="restart"/>
            <w:tcBorders>
              <w:top w:val="single" w:sz="18" w:space="0" w:color="C0C0C0"/>
              <w:left w:val="single" w:sz="18" w:space="0" w:color="C0C0C0"/>
              <w:right w:val="single" w:sz="18" w:space="0" w:color="BFBFBF" w:themeColor="background1" w:themeShade="BF"/>
            </w:tcBorders>
            <w:shd w:val="clear" w:color="auto" w:fill="auto"/>
            <w:vAlign w:val="center"/>
          </w:tcPr>
          <w:p w14:paraId="193FCC0F" w14:textId="77777777" w:rsidR="00DF019A" w:rsidRPr="008E7494" w:rsidRDefault="00DF019A" w:rsidP="00066DE4">
            <w:pPr>
              <w:spacing w:after="0" w:line="240" w:lineRule="auto"/>
              <w:jc w:val="center"/>
              <w:rPr>
                <w:rFonts w:cs="Arial"/>
                <w:color w:val="000000"/>
                <w:sz w:val="16"/>
                <w:szCs w:val="16"/>
              </w:rPr>
            </w:pPr>
          </w:p>
        </w:tc>
        <w:tc>
          <w:tcPr>
            <w:tcW w:w="1275" w:type="dxa"/>
            <w:tcBorders>
              <w:top w:val="single" w:sz="18" w:space="0" w:color="BFBFBF" w:themeColor="background1" w:themeShade="BF"/>
              <w:left w:val="single" w:sz="18" w:space="0" w:color="BFBFBF" w:themeColor="background1" w:themeShade="BF"/>
              <w:bottom w:val="nil"/>
              <w:right w:val="single" w:sz="18" w:space="0" w:color="BFBFBF" w:themeColor="background1" w:themeShade="BF"/>
            </w:tcBorders>
            <w:shd w:val="clear" w:color="auto" w:fill="A64D2C"/>
            <w:vAlign w:val="center"/>
          </w:tcPr>
          <w:p w14:paraId="3F841931"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14</w:t>
            </w:r>
          </w:p>
        </w:tc>
        <w:tc>
          <w:tcPr>
            <w:tcW w:w="1418" w:type="dxa"/>
            <w:vMerge w:val="restart"/>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A64D2C"/>
            <w:vAlign w:val="center"/>
          </w:tcPr>
          <w:p w14:paraId="49C73A0D"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15</w:t>
            </w:r>
          </w:p>
        </w:tc>
        <w:tc>
          <w:tcPr>
            <w:tcW w:w="1276" w:type="dxa"/>
            <w:vMerge w:val="restart"/>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A64D2C"/>
            <w:vAlign w:val="center"/>
          </w:tcPr>
          <w:p w14:paraId="7B0AE8F9" w14:textId="77777777" w:rsidR="00DF019A" w:rsidRPr="008E7494" w:rsidRDefault="00DF019A" w:rsidP="00066DE4">
            <w:pPr>
              <w:spacing w:after="0" w:line="240" w:lineRule="auto"/>
              <w:jc w:val="center"/>
              <w:rPr>
                <w:rFonts w:cs="Arial"/>
                <w:sz w:val="16"/>
                <w:szCs w:val="16"/>
              </w:rPr>
            </w:pPr>
            <w:r>
              <w:rPr>
                <w:rFonts w:cs="Arial"/>
                <w:sz w:val="16"/>
                <w:szCs w:val="16"/>
              </w:rPr>
              <w:t>16</w:t>
            </w:r>
          </w:p>
        </w:tc>
        <w:tc>
          <w:tcPr>
            <w:tcW w:w="1559" w:type="dxa"/>
            <w:vMerge w:val="restart"/>
            <w:tcBorders>
              <w:top w:val="single" w:sz="18" w:space="0" w:color="C0C0C0"/>
              <w:left w:val="single" w:sz="18" w:space="0" w:color="BFBFBF" w:themeColor="background1" w:themeShade="BF"/>
              <w:right w:val="single" w:sz="18" w:space="0" w:color="808080"/>
            </w:tcBorders>
            <w:vAlign w:val="center"/>
          </w:tcPr>
          <w:p w14:paraId="6C989A01" w14:textId="77777777" w:rsidR="00DF019A" w:rsidRPr="008E7494" w:rsidRDefault="00DF019A" w:rsidP="00066DE4">
            <w:pPr>
              <w:spacing w:after="0" w:line="240" w:lineRule="auto"/>
              <w:jc w:val="center"/>
              <w:rPr>
                <w:rFonts w:cs="Arial"/>
                <w:bCs/>
                <w:sz w:val="16"/>
                <w:szCs w:val="16"/>
              </w:rPr>
            </w:pPr>
          </w:p>
        </w:tc>
        <w:tc>
          <w:tcPr>
            <w:tcW w:w="2806" w:type="dxa"/>
            <w:vMerge w:val="restart"/>
            <w:tcBorders>
              <w:top w:val="single" w:sz="18" w:space="0" w:color="C0C0C0"/>
              <w:left w:val="single" w:sz="18" w:space="0" w:color="808080"/>
              <w:right w:val="single" w:sz="18" w:space="0" w:color="808080"/>
            </w:tcBorders>
            <w:vAlign w:val="center"/>
          </w:tcPr>
          <w:p w14:paraId="35591AD0" w14:textId="77777777" w:rsidR="00DF019A" w:rsidRPr="008E7494" w:rsidRDefault="00DF019A" w:rsidP="00066DE4">
            <w:pPr>
              <w:spacing w:after="0" w:line="240" w:lineRule="auto"/>
              <w:jc w:val="center"/>
              <w:rPr>
                <w:rFonts w:cs="Arial"/>
                <w:sz w:val="16"/>
                <w:szCs w:val="16"/>
              </w:rPr>
            </w:pPr>
          </w:p>
        </w:tc>
      </w:tr>
      <w:tr w:rsidR="00DF019A" w:rsidRPr="008E7494" w14:paraId="314F478A" w14:textId="77777777" w:rsidTr="00066DE4">
        <w:trPr>
          <w:trHeight w:hRule="exact" w:val="284"/>
          <w:jc w:val="center"/>
        </w:trPr>
        <w:tc>
          <w:tcPr>
            <w:tcW w:w="1730" w:type="dxa"/>
            <w:vMerge/>
            <w:tcBorders>
              <w:left w:val="single" w:sz="18" w:space="0" w:color="808080"/>
              <w:right w:val="single" w:sz="18" w:space="0" w:color="C0C0C0"/>
            </w:tcBorders>
            <w:vAlign w:val="center"/>
          </w:tcPr>
          <w:p w14:paraId="155E2C51" w14:textId="77777777" w:rsidR="00DF019A" w:rsidRPr="00CE6C60" w:rsidRDefault="00DF019A" w:rsidP="00066DE4">
            <w:pPr>
              <w:spacing w:after="0" w:line="240" w:lineRule="auto"/>
              <w:jc w:val="center"/>
              <w:rPr>
                <w:rFonts w:cs="Arial"/>
                <w:sz w:val="16"/>
                <w:szCs w:val="16"/>
              </w:rPr>
            </w:pPr>
          </w:p>
        </w:tc>
        <w:tc>
          <w:tcPr>
            <w:tcW w:w="1418" w:type="dxa"/>
            <w:vMerge/>
            <w:tcBorders>
              <w:left w:val="single" w:sz="18" w:space="0" w:color="C0C0C0"/>
              <w:bottom w:val="single" w:sz="18" w:space="0" w:color="BFBFBF"/>
              <w:right w:val="single" w:sz="18" w:space="0" w:color="BFBFBF" w:themeColor="background1" w:themeShade="BF"/>
            </w:tcBorders>
            <w:shd w:val="clear" w:color="auto" w:fill="auto"/>
            <w:vAlign w:val="center"/>
          </w:tcPr>
          <w:p w14:paraId="58D6CE68" w14:textId="77777777" w:rsidR="00DF019A" w:rsidRPr="008E7494" w:rsidRDefault="00DF019A" w:rsidP="00066DE4">
            <w:pPr>
              <w:spacing w:after="0" w:line="240" w:lineRule="auto"/>
              <w:jc w:val="center"/>
              <w:rPr>
                <w:rFonts w:cs="Arial"/>
                <w:color w:val="000000"/>
                <w:sz w:val="16"/>
                <w:szCs w:val="16"/>
              </w:rPr>
            </w:pPr>
          </w:p>
        </w:tc>
        <w:tc>
          <w:tcPr>
            <w:tcW w:w="1275" w:type="dxa"/>
            <w:tcBorders>
              <w:top w:val="nil"/>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467082"/>
            <w:vAlign w:val="center"/>
          </w:tcPr>
          <w:p w14:paraId="43B94159" w14:textId="77777777" w:rsidR="00DF019A" w:rsidRDefault="00DF019A" w:rsidP="00066DE4">
            <w:pPr>
              <w:spacing w:after="0" w:line="240" w:lineRule="auto"/>
              <w:jc w:val="center"/>
              <w:rPr>
                <w:rFonts w:cs="Arial"/>
                <w:color w:val="000000"/>
                <w:sz w:val="16"/>
                <w:szCs w:val="16"/>
              </w:rPr>
            </w:pPr>
            <w:r>
              <w:rPr>
                <w:rFonts w:cs="Arial"/>
                <w:color w:val="000000"/>
                <w:sz w:val="16"/>
                <w:szCs w:val="16"/>
              </w:rPr>
              <w:t>14</w:t>
            </w:r>
          </w:p>
        </w:tc>
        <w:tc>
          <w:tcPr>
            <w:tcW w:w="1418" w:type="dxa"/>
            <w:vMerge/>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64D2C"/>
            <w:vAlign w:val="center"/>
          </w:tcPr>
          <w:p w14:paraId="350CDDCE" w14:textId="77777777" w:rsidR="00DF019A" w:rsidRDefault="00DF019A" w:rsidP="00066DE4">
            <w:pPr>
              <w:spacing w:after="0" w:line="240" w:lineRule="auto"/>
              <w:jc w:val="center"/>
              <w:rPr>
                <w:rFonts w:cs="Arial"/>
                <w:color w:val="000000"/>
                <w:sz w:val="16"/>
                <w:szCs w:val="16"/>
              </w:rPr>
            </w:pPr>
          </w:p>
        </w:tc>
        <w:tc>
          <w:tcPr>
            <w:tcW w:w="1276" w:type="dxa"/>
            <w:vMerge/>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64D2C"/>
            <w:vAlign w:val="center"/>
          </w:tcPr>
          <w:p w14:paraId="49A605F2" w14:textId="77777777" w:rsidR="00DF019A" w:rsidRDefault="00DF019A" w:rsidP="00066DE4">
            <w:pPr>
              <w:spacing w:after="0" w:line="240" w:lineRule="auto"/>
              <w:jc w:val="center"/>
              <w:rPr>
                <w:rFonts w:cs="Arial"/>
                <w:sz w:val="16"/>
                <w:szCs w:val="16"/>
              </w:rPr>
            </w:pPr>
          </w:p>
        </w:tc>
        <w:tc>
          <w:tcPr>
            <w:tcW w:w="1559" w:type="dxa"/>
            <w:vMerge/>
            <w:tcBorders>
              <w:left w:val="single" w:sz="18" w:space="0" w:color="BFBFBF" w:themeColor="background1" w:themeShade="BF"/>
              <w:right w:val="single" w:sz="18" w:space="0" w:color="808080"/>
            </w:tcBorders>
            <w:vAlign w:val="center"/>
          </w:tcPr>
          <w:p w14:paraId="013EF427" w14:textId="77777777" w:rsidR="00DF019A" w:rsidRPr="008E7494" w:rsidRDefault="00DF019A" w:rsidP="00066DE4">
            <w:pPr>
              <w:spacing w:after="0" w:line="240" w:lineRule="auto"/>
              <w:jc w:val="center"/>
              <w:rPr>
                <w:rFonts w:cs="Arial"/>
                <w:bCs/>
                <w:sz w:val="16"/>
                <w:szCs w:val="16"/>
              </w:rPr>
            </w:pPr>
          </w:p>
        </w:tc>
        <w:tc>
          <w:tcPr>
            <w:tcW w:w="2806" w:type="dxa"/>
            <w:vMerge/>
            <w:tcBorders>
              <w:left w:val="single" w:sz="18" w:space="0" w:color="808080"/>
              <w:right w:val="single" w:sz="18" w:space="0" w:color="808080"/>
            </w:tcBorders>
            <w:vAlign w:val="center"/>
          </w:tcPr>
          <w:p w14:paraId="67292A79" w14:textId="77777777" w:rsidR="00DF019A" w:rsidRPr="008E7494" w:rsidRDefault="00DF019A" w:rsidP="00066DE4">
            <w:pPr>
              <w:spacing w:after="0" w:line="240" w:lineRule="auto"/>
              <w:jc w:val="center"/>
              <w:rPr>
                <w:rFonts w:cs="Arial"/>
                <w:sz w:val="16"/>
                <w:szCs w:val="16"/>
              </w:rPr>
            </w:pPr>
          </w:p>
        </w:tc>
      </w:tr>
      <w:tr w:rsidR="00DF019A" w:rsidRPr="008E7494" w14:paraId="387BCCAD" w14:textId="77777777" w:rsidTr="00066DE4">
        <w:trPr>
          <w:trHeight w:val="195"/>
          <w:jc w:val="center"/>
        </w:trPr>
        <w:tc>
          <w:tcPr>
            <w:tcW w:w="1730" w:type="dxa"/>
            <w:vMerge w:val="restart"/>
            <w:tcBorders>
              <w:top w:val="single" w:sz="18" w:space="0" w:color="BFBFBF"/>
              <w:left w:val="single" w:sz="18" w:space="0" w:color="808080"/>
              <w:right w:val="single" w:sz="18" w:space="0" w:color="C0C0C0"/>
            </w:tcBorders>
            <w:vAlign w:val="center"/>
          </w:tcPr>
          <w:p w14:paraId="4978476F" w14:textId="77777777" w:rsidR="00DF019A" w:rsidRPr="00CE6C60" w:rsidRDefault="00DF019A" w:rsidP="00066DE4">
            <w:pPr>
              <w:spacing w:after="0" w:line="240" w:lineRule="auto"/>
              <w:jc w:val="center"/>
              <w:rPr>
                <w:rFonts w:cs="Arial"/>
                <w:sz w:val="16"/>
                <w:szCs w:val="16"/>
              </w:rPr>
            </w:pPr>
            <w:r w:rsidRPr="00CE6C60">
              <w:rPr>
                <w:rFonts w:cs="Arial"/>
                <w:sz w:val="16"/>
                <w:szCs w:val="16"/>
              </w:rPr>
              <w:t>20 May</w:t>
            </w:r>
          </w:p>
        </w:tc>
        <w:tc>
          <w:tcPr>
            <w:tcW w:w="1418" w:type="dxa"/>
            <w:vMerge w:val="restart"/>
            <w:tcBorders>
              <w:top w:val="single" w:sz="18" w:space="0" w:color="BFBFBF"/>
              <w:left w:val="single" w:sz="18" w:space="0" w:color="C0C0C0"/>
              <w:right w:val="single" w:sz="18" w:space="0" w:color="BFBFBF" w:themeColor="background1" w:themeShade="BF"/>
            </w:tcBorders>
            <w:vAlign w:val="center"/>
          </w:tcPr>
          <w:p w14:paraId="2659400C" w14:textId="77777777" w:rsidR="00DF019A" w:rsidRPr="008E7494" w:rsidRDefault="00DF019A" w:rsidP="00066DE4">
            <w:pPr>
              <w:spacing w:after="0" w:line="240" w:lineRule="auto"/>
              <w:jc w:val="center"/>
              <w:rPr>
                <w:rFonts w:cs="Arial"/>
                <w:color w:val="000000"/>
                <w:sz w:val="16"/>
                <w:szCs w:val="16"/>
              </w:rPr>
            </w:pPr>
          </w:p>
        </w:tc>
        <w:tc>
          <w:tcPr>
            <w:tcW w:w="1275" w:type="dxa"/>
            <w:vMerge w:val="restart"/>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A972A9"/>
            <w:vAlign w:val="center"/>
          </w:tcPr>
          <w:p w14:paraId="48FAD437" w14:textId="77777777" w:rsidR="00DF019A" w:rsidRPr="008E7494" w:rsidRDefault="00DF019A" w:rsidP="00066DE4">
            <w:pPr>
              <w:spacing w:after="0" w:line="240" w:lineRule="auto"/>
              <w:jc w:val="center"/>
              <w:rPr>
                <w:rFonts w:cs="Arial"/>
                <w:color w:val="000000"/>
                <w:sz w:val="16"/>
                <w:szCs w:val="16"/>
              </w:rPr>
            </w:pPr>
            <w:r w:rsidRPr="008E7494">
              <w:rPr>
                <w:rFonts w:cs="Arial"/>
                <w:color w:val="000000"/>
                <w:sz w:val="16"/>
                <w:szCs w:val="16"/>
              </w:rPr>
              <w:t>2</w:t>
            </w:r>
            <w:r>
              <w:rPr>
                <w:rFonts w:cs="Arial"/>
                <w:color w:val="000000"/>
                <w:sz w:val="16"/>
                <w:szCs w:val="16"/>
              </w:rPr>
              <w:t>1</w:t>
            </w:r>
          </w:p>
        </w:tc>
        <w:tc>
          <w:tcPr>
            <w:tcW w:w="1418" w:type="dxa"/>
            <w:vMerge w:val="restart"/>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auto"/>
            <w:vAlign w:val="center"/>
          </w:tcPr>
          <w:p w14:paraId="59AC233C" w14:textId="77777777" w:rsidR="00DF019A" w:rsidRPr="008E7494" w:rsidRDefault="00DF019A" w:rsidP="00066DE4">
            <w:pPr>
              <w:spacing w:after="0" w:line="240" w:lineRule="auto"/>
              <w:jc w:val="center"/>
              <w:rPr>
                <w:rFonts w:cs="Arial"/>
                <w:color w:val="000000"/>
                <w:sz w:val="16"/>
                <w:szCs w:val="16"/>
              </w:rPr>
            </w:pPr>
          </w:p>
        </w:tc>
        <w:tc>
          <w:tcPr>
            <w:tcW w:w="1276" w:type="dxa"/>
            <w:tcBorders>
              <w:top w:val="single" w:sz="18" w:space="0" w:color="BFBFBF" w:themeColor="background1" w:themeShade="BF"/>
              <w:left w:val="single" w:sz="18" w:space="0" w:color="BFBFBF" w:themeColor="background1" w:themeShade="BF"/>
              <w:bottom w:val="nil"/>
              <w:right w:val="single" w:sz="18" w:space="0" w:color="BFBFBF" w:themeColor="background1" w:themeShade="BF"/>
            </w:tcBorders>
            <w:shd w:val="clear" w:color="auto" w:fill="A972A9"/>
            <w:vAlign w:val="center"/>
          </w:tcPr>
          <w:p w14:paraId="3BD0AC29"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23</w:t>
            </w:r>
          </w:p>
        </w:tc>
        <w:tc>
          <w:tcPr>
            <w:tcW w:w="1559" w:type="dxa"/>
            <w:vMerge w:val="restart"/>
            <w:tcBorders>
              <w:top w:val="single" w:sz="18" w:space="0" w:color="BFBFBF"/>
              <w:left w:val="single" w:sz="18" w:space="0" w:color="BFBFBF" w:themeColor="background1" w:themeShade="BF"/>
              <w:right w:val="single" w:sz="18" w:space="0" w:color="808080"/>
            </w:tcBorders>
            <w:shd w:val="clear" w:color="auto" w:fill="A972A9"/>
            <w:vAlign w:val="center"/>
          </w:tcPr>
          <w:p w14:paraId="4F6961EF" w14:textId="77777777" w:rsidR="00DF019A" w:rsidRPr="008E7494" w:rsidRDefault="00DF019A" w:rsidP="00066DE4">
            <w:pPr>
              <w:spacing w:after="0" w:line="240" w:lineRule="auto"/>
              <w:jc w:val="center"/>
              <w:rPr>
                <w:rFonts w:cs="Arial"/>
                <w:bCs/>
                <w:sz w:val="16"/>
                <w:szCs w:val="16"/>
              </w:rPr>
            </w:pPr>
            <w:r>
              <w:rPr>
                <w:rFonts w:cs="Arial"/>
                <w:bCs/>
                <w:sz w:val="16"/>
                <w:szCs w:val="16"/>
              </w:rPr>
              <w:t>24</w:t>
            </w:r>
          </w:p>
        </w:tc>
        <w:tc>
          <w:tcPr>
            <w:tcW w:w="2806" w:type="dxa"/>
            <w:vMerge w:val="restart"/>
            <w:tcBorders>
              <w:top w:val="single" w:sz="18" w:space="0" w:color="BFBFBF"/>
              <w:left w:val="single" w:sz="18" w:space="0" w:color="808080"/>
              <w:right w:val="single" w:sz="18" w:space="0" w:color="808080"/>
            </w:tcBorders>
            <w:vAlign w:val="center"/>
          </w:tcPr>
          <w:p w14:paraId="18DEDAC7" w14:textId="77777777" w:rsidR="00DF019A" w:rsidRPr="008E7494" w:rsidRDefault="00DF019A" w:rsidP="00066DE4">
            <w:pPr>
              <w:spacing w:after="0" w:line="240" w:lineRule="auto"/>
              <w:jc w:val="center"/>
              <w:rPr>
                <w:rFonts w:cs="Arial"/>
                <w:sz w:val="16"/>
                <w:szCs w:val="16"/>
              </w:rPr>
            </w:pPr>
          </w:p>
        </w:tc>
      </w:tr>
      <w:tr w:rsidR="00DF019A" w:rsidRPr="008E7494" w14:paraId="1B4487C4" w14:textId="77777777" w:rsidTr="00066DE4">
        <w:trPr>
          <w:trHeight w:val="195"/>
          <w:jc w:val="center"/>
        </w:trPr>
        <w:tc>
          <w:tcPr>
            <w:tcW w:w="1730" w:type="dxa"/>
            <w:vMerge/>
            <w:tcBorders>
              <w:left w:val="single" w:sz="18" w:space="0" w:color="808080"/>
              <w:right w:val="single" w:sz="18" w:space="0" w:color="C0C0C0"/>
            </w:tcBorders>
            <w:vAlign w:val="center"/>
          </w:tcPr>
          <w:p w14:paraId="0067CE29" w14:textId="77777777" w:rsidR="00DF019A" w:rsidRPr="00CE6C60" w:rsidRDefault="00DF019A" w:rsidP="00066DE4">
            <w:pPr>
              <w:spacing w:after="0" w:line="240" w:lineRule="auto"/>
              <w:jc w:val="center"/>
              <w:rPr>
                <w:rFonts w:cs="Arial"/>
                <w:sz w:val="16"/>
                <w:szCs w:val="16"/>
              </w:rPr>
            </w:pPr>
          </w:p>
        </w:tc>
        <w:tc>
          <w:tcPr>
            <w:tcW w:w="1418" w:type="dxa"/>
            <w:vMerge/>
            <w:tcBorders>
              <w:left w:val="single" w:sz="18" w:space="0" w:color="C0C0C0"/>
              <w:right w:val="single" w:sz="18" w:space="0" w:color="BFBFBF" w:themeColor="background1" w:themeShade="BF"/>
            </w:tcBorders>
            <w:vAlign w:val="center"/>
          </w:tcPr>
          <w:p w14:paraId="295CAF0C" w14:textId="77777777" w:rsidR="00DF019A" w:rsidRPr="008E7494" w:rsidRDefault="00DF019A" w:rsidP="00066DE4">
            <w:pPr>
              <w:spacing w:after="0" w:line="240" w:lineRule="auto"/>
              <w:jc w:val="center"/>
              <w:rPr>
                <w:rFonts w:cs="Arial"/>
                <w:color w:val="000000"/>
                <w:sz w:val="16"/>
                <w:szCs w:val="16"/>
              </w:rPr>
            </w:pPr>
          </w:p>
        </w:tc>
        <w:tc>
          <w:tcPr>
            <w:tcW w:w="1275" w:type="dxa"/>
            <w:vMerge/>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972A9"/>
            <w:vAlign w:val="center"/>
          </w:tcPr>
          <w:p w14:paraId="63B42305" w14:textId="77777777" w:rsidR="00DF019A" w:rsidRPr="008E7494" w:rsidRDefault="00DF019A" w:rsidP="00066DE4">
            <w:pPr>
              <w:spacing w:after="0" w:line="240" w:lineRule="auto"/>
              <w:jc w:val="center"/>
              <w:rPr>
                <w:rFonts w:cs="Arial"/>
                <w:color w:val="000000"/>
                <w:sz w:val="16"/>
                <w:szCs w:val="16"/>
              </w:rPr>
            </w:pPr>
          </w:p>
        </w:tc>
        <w:tc>
          <w:tcPr>
            <w:tcW w:w="1418" w:type="dxa"/>
            <w:vMerge/>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uto"/>
            <w:vAlign w:val="center"/>
          </w:tcPr>
          <w:p w14:paraId="10B05FDE" w14:textId="77777777" w:rsidR="00DF019A" w:rsidRDefault="00DF019A" w:rsidP="00066DE4">
            <w:pPr>
              <w:spacing w:after="0" w:line="240" w:lineRule="auto"/>
              <w:jc w:val="center"/>
              <w:rPr>
                <w:rFonts w:cs="Arial"/>
                <w:color w:val="000000"/>
                <w:sz w:val="16"/>
                <w:szCs w:val="16"/>
              </w:rPr>
            </w:pPr>
          </w:p>
        </w:tc>
        <w:tc>
          <w:tcPr>
            <w:tcW w:w="1276" w:type="dxa"/>
            <w:tcBorders>
              <w:top w:val="nil"/>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768968"/>
            <w:vAlign w:val="center"/>
          </w:tcPr>
          <w:p w14:paraId="595A9473" w14:textId="77777777" w:rsidR="00DF019A" w:rsidRDefault="00DF019A" w:rsidP="00066DE4">
            <w:pPr>
              <w:spacing w:after="0" w:line="240" w:lineRule="auto"/>
              <w:jc w:val="center"/>
              <w:rPr>
                <w:rFonts w:cs="Arial"/>
                <w:color w:val="000000"/>
                <w:sz w:val="16"/>
                <w:szCs w:val="16"/>
              </w:rPr>
            </w:pPr>
            <w:r>
              <w:rPr>
                <w:rFonts w:cs="Arial"/>
                <w:color w:val="000000"/>
                <w:sz w:val="16"/>
                <w:szCs w:val="16"/>
              </w:rPr>
              <w:t>23</w:t>
            </w:r>
          </w:p>
        </w:tc>
        <w:tc>
          <w:tcPr>
            <w:tcW w:w="1559" w:type="dxa"/>
            <w:vMerge/>
            <w:tcBorders>
              <w:left w:val="single" w:sz="18" w:space="0" w:color="BFBFBF" w:themeColor="background1" w:themeShade="BF"/>
              <w:right w:val="single" w:sz="18" w:space="0" w:color="808080"/>
            </w:tcBorders>
            <w:shd w:val="clear" w:color="auto" w:fill="A972A9"/>
            <w:vAlign w:val="center"/>
          </w:tcPr>
          <w:p w14:paraId="02FDE097" w14:textId="77777777" w:rsidR="00DF019A" w:rsidRPr="008E7494" w:rsidRDefault="00DF019A" w:rsidP="00066DE4">
            <w:pPr>
              <w:spacing w:after="0" w:line="240" w:lineRule="auto"/>
              <w:jc w:val="center"/>
              <w:rPr>
                <w:rFonts w:cs="Arial"/>
                <w:bCs/>
                <w:sz w:val="16"/>
                <w:szCs w:val="16"/>
              </w:rPr>
            </w:pPr>
          </w:p>
        </w:tc>
        <w:tc>
          <w:tcPr>
            <w:tcW w:w="2806" w:type="dxa"/>
            <w:vMerge/>
            <w:tcBorders>
              <w:left w:val="single" w:sz="18" w:space="0" w:color="808080"/>
              <w:right w:val="single" w:sz="18" w:space="0" w:color="808080"/>
            </w:tcBorders>
            <w:vAlign w:val="center"/>
          </w:tcPr>
          <w:p w14:paraId="609DA80B" w14:textId="77777777" w:rsidR="00DF019A" w:rsidRPr="008E7494" w:rsidRDefault="00DF019A" w:rsidP="00066DE4">
            <w:pPr>
              <w:spacing w:after="0" w:line="240" w:lineRule="auto"/>
              <w:jc w:val="center"/>
              <w:rPr>
                <w:rFonts w:cs="Arial"/>
                <w:sz w:val="16"/>
                <w:szCs w:val="16"/>
              </w:rPr>
            </w:pPr>
          </w:p>
        </w:tc>
      </w:tr>
      <w:tr w:rsidR="00DF019A" w:rsidRPr="008E7494" w14:paraId="02D7EA59" w14:textId="77777777" w:rsidTr="00066DE4">
        <w:trPr>
          <w:trHeight w:val="397"/>
          <w:jc w:val="center"/>
        </w:trPr>
        <w:tc>
          <w:tcPr>
            <w:tcW w:w="1730" w:type="dxa"/>
            <w:tcBorders>
              <w:top w:val="single" w:sz="18" w:space="0" w:color="BFBFBF" w:themeColor="background1" w:themeShade="BF"/>
              <w:left w:val="single" w:sz="18" w:space="0" w:color="808080"/>
              <w:right w:val="single" w:sz="18" w:space="0" w:color="C0C0C0"/>
            </w:tcBorders>
            <w:vAlign w:val="center"/>
          </w:tcPr>
          <w:p w14:paraId="2F19258C" w14:textId="77777777" w:rsidR="00DF019A" w:rsidRPr="008E7494" w:rsidRDefault="00DF019A" w:rsidP="00066DE4">
            <w:pPr>
              <w:spacing w:after="0" w:line="240" w:lineRule="auto"/>
              <w:jc w:val="center"/>
              <w:rPr>
                <w:rFonts w:cs="Arial"/>
                <w:sz w:val="16"/>
                <w:szCs w:val="16"/>
              </w:rPr>
            </w:pPr>
            <w:r w:rsidRPr="008E7494">
              <w:rPr>
                <w:rFonts w:cs="Arial"/>
                <w:sz w:val="16"/>
                <w:szCs w:val="16"/>
              </w:rPr>
              <w:t>2</w:t>
            </w:r>
            <w:r>
              <w:rPr>
                <w:rFonts w:cs="Arial"/>
                <w:sz w:val="16"/>
                <w:szCs w:val="16"/>
              </w:rPr>
              <w:t>7</w:t>
            </w:r>
            <w:r w:rsidRPr="008E7494">
              <w:rPr>
                <w:rFonts w:cs="Arial"/>
                <w:sz w:val="16"/>
                <w:szCs w:val="16"/>
              </w:rPr>
              <w:t xml:space="preserve"> May</w:t>
            </w:r>
          </w:p>
        </w:tc>
        <w:tc>
          <w:tcPr>
            <w:tcW w:w="1418" w:type="dxa"/>
            <w:tcBorders>
              <w:top w:val="single" w:sz="18" w:space="0" w:color="BFBFBF" w:themeColor="background1" w:themeShade="BF"/>
              <w:left w:val="single" w:sz="18" w:space="0" w:color="C0C0C0"/>
              <w:right w:val="single" w:sz="18" w:space="0" w:color="BFBFBF" w:themeColor="background1" w:themeShade="BF"/>
            </w:tcBorders>
            <w:vAlign w:val="center"/>
          </w:tcPr>
          <w:p w14:paraId="72C2404D" w14:textId="77777777" w:rsidR="00DF019A" w:rsidRPr="008E7494" w:rsidRDefault="00DF019A" w:rsidP="00066DE4">
            <w:pPr>
              <w:spacing w:after="0" w:line="240" w:lineRule="auto"/>
              <w:jc w:val="center"/>
              <w:rPr>
                <w:rFonts w:cs="Arial"/>
                <w:color w:val="000000"/>
                <w:sz w:val="16"/>
                <w:szCs w:val="16"/>
              </w:rPr>
            </w:pPr>
          </w:p>
        </w:tc>
        <w:tc>
          <w:tcPr>
            <w:tcW w:w="1275" w:type="dxa"/>
            <w:tcBorders>
              <w:top w:val="single" w:sz="18" w:space="0" w:color="BFBFBF" w:themeColor="background1" w:themeShade="BF"/>
              <w:left w:val="single" w:sz="18" w:space="0" w:color="BFBFBF" w:themeColor="background1" w:themeShade="BF"/>
              <w:bottom w:val="single" w:sz="18" w:space="0" w:color="808080" w:themeColor="background1" w:themeShade="80"/>
              <w:right w:val="single" w:sz="18" w:space="0" w:color="BFBFBF" w:themeColor="background1" w:themeShade="BF"/>
            </w:tcBorders>
            <w:shd w:val="clear" w:color="auto" w:fill="A64D2C"/>
            <w:vAlign w:val="center"/>
          </w:tcPr>
          <w:p w14:paraId="2129BF03" w14:textId="77777777" w:rsidR="00DF019A" w:rsidRPr="008E7494" w:rsidRDefault="00DF019A" w:rsidP="00066DE4">
            <w:pPr>
              <w:spacing w:after="0" w:line="240" w:lineRule="auto"/>
              <w:jc w:val="center"/>
              <w:rPr>
                <w:rFonts w:cs="Arial"/>
                <w:color w:val="000000"/>
                <w:sz w:val="16"/>
                <w:szCs w:val="16"/>
              </w:rPr>
            </w:pPr>
            <w:r w:rsidRPr="008E7494">
              <w:rPr>
                <w:rFonts w:cs="Arial"/>
                <w:color w:val="000000"/>
                <w:sz w:val="16"/>
                <w:szCs w:val="16"/>
              </w:rPr>
              <w:t>2</w:t>
            </w:r>
            <w:r>
              <w:rPr>
                <w:rFonts w:cs="Arial"/>
                <w:color w:val="000000"/>
                <w:sz w:val="16"/>
                <w:szCs w:val="16"/>
              </w:rPr>
              <w:t>8</w:t>
            </w:r>
          </w:p>
        </w:tc>
        <w:tc>
          <w:tcPr>
            <w:tcW w:w="1418" w:type="dxa"/>
            <w:tcBorders>
              <w:top w:val="single" w:sz="18" w:space="0" w:color="BFBFBF" w:themeColor="background1" w:themeShade="BF"/>
              <w:left w:val="single" w:sz="18" w:space="0" w:color="BFBFBF" w:themeColor="background1" w:themeShade="BF"/>
              <w:bottom w:val="single" w:sz="18" w:space="0" w:color="808080" w:themeColor="background1" w:themeShade="80"/>
              <w:right w:val="single" w:sz="18" w:space="0" w:color="BFBFBF" w:themeColor="background1" w:themeShade="BF"/>
            </w:tcBorders>
            <w:shd w:val="clear" w:color="auto" w:fill="A64D2C"/>
            <w:vAlign w:val="center"/>
          </w:tcPr>
          <w:p w14:paraId="5991A570"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29</w:t>
            </w:r>
          </w:p>
        </w:tc>
        <w:tc>
          <w:tcPr>
            <w:tcW w:w="1276" w:type="dxa"/>
            <w:tcBorders>
              <w:top w:val="single" w:sz="18" w:space="0" w:color="BFBFBF" w:themeColor="background1" w:themeShade="BF"/>
              <w:left w:val="single" w:sz="18" w:space="0" w:color="BFBFBF" w:themeColor="background1" w:themeShade="BF"/>
              <w:bottom w:val="single" w:sz="18" w:space="0" w:color="808080" w:themeColor="background1" w:themeShade="80"/>
              <w:right w:val="single" w:sz="18" w:space="0" w:color="BFBFBF" w:themeColor="background1" w:themeShade="BF"/>
            </w:tcBorders>
            <w:shd w:val="clear" w:color="auto" w:fill="A64D2C"/>
            <w:vAlign w:val="center"/>
          </w:tcPr>
          <w:p w14:paraId="4384A13D"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30</w:t>
            </w:r>
          </w:p>
        </w:tc>
        <w:tc>
          <w:tcPr>
            <w:tcW w:w="1559" w:type="dxa"/>
            <w:tcBorders>
              <w:top w:val="single" w:sz="18" w:space="0" w:color="BFBFBF" w:themeColor="background1" w:themeShade="BF"/>
              <w:left w:val="single" w:sz="18" w:space="0" w:color="BFBFBF" w:themeColor="background1" w:themeShade="BF"/>
              <w:right w:val="single" w:sz="18" w:space="0" w:color="808080"/>
            </w:tcBorders>
            <w:vAlign w:val="center"/>
          </w:tcPr>
          <w:p w14:paraId="522A7C0C" w14:textId="77777777" w:rsidR="00DF019A" w:rsidRPr="008E7494" w:rsidRDefault="00DF019A" w:rsidP="00066DE4">
            <w:pPr>
              <w:spacing w:after="0" w:line="240" w:lineRule="auto"/>
              <w:jc w:val="center"/>
              <w:rPr>
                <w:rFonts w:cs="Arial"/>
                <w:bCs/>
                <w:sz w:val="16"/>
                <w:szCs w:val="16"/>
              </w:rPr>
            </w:pPr>
          </w:p>
        </w:tc>
        <w:tc>
          <w:tcPr>
            <w:tcW w:w="2806" w:type="dxa"/>
            <w:tcBorders>
              <w:top w:val="single" w:sz="18" w:space="0" w:color="BFBFBF" w:themeColor="background1" w:themeShade="BF"/>
              <w:left w:val="single" w:sz="18" w:space="0" w:color="808080"/>
              <w:right w:val="single" w:sz="18" w:space="0" w:color="808080"/>
            </w:tcBorders>
            <w:vAlign w:val="center"/>
          </w:tcPr>
          <w:p w14:paraId="42E5BEDD" w14:textId="77777777" w:rsidR="00DF019A" w:rsidRPr="008E7494" w:rsidRDefault="00DF019A" w:rsidP="00066DE4">
            <w:pPr>
              <w:spacing w:after="0" w:line="240" w:lineRule="auto"/>
              <w:jc w:val="center"/>
              <w:rPr>
                <w:rFonts w:cs="Arial"/>
                <w:color w:val="000000"/>
                <w:sz w:val="16"/>
                <w:szCs w:val="16"/>
                <w:u w:val="double"/>
              </w:rPr>
            </w:pPr>
          </w:p>
        </w:tc>
      </w:tr>
      <w:tr w:rsidR="00DF019A" w:rsidRPr="008E7494" w14:paraId="6241D846" w14:textId="77777777" w:rsidTr="00066DE4">
        <w:trPr>
          <w:trHeight w:hRule="exact" w:val="284"/>
          <w:jc w:val="center"/>
        </w:trPr>
        <w:tc>
          <w:tcPr>
            <w:tcW w:w="1730" w:type="dxa"/>
            <w:vMerge w:val="restart"/>
            <w:tcBorders>
              <w:top w:val="single" w:sz="18" w:space="0" w:color="808080"/>
              <w:left w:val="single" w:sz="18" w:space="0" w:color="808080"/>
              <w:right w:val="single" w:sz="18" w:space="0" w:color="C0C0C0"/>
            </w:tcBorders>
            <w:vAlign w:val="center"/>
          </w:tcPr>
          <w:p w14:paraId="30460571" w14:textId="77777777" w:rsidR="00DF019A" w:rsidRPr="008E7494" w:rsidRDefault="00DF019A" w:rsidP="00066DE4">
            <w:pPr>
              <w:spacing w:after="0" w:line="240" w:lineRule="auto"/>
              <w:jc w:val="center"/>
              <w:rPr>
                <w:rFonts w:cs="Arial"/>
                <w:sz w:val="16"/>
                <w:szCs w:val="16"/>
              </w:rPr>
            </w:pPr>
            <w:r>
              <w:rPr>
                <w:rFonts w:cs="Arial"/>
                <w:sz w:val="16"/>
                <w:szCs w:val="16"/>
              </w:rPr>
              <w:t>3</w:t>
            </w:r>
            <w:r w:rsidRPr="008E7494">
              <w:rPr>
                <w:rFonts w:cs="Arial"/>
                <w:sz w:val="16"/>
                <w:szCs w:val="16"/>
              </w:rPr>
              <w:t xml:space="preserve"> June</w:t>
            </w:r>
          </w:p>
        </w:tc>
        <w:tc>
          <w:tcPr>
            <w:tcW w:w="1418" w:type="dxa"/>
            <w:vMerge w:val="restart"/>
            <w:tcBorders>
              <w:top w:val="single" w:sz="18" w:space="0" w:color="808080"/>
              <w:left w:val="single" w:sz="18" w:space="0" w:color="C0C0C0"/>
              <w:right w:val="single" w:sz="18" w:space="0" w:color="BFBFBF" w:themeColor="background1" w:themeShade="BF"/>
            </w:tcBorders>
            <w:vAlign w:val="center"/>
          </w:tcPr>
          <w:p w14:paraId="094B80DF" w14:textId="77777777" w:rsidR="00DF019A" w:rsidRPr="008E7494" w:rsidRDefault="00DF019A" w:rsidP="00066DE4">
            <w:pPr>
              <w:spacing w:after="0" w:line="240" w:lineRule="auto"/>
              <w:jc w:val="center"/>
              <w:rPr>
                <w:rFonts w:cs="Arial"/>
                <w:sz w:val="16"/>
                <w:szCs w:val="16"/>
              </w:rPr>
            </w:pPr>
            <w:r w:rsidRPr="008E7494">
              <w:rPr>
                <w:rFonts w:cs="Arial"/>
                <w:color w:val="000000"/>
                <w:sz w:val="16"/>
                <w:szCs w:val="16"/>
              </w:rPr>
              <w:t>Public Holiday</w:t>
            </w:r>
          </w:p>
        </w:tc>
        <w:tc>
          <w:tcPr>
            <w:tcW w:w="1275" w:type="dxa"/>
            <w:tcBorders>
              <w:top w:val="single" w:sz="18" w:space="0" w:color="808080" w:themeColor="background1" w:themeShade="80"/>
              <w:left w:val="single" w:sz="18" w:space="0" w:color="BFBFBF" w:themeColor="background1" w:themeShade="BF"/>
              <w:bottom w:val="nil"/>
              <w:right w:val="single" w:sz="18" w:space="0" w:color="BFBFBF" w:themeColor="background1" w:themeShade="BF"/>
            </w:tcBorders>
            <w:shd w:val="clear" w:color="auto" w:fill="A972A9"/>
            <w:vAlign w:val="center"/>
          </w:tcPr>
          <w:p w14:paraId="309B93B3" w14:textId="77777777" w:rsidR="00DF019A" w:rsidRPr="008E7494" w:rsidRDefault="00DF019A" w:rsidP="00066DE4">
            <w:pPr>
              <w:spacing w:after="0"/>
              <w:jc w:val="center"/>
              <w:rPr>
                <w:rFonts w:cs="Arial"/>
                <w:color w:val="000000"/>
                <w:sz w:val="16"/>
                <w:szCs w:val="16"/>
              </w:rPr>
            </w:pPr>
            <w:r>
              <w:rPr>
                <w:rFonts w:cs="Arial"/>
                <w:color w:val="000000"/>
                <w:sz w:val="16"/>
                <w:szCs w:val="16"/>
              </w:rPr>
              <w:t>4</w:t>
            </w:r>
          </w:p>
        </w:tc>
        <w:tc>
          <w:tcPr>
            <w:tcW w:w="1418" w:type="dxa"/>
            <w:vMerge w:val="restart"/>
            <w:tcBorders>
              <w:top w:val="single" w:sz="18" w:space="0" w:color="808080" w:themeColor="background1" w:themeShade="80"/>
              <w:left w:val="single" w:sz="18" w:space="0" w:color="BFBFBF" w:themeColor="background1" w:themeShade="BF"/>
              <w:right w:val="single" w:sz="18" w:space="0" w:color="BFBFBF" w:themeColor="background1" w:themeShade="BF"/>
            </w:tcBorders>
            <w:shd w:val="clear" w:color="auto" w:fill="A972A9"/>
            <w:vAlign w:val="center"/>
          </w:tcPr>
          <w:p w14:paraId="5B7E05B4" w14:textId="77777777" w:rsidR="00DF019A" w:rsidRPr="008E7494" w:rsidRDefault="00DF019A" w:rsidP="00066DE4">
            <w:pPr>
              <w:spacing w:after="0"/>
              <w:jc w:val="center"/>
              <w:rPr>
                <w:rFonts w:cs="Arial"/>
                <w:sz w:val="16"/>
                <w:szCs w:val="16"/>
              </w:rPr>
            </w:pPr>
            <w:r>
              <w:rPr>
                <w:rFonts w:cs="Arial"/>
                <w:sz w:val="16"/>
                <w:szCs w:val="16"/>
              </w:rPr>
              <w:t>5</w:t>
            </w:r>
          </w:p>
        </w:tc>
        <w:tc>
          <w:tcPr>
            <w:tcW w:w="1276" w:type="dxa"/>
            <w:vMerge w:val="restart"/>
            <w:tcBorders>
              <w:top w:val="single" w:sz="18" w:space="0" w:color="808080" w:themeColor="background1" w:themeShade="80"/>
              <w:left w:val="single" w:sz="18" w:space="0" w:color="BFBFBF" w:themeColor="background1" w:themeShade="BF"/>
              <w:right w:val="single" w:sz="18" w:space="0" w:color="BFBFBF" w:themeColor="background1" w:themeShade="BF"/>
            </w:tcBorders>
            <w:shd w:val="clear" w:color="auto" w:fill="A972A9"/>
            <w:vAlign w:val="center"/>
          </w:tcPr>
          <w:p w14:paraId="0CADB5C4" w14:textId="77777777" w:rsidR="00DF019A" w:rsidRPr="008E7494" w:rsidRDefault="00DF019A" w:rsidP="00066DE4">
            <w:pPr>
              <w:spacing w:after="0" w:line="240" w:lineRule="auto"/>
              <w:jc w:val="center"/>
              <w:rPr>
                <w:rFonts w:cs="Arial"/>
                <w:sz w:val="16"/>
                <w:szCs w:val="16"/>
              </w:rPr>
            </w:pPr>
            <w:r>
              <w:rPr>
                <w:rFonts w:cs="Arial"/>
                <w:sz w:val="16"/>
                <w:szCs w:val="16"/>
              </w:rPr>
              <w:t>6</w:t>
            </w:r>
          </w:p>
        </w:tc>
        <w:tc>
          <w:tcPr>
            <w:tcW w:w="1559" w:type="dxa"/>
            <w:vMerge w:val="restart"/>
            <w:tcBorders>
              <w:top w:val="single" w:sz="18" w:space="0" w:color="808080"/>
              <w:left w:val="single" w:sz="18" w:space="0" w:color="BFBFBF" w:themeColor="background1" w:themeShade="BF"/>
              <w:right w:val="single" w:sz="18" w:space="0" w:color="808080"/>
            </w:tcBorders>
            <w:vAlign w:val="center"/>
          </w:tcPr>
          <w:p w14:paraId="7F22DED7" w14:textId="77777777" w:rsidR="00DF019A" w:rsidRPr="008E7494" w:rsidRDefault="00DF019A" w:rsidP="00066DE4">
            <w:pPr>
              <w:spacing w:after="0" w:line="240" w:lineRule="auto"/>
              <w:jc w:val="center"/>
              <w:rPr>
                <w:rFonts w:cs="Arial"/>
                <w:bCs/>
                <w:sz w:val="16"/>
                <w:szCs w:val="16"/>
              </w:rPr>
            </w:pPr>
          </w:p>
        </w:tc>
        <w:tc>
          <w:tcPr>
            <w:tcW w:w="2806" w:type="dxa"/>
            <w:vMerge w:val="restart"/>
            <w:tcBorders>
              <w:top w:val="single" w:sz="18" w:space="0" w:color="808080"/>
              <w:left w:val="single" w:sz="18" w:space="0" w:color="808080"/>
              <w:right w:val="single" w:sz="18" w:space="0" w:color="808080"/>
            </w:tcBorders>
            <w:vAlign w:val="center"/>
          </w:tcPr>
          <w:p w14:paraId="77CBD89C"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3</w:t>
            </w:r>
            <w:r w:rsidRPr="008E7494">
              <w:rPr>
                <w:rFonts w:cs="Arial"/>
                <w:color w:val="000000"/>
                <w:sz w:val="16"/>
                <w:szCs w:val="16"/>
              </w:rPr>
              <w:t xml:space="preserve"> Mabo Day - Doomadgee</w:t>
            </w:r>
          </w:p>
        </w:tc>
      </w:tr>
      <w:tr w:rsidR="00DF019A" w:rsidRPr="008E7494" w14:paraId="5679A7D7" w14:textId="77777777" w:rsidTr="00066DE4">
        <w:trPr>
          <w:trHeight w:val="120"/>
          <w:jc w:val="center"/>
        </w:trPr>
        <w:tc>
          <w:tcPr>
            <w:tcW w:w="1730" w:type="dxa"/>
            <w:vMerge/>
            <w:tcBorders>
              <w:left w:val="single" w:sz="18" w:space="0" w:color="808080"/>
              <w:right w:val="single" w:sz="18" w:space="0" w:color="C0C0C0"/>
            </w:tcBorders>
            <w:vAlign w:val="center"/>
          </w:tcPr>
          <w:p w14:paraId="1312DC29" w14:textId="77777777" w:rsidR="00DF019A" w:rsidRPr="008E7494" w:rsidRDefault="00DF019A" w:rsidP="00066DE4">
            <w:pPr>
              <w:spacing w:after="0" w:line="240" w:lineRule="auto"/>
              <w:jc w:val="center"/>
              <w:rPr>
                <w:rFonts w:cs="Arial"/>
                <w:sz w:val="16"/>
                <w:szCs w:val="16"/>
              </w:rPr>
            </w:pPr>
          </w:p>
        </w:tc>
        <w:tc>
          <w:tcPr>
            <w:tcW w:w="1418" w:type="dxa"/>
            <w:vMerge/>
            <w:tcBorders>
              <w:left w:val="single" w:sz="18" w:space="0" w:color="C0C0C0"/>
              <w:right w:val="single" w:sz="18" w:space="0" w:color="BFBFBF" w:themeColor="background1" w:themeShade="BF"/>
            </w:tcBorders>
            <w:vAlign w:val="center"/>
          </w:tcPr>
          <w:p w14:paraId="5594C57E" w14:textId="77777777" w:rsidR="00DF019A" w:rsidRPr="008E7494" w:rsidRDefault="00DF019A" w:rsidP="00066DE4">
            <w:pPr>
              <w:spacing w:after="0" w:line="240" w:lineRule="auto"/>
              <w:jc w:val="center"/>
              <w:rPr>
                <w:rFonts w:cs="Arial"/>
                <w:sz w:val="16"/>
                <w:szCs w:val="16"/>
              </w:rPr>
            </w:pPr>
          </w:p>
        </w:tc>
        <w:tc>
          <w:tcPr>
            <w:tcW w:w="1275" w:type="dxa"/>
            <w:tcBorders>
              <w:top w:val="nil"/>
              <w:left w:val="single" w:sz="18" w:space="0" w:color="BFBFBF" w:themeColor="background1" w:themeShade="BF"/>
              <w:bottom w:val="nil"/>
              <w:right w:val="single" w:sz="18" w:space="0" w:color="BFBFBF" w:themeColor="background1" w:themeShade="BF"/>
            </w:tcBorders>
            <w:shd w:val="clear" w:color="auto" w:fill="DDB136"/>
            <w:vAlign w:val="center"/>
          </w:tcPr>
          <w:p w14:paraId="4769603E" w14:textId="77777777" w:rsidR="00DF019A" w:rsidRPr="008E7494" w:rsidRDefault="00DF019A" w:rsidP="00066DE4">
            <w:pPr>
              <w:spacing w:after="0"/>
              <w:jc w:val="center"/>
              <w:rPr>
                <w:rFonts w:cs="Arial"/>
                <w:color w:val="000000"/>
                <w:sz w:val="16"/>
                <w:szCs w:val="16"/>
              </w:rPr>
            </w:pPr>
            <w:r>
              <w:rPr>
                <w:rFonts w:cs="Arial"/>
                <w:color w:val="000000"/>
                <w:sz w:val="16"/>
                <w:szCs w:val="16"/>
              </w:rPr>
              <w:t>4</w:t>
            </w:r>
          </w:p>
        </w:tc>
        <w:tc>
          <w:tcPr>
            <w:tcW w:w="1418" w:type="dxa"/>
            <w:vMerge/>
            <w:tcBorders>
              <w:left w:val="single" w:sz="18" w:space="0" w:color="BFBFBF" w:themeColor="background1" w:themeShade="BF"/>
              <w:right w:val="single" w:sz="18" w:space="0" w:color="BFBFBF" w:themeColor="background1" w:themeShade="BF"/>
            </w:tcBorders>
            <w:vAlign w:val="center"/>
          </w:tcPr>
          <w:p w14:paraId="309E12D3" w14:textId="77777777" w:rsidR="00DF019A" w:rsidRPr="008E7494" w:rsidRDefault="00DF019A" w:rsidP="00066DE4">
            <w:pPr>
              <w:spacing w:after="0"/>
              <w:jc w:val="center"/>
              <w:rPr>
                <w:rFonts w:cs="Arial"/>
                <w:sz w:val="16"/>
                <w:szCs w:val="16"/>
              </w:rPr>
            </w:pPr>
          </w:p>
        </w:tc>
        <w:tc>
          <w:tcPr>
            <w:tcW w:w="1276" w:type="dxa"/>
            <w:vMerge/>
            <w:tcBorders>
              <w:left w:val="single" w:sz="18" w:space="0" w:color="BFBFBF" w:themeColor="background1" w:themeShade="BF"/>
              <w:right w:val="single" w:sz="18" w:space="0" w:color="BFBFBF" w:themeColor="background1" w:themeShade="BF"/>
            </w:tcBorders>
            <w:shd w:val="clear" w:color="auto" w:fill="768968"/>
            <w:vAlign w:val="center"/>
          </w:tcPr>
          <w:p w14:paraId="3B44FC7F" w14:textId="77777777" w:rsidR="00DF019A" w:rsidRPr="008E7494" w:rsidRDefault="00DF019A" w:rsidP="00066DE4">
            <w:pPr>
              <w:spacing w:after="0" w:line="240" w:lineRule="auto"/>
              <w:jc w:val="center"/>
              <w:rPr>
                <w:rFonts w:cs="Arial"/>
                <w:sz w:val="16"/>
                <w:szCs w:val="16"/>
              </w:rPr>
            </w:pPr>
          </w:p>
        </w:tc>
        <w:tc>
          <w:tcPr>
            <w:tcW w:w="1559" w:type="dxa"/>
            <w:vMerge/>
            <w:tcBorders>
              <w:left w:val="single" w:sz="18" w:space="0" w:color="BFBFBF" w:themeColor="background1" w:themeShade="BF"/>
              <w:right w:val="single" w:sz="18" w:space="0" w:color="808080"/>
            </w:tcBorders>
            <w:vAlign w:val="center"/>
          </w:tcPr>
          <w:p w14:paraId="609777CA" w14:textId="77777777" w:rsidR="00DF019A" w:rsidRPr="008E7494" w:rsidRDefault="00DF019A" w:rsidP="00066DE4">
            <w:pPr>
              <w:spacing w:after="0" w:line="240" w:lineRule="auto"/>
              <w:jc w:val="center"/>
              <w:rPr>
                <w:rFonts w:cs="Arial"/>
                <w:bCs/>
                <w:sz w:val="16"/>
                <w:szCs w:val="16"/>
              </w:rPr>
            </w:pPr>
          </w:p>
        </w:tc>
        <w:tc>
          <w:tcPr>
            <w:tcW w:w="2806" w:type="dxa"/>
            <w:vMerge/>
            <w:tcBorders>
              <w:left w:val="single" w:sz="18" w:space="0" w:color="808080"/>
              <w:right w:val="single" w:sz="18" w:space="0" w:color="808080"/>
            </w:tcBorders>
            <w:vAlign w:val="center"/>
          </w:tcPr>
          <w:p w14:paraId="2DDB708D" w14:textId="77777777" w:rsidR="00DF019A" w:rsidRPr="008E7494" w:rsidRDefault="00DF019A" w:rsidP="00066DE4">
            <w:pPr>
              <w:spacing w:after="0" w:line="240" w:lineRule="auto"/>
              <w:jc w:val="center"/>
              <w:rPr>
                <w:rFonts w:cs="Arial"/>
                <w:color w:val="000000"/>
                <w:sz w:val="16"/>
                <w:szCs w:val="16"/>
              </w:rPr>
            </w:pPr>
          </w:p>
        </w:tc>
      </w:tr>
      <w:tr w:rsidR="00DF019A" w:rsidRPr="008E7494" w14:paraId="507DF76B" w14:textId="77777777" w:rsidTr="00066DE4">
        <w:trPr>
          <w:trHeight w:hRule="exact" w:val="282"/>
          <w:jc w:val="center"/>
        </w:trPr>
        <w:tc>
          <w:tcPr>
            <w:tcW w:w="1730" w:type="dxa"/>
            <w:vMerge/>
            <w:tcBorders>
              <w:left w:val="single" w:sz="18" w:space="0" w:color="808080"/>
              <w:bottom w:val="single" w:sz="18" w:space="0" w:color="FFFFFF"/>
              <w:right w:val="single" w:sz="18" w:space="0" w:color="C0C0C0"/>
            </w:tcBorders>
            <w:vAlign w:val="center"/>
          </w:tcPr>
          <w:p w14:paraId="1428BC0C" w14:textId="77777777" w:rsidR="00DF019A" w:rsidRPr="008E7494" w:rsidRDefault="00DF019A" w:rsidP="00066DE4">
            <w:pPr>
              <w:spacing w:after="0" w:line="240" w:lineRule="auto"/>
              <w:jc w:val="center"/>
              <w:rPr>
                <w:rFonts w:cs="Arial"/>
                <w:sz w:val="16"/>
                <w:szCs w:val="16"/>
              </w:rPr>
            </w:pPr>
          </w:p>
        </w:tc>
        <w:tc>
          <w:tcPr>
            <w:tcW w:w="1418" w:type="dxa"/>
            <w:vMerge/>
            <w:tcBorders>
              <w:left w:val="single" w:sz="18" w:space="0" w:color="C0C0C0"/>
              <w:bottom w:val="single" w:sz="18" w:space="0" w:color="FFFFFF"/>
              <w:right w:val="single" w:sz="18" w:space="0" w:color="BFBFBF" w:themeColor="background1" w:themeShade="BF"/>
            </w:tcBorders>
            <w:vAlign w:val="center"/>
          </w:tcPr>
          <w:p w14:paraId="79C2E322" w14:textId="77777777" w:rsidR="00DF019A" w:rsidRPr="008E7494" w:rsidRDefault="00DF019A" w:rsidP="00066DE4">
            <w:pPr>
              <w:spacing w:after="0" w:line="240" w:lineRule="auto"/>
              <w:jc w:val="center"/>
              <w:rPr>
                <w:rFonts w:cs="Arial"/>
                <w:sz w:val="16"/>
                <w:szCs w:val="16"/>
              </w:rPr>
            </w:pPr>
          </w:p>
        </w:tc>
        <w:tc>
          <w:tcPr>
            <w:tcW w:w="1275" w:type="dxa"/>
            <w:tcBorders>
              <w:top w:val="nil"/>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768968"/>
            <w:vAlign w:val="center"/>
          </w:tcPr>
          <w:p w14:paraId="44909A32" w14:textId="77777777" w:rsidR="00DF019A" w:rsidRDefault="00DF019A" w:rsidP="00066DE4">
            <w:pPr>
              <w:spacing w:after="0"/>
              <w:jc w:val="center"/>
              <w:rPr>
                <w:rFonts w:cs="Arial"/>
                <w:color w:val="000000"/>
                <w:sz w:val="16"/>
                <w:szCs w:val="16"/>
              </w:rPr>
            </w:pPr>
            <w:r>
              <w:rPr>
                <w:rFonts w:cs="Arial"/>
                <w:color w:val="000000"/>
                <w:sz w:val="16"/>
                <w:szCs w:val="16"/>
              </w:rPr>
              <w:t>4</w:t>
            </w:r>
          </w:p>
        </w:tc>
        <w:tc>
          <w:tcPr>
            <w:tcW w:w="1418" w:type="dxa"/>
            <w:vMerge/>
            <w:tcBorders>
              <w:left w:val="single" w:sz="18" w:space="0" w:color="BFBFBF" w:themeColor="background1" w:themeShade="BF"/>
              <w:bottom w:val="single" w:sz="18" w:space="0" w:color="BFBFBF" w:themeColor="background1" w:themeShade="BF"/>
              <w:right w:val="single" w:sz="18" w:space="0" w:color="BFBFBF" w:themeColor="background1" w:themeShade="BF"/>
            </w:tcBorders>
            <w:vAlign w:val="center"/>
          </w:tcPr>
          <w:p w14:paraId="7A7839F7" w14:textId="77777777" w:rsidR="00DF019A" w:rsidRPr="008E7494" w:rsidRDefault="00DF019A" w:rsidP="00066DE4">
            <w:pPr>
              <w:spacing w:after="0"/>
              <w:jc w:val="center"/>
              <w:rPr>
                <w:rFonts w:cs="Arial"/>
                <w:sz w:val="16"/>
                <w:szCs w:val="16"/>
              </w:rPr>
            </w:pPr>
          </w:p>
        </w:tc>
        <w:tc>
          <w:tcPr>
            <w:tcW w:w="1276" w:type="dxa"/>
            <w:vMerge/>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768968"/>
            <w:vAlign w:val="center"/>
          </w:tcPr>
          <w:p w14:paraId="7154B5B5" w14:textId="77777777" w:rsidR="00DF019A" w:rsidRPr="008E7494" w:rsidRDefault="00DF019A" w:rsidP="00066DE4">
            <w:pPr>
              <w:spacing w:after="0" w:line="240" w:lineRule="auto"/>
              <w:jc w:val="center"/>
              <w:rPr>
                <w:rFonts w:cs="Arial"/>
                <w:sz w:val="16"/>
                <w:szCs w:val="16"/>
              </w:rPr>
            </w:pPr>
          </w:p>
        </w:tc>
        <w:tc>
          <w:tcPr>
            <w:tcW w:w="1559" w:type="dxa"/>
            <w:vMerge/>
            <w:tcBorders>
              <w:left w:val="single" w:sz="18" w:space="0" w:color="BFBFBF" w:themeColor="background1" w:themeShade="BF"/>
              <w:bottom w:val="single" w:sz="18" w:space="0" w:color="FFFFFF"/>
              <w:right w:val="single" w:sz="18" w:space="0" w:color="808080"/>
            </w:tcBorders>
            <w:vAlign w:val="center"/>
          </w:tcPr>
          <w:p w14:paraId="59CBE00E" w14:textId="77777777" w:rsidR="00DF019A" w:rsidRPr="008E7494" w:rsidRDefault="00DF019A" w:rsidP="00066DE4">
            <w:pPr>
              <w:spacing w:after="0" w:line="240" w:lineRule="auto"/>
              <w:jc w:val="center"/>
              <w:rPr>
                <w:rFonts w:cs="Arial"/>
                <w:bCs/>
                <w:sz w:val="16"/>
                <w:szCs w:val="16"/>
              </w:rPr>
            </w:pPr>
          </w:p>
        </w:tc>
        <w:tc>
          <w:tcPr>
            <w:tcW w:w="2806" w:type="dxa"/>
            <w:vMerge/>
            <w:tcBorders>
              <w:left w:val="single" w:sz="18" w:space="0" w:color="808080"/>
              <w:bottom w:val="single" w:sz="18" w:space="0" w:color="FFFFFF"/>
              <w:right w:val="single" w:sz="18" w:space="0" w:color="808080"/>
            </w:tcBorders>
            <w:vAlign w:val="center"/>
          </w:tcPr>
          <w:p w14:paraId="7D5F6A4D" w14:textId="77777777" w:rsidR="00DF019A" w:rsidRPr="008E7494" w:rsidRDefault="00DF019A" w:rsidP="00066DE4">
            <w:pPr>
              <w:spacing w:after="0" w:line="240" w:lineRule="auto"/>
              <w:jc w:val="center"/>
              <w:rPr>
                <w:rFonts w:cs="Arial"/>
                <w:color w:val="000000"/>
                <w:sz w:val="16"/>
                <w:szCs w:val="16"/>
              </w:rPr>
            </w:pPr>
          </w:p>
        </w:tc>
      </w:tr>
      <w:tr w:rsidR="00DF019A" w:rsidRPr="008E7494" w14:paraId="4FD61892" w14:textId="77777777" w:rsidTr="00066DE4">
        <w:trPr>
          <w:trHeight w:val="397"/>
          <w:jc w:val="center"/>
        </w:trPr>
        <w:tc>
          <w:tcPr>
            <w:tcW w:w="1730" w:type="dxa"/>
            <w:tcBorders>
              <w:top w:val="single" w:sz="18" w:space="0" w:color="C0C0C0"/>
              <w:left w:val="single" w:sz="18" w:space="0" w:color="808080"/>
              <w:right w:val="single" w:sz="18" w:space="0" w:color="C0C0C0"/>
            </w:tcBorders>
            <w:vAlign w:val="center"/>
          </w:tcPr>
          <w:p w14:paraId="0B89AFFF" w14:textId="77777777" w:rsidR="00DF019A" w:rsidRPr="00CE6C60" w:rsidRDefault="00DF019A" w:rsidP="00066DE4">
            <w:pPr>
              <w:spacing w:after="0" w:line="240" w:lineRule="auto"/>
              <w:jc w:val="center"/>
              <w:rPr>
                <w:rFonts w:cs="Arial"/>
                <w:sz w:val="16"/>
                <w:szCs w:val="16"/>
              </w:rPr>
            </w:pPr>
            <w:r w:rsidRPr="00CE6C60">
              <w:rPr>
                <w:rFonts w:cs="Arial"/>
                <w:sz w:val="16"/>
                <w:szCs w:val="16"/>
              </w:rPr>
              <w:t>10 June</w:t>
            </w:r>
          </w:p>
        </w:tc>
        <w:tc>
          <w:tcPr>
            <w:tcW w:w="1418" w:type="dxa"/>
            <w:tcBorders>
              <w:top w:val="single" w:sz="18" w:space="0" w:color="C0C0C0"/>
              <w:left w:val="single" w:sz="18" w:space="0" w:color="C0C0C0"/>
              <w:right w:val="single" w:sz="18" w:space="0" w:color="BFBFBF" w:themeColor="background1" w:themeShade="BF"/>
            </w:tcBorders>
            <w:shd w:val="clear" w:color="auto" w:fill="D9D9D9"/>
            <w:vAlign w:val="center"/>
          </w:tcPr>
          <w:p w14:paraId="3C31813C" w14:textId="77777777" w:rsidR="00DF019A" w:rsidRPr="008E7494" w:rsidRDefault="00DF019A" w:rsidP="00066DE4">
            <w:pPr>
              <w:spacing w:after="0" w:line="240" w:lineRule="auto"/>
              <w:jc w:val="center"/>
              <w:rPr>
                <w:rFonts w:cs="Arial"/>
                <w:color w:val="000000"/>
                <w:sz w:val="16"/>
                <w:szCs w:val="16"/>
              </w:rPr>
            </w:pPr>
          </w:p>
        </w:tc>
        <w:tc>
          <w:tcPr>
            <w:tcW w:w="1275" w:type="dxa"/>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D9D9D9"/>
            <w:vAlign w:val="center"/>
          </w:tcPr>
          <w:p w14:paraId="5237AC18" w14:textId="77777777" w:rsidR="00DF019A" w:rsidRPr="008E7494" w:rsidRDefault="00DF019A" w:rsidP="00066DE4">
            <w:pPr>
              <w:spacing w:after="0" w:line="240" w:lineRule="auto"/>
              <w:jc w:val="center"/>
              <w:rPr>
                <w:rFonts w:cs="Arial"/>
                <w:color w:val="000000"/>
                <w:sz w:val="16"/>
                <w:szCs w:val="16"/>
              </w:rPr>
            </w:pPr>
            <w:r w:rsidRPr="008E7494">
              <w:rPr>
                <w:rFonts w:cs="Arial"/>
                <w:color w:val="000000"/>
                <w:sz w:val="16"/>
                <w:szCs w:val="16"/>
              </w:rPr>
              <w:t>1</w:t>
            </w:r>
            <w:r>
              <w:rPr>
                <w:rFonts w:cs="Arial"/>
                <w:color w:val="000000"/>
                <w:sz w:val="16"/>
                <w:szCs w:val="16"/>
              </w:rPr>
              <w:t>1</w:t>
            </w:r>
          </w:p>
        </w:tc>
        <w:tc>
          <w:tcPr>
            <w:tcW w:w="1418" w:type="dxa"/>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D9D9D9"/>
            <w:vAlign w:val="center"/>
          </w:tcPr>
          <w:p w14:paraId="3CD1F1A1" w14:textId="77777777" w:rsidR="00DF019A" w:rsidRPr="008E7494" w:rsidRDefault="00DF019A" w:rsidP="00066DE4">
            <w:pPr>
              <w:spacing w:after="0" w:line="240" w:lineRule="auto"/>
              <w:jc w:val="center"/>
              <w:rPr>
                <w:rFonts w:cs="Arial"/>
                <w:sz w:val="16"/>
                <w:szCs w:val="16"/>
              </w:rPr>
            </w:pPr>
            <w:r>
              <w:rPr>
                <w:rFonts w:cs="Arial"/>
                <w:sz w:val="16"/>
                <w:szCs w:val="16"/>
              </w:rPr>
              <w:t>12</w:t>
            </w:r>
          </w:p>
        </w:tc>
        <w:tc>
          <w:tcPr>
            <w:tcW w:w="1276" w:type="dxa"/>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D9D9D9"/>
            <w:vAlign w:val="center"/>
          </w:tcPr>
          <w:p w14:paraId="5D2F9051" w14:textId="77777777" w:rsidR="00DF019A" w:rsidRPr="008E7494" w:rsidRDefault="00DF019A" w:rsidP="00066DE4">
            <w:pPr>
              <w:spacing w:after="0" w:line="240" w:lineRule="auto"/>
              <w:jc w:val="center"/>
              <w:rPr>
                <w:rFonts w:cs="Arial"/>
                <w:sz w:val="16"/>
                <w:szCs w:val="16"/>
              </w:rPr>
            </w:pPr>
            <w:r>
              <w:rPr>
                <w:rFonts w:cs="Arial"/>
                <w:sz w:val="16"/>
                <w:szCs w:val="16"/>
              </w:rPr>
              <w:t>13</w:t>
            </w:r>
          </w:p>
        </w:tc>
        <w:tc>
          <w:tcPr>
            <w:tcW w:w="1559" w:type="dxa"/>
            <w:tcBorders>
              <w:top w:val="single" w:sz="18" w:space="0" w:color="C0C0C0"/>
              <w:left w:val="single" w:sz="18" w:space="0" w:color="BFBFBF" w:themeColor="background1" w:themeShade="BF"/>
              <w:right w:val="single" w:sz="18" w:space="0" w:color="808080"/>
            </w:tcBorders>
            <w:shd w:val="clear" w:color="auto" w:fill="D9D9D9"/>
            <w:vAlign w:val="center"/>
          </w:tcPr>
          <w:p w14:paraId="04C063AC" w14:textId="77777777" w:rsidR="00DF019A" w:rsidRPr="008E7494" w:rsidRDefault="00DF019A" w:rsidP="00066DE4">
            <w:pPr>
              <w:spacing w:after="0" w:line="240" w:lineRule="auto"/>
              <w:jc w:val="center"/>
              <w:rPr>
                <w:rFonts w:cs="Arial"/>
                <w:bCs/>
                <w:sz w:val="16"/>
                <w:szCs w:val="16"/>
              </w:rPr>
            </w:pPr>
          </w:p>
        </w:tc>
        <w:tc>
          <w:tcPr>
            <w:tcW w:w="2806" w:type="dxa"/>
            <w:tcBorders>
              <w:top w:val="single" w:sz="18" w:space="0" w:color="C0C0C0"/>
              <w:left w:val="single" w:sz="18" w:space="0" w:color="808080"/>
              <w:right w:val="single" w:sz="18" w:space="0" w:color="808080"/>
            </w:tcBorders>
            <w:shd w:val="clear" w:color="auto" w:fill="D9D9D9"/>
            <w:vAlign w:val="center"/>
          </w:tcPr>
          <w:p w14:paraId="63BC74B4" w14:textId="77777777" w:rsidR="00DF019A" w:rsidRPr="008E7494" w:rsidRDefault="00DF019A" w:rsidP="00066DE4">
            <w:pPr>
              <w:spacing w:after="0" w:line="240" w:lineRule="auto"/>
              <w:jc w:val="center"/>
              <w:rPr>
                <w:rFonts w:cs="Arial"/>
                <w:color w:val="000000"/>
                <w:sz w:val="16"/>
                <w:szCs w:val="16"/>
              </w:rPr>
            </w:pPr>
            <w:r>
              <w:rPr>
                <w:rFonts w:cs="Arial"/>
                <w:sz w:val="16"/>
                <w:szCs w:val="16"/>
              </w:rPr>
              <w:t xml:space="preserve">Local </w:t>
            </w:r>
            <w:r w:rsidRPr="008E7494">
              <w:rPr>
                <w:rFonts w:cs="Arial"/>
                <w:sz w:val="16"/>
                <w:szCs w:val="16"/>
              </w:rPr>
              <w:t>Commissioner Development Week</w:t>
            </w:r>
          </w:p>
        </w:tc>
      </w:tr>
      <w:tr w:rsidR="00DF019A" w:rsidRPr="008E7494" w14:paraId="0C79E675" w14:textId="77777777" w:rsidTr="00066DE4">
        <w:trPr>
          <w:trHeight w:val="397"/>
          <w:jc w:val="center"/>
        </w:trPr>
        <w:tc>
          <w:tcPr>
            <w:tcW w:w="1730" w:type="dxa"/>
            <w:tcBorders>
              <w:top w:val="single" w:sz="18" w:space="0" w:color="C0C0C0"/>
              <w:left w:val="single" w:sz="18" w:space="0" w:color="808080"/>
              <w:bottom w:val="single" w:sz="18" w:space="0" w:color="C0C0C0"/>
              <w:right w:val="single" w:sz="18" w:space="0" w:color="C0C0C0"/>
            </w:tcBorders>
            <w:vAlign w:val="center"/>
          </w:tcPr>
          <w:p w14:paraId="63798A8E" w14:textId="77777777" w:rsidR="00DF019A" w:rsidRPr="00CE6C60" w:rsidRDefault="00DF019A" w:rsidP="00066DE4">
            <w:pPr>
              <w:spacing w:after="0" w:line="240" w:lineRule="auto"/>
              <w:jc w:val="center"/>
              <w:rPr>
                <w:rFonts w:cs="Arial"/>
                <w:sz w:val="16"/>
                <w:szCs w:val="16"/>
              </w:rPr>
            </w:pPr>
            <w:r w:rsidRPr="00CE6C60">
              <w:rPr>
                <w:rFonts w:cs="Arial"/>
                <w:sz w:val="16"/>
                <w:szCs w:val="16"/>
              </w:rPr>
              <w:t>17 June</w:t>
            </w:r>
          </w:p>
        </w:tc>
        <w:tc>
          <w:tcPr>
            <w:tcW w:w="1418" w:type="dxa"/>
            <w:tcBorders>
              <w:top w:val="single" w:sz="18" w:space="0" w:color="C0C0C0"/>
              <w:left w:val="single" w:sz="18" w:space="0" w:color="C0C0C0"/>
              <w:bottom w:val="single" w:sz="18" w:space="0" w:color="C0C0C0"/>
              <w:right w:val="single" w:sz="18" w:space="0" w:color="BFBFBF" w:themeColor="background1" w:themeShade="BF"/>
            </w:tcBorders>
            <w:shd w:val="clear" w:color="auto" w:fill="A64D2C"/>
            <w:vAlign w:val="center"/>
          </w:tcPr>
          <w:p w14:paraId="48C54A8B"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17</w:t>
            </w:r>
          </w:p>
        </w:tc>
        <w:tc>
          <w:tcPr>
            <w:tcW w:w="127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467082"/>
            <w:vAlign w:val="center"/>
          </w:tcPr>
          <w:p w14:paraId="53C991FC" w14:textId="77777777" w:rsidR="00DF019A" w:rsidRPr="008E7494" w:rsidRDefault="00DF019A" w:rsidP="00066DE4">
            <w:pPr>
              <w:spacing w:after="0" w:line="240" w:lineRule="auto"/>
              <w:jc w:val="center"/>
              <w:rPr>
                <w:rFonts w:cs="Arial"/>
                <w:color w:val="000000"/>
                <w:sz w:val="16"/>
                <w:szCs w:val="16"/>
              </w:rPr>
            </w:pPr>
            <w:r>
              <w:rPr>
                <w:rFonts w:cs="Arial"/>
                <w:color w:val="000000"/>
                <w:sz w:val="16"/>
                <w:szCs w:val="16"/>
              </w:rPr>
              <w:t>18</w:t>
            </w:r>
          </w:p>
        </w:tc>
        <w:tc>
          <w:tcPr>
            <w:tcW w:w="1418"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64D2C"/>
            <w:vAlign w:val="center"/>
          </w:tcPr>
          <w:p w14:paraId="76F24211" w14:textId="77777777" w:rsidR="00DF019A" w:rsidRPr="008E7494" w:rsidRDefault="00DF019A" w:rsidP="00066DE4">
            <w:pPr>
              <w:spacing w:after="0" w:line="240" w:lineRule="auto"/>
              <w:jc w:val="center"/>
              <w:rPr>
                <w:rFonts w:cs="Arial"/>
                <w:sz w:val="16"/>
                <w:szCs w:val="16"/>
              </w:rPr>
            </w:pPr>
            <w:r>
              <w:rPr>
                <w:rFonts w:cs="Arial"/>
                <w:sz w:val="16"/>
                <w:szCs w:val="16"/>
              </w:rPr>
              <w:t>19</w:t>
            </w:r>
          </w:p>
        </w:tc>
        <w:tc>
          <w:tcPr>
            <w:tcW w:w="1276"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A64D2C"/>
            <w:vAlign w:val="center"/>
          </w:tcPr>
          <w:p w14:paraId="46DD77FE" w14:textId="77777777" w:rsidR="00DF019A" w:rsidRPr="008E7494" w:rsidRDefault="00DF019A" w:rsidP="00066DE4">
            <w:pPr>
              <w:spacing w:after="0" w:line="240" w:lineRule="auto"/>
              <w:jc w:val="center"/>
              <w:rPr>
                <w:rFonts w:cs="Arial"/>
                <w:sz w:val="16"/>
                <w:szCs w:val="16"/>
              </w:rPr>
            </w:pPr>
            <w:r>
              <w:rPr>
                <w:rFonts w:cs="Arial"/>
                <w:sz w:val="16"/>
                <w:szCs w:val="16"/>
              </w:rPr>
              <w:t>20</w:t>
            </w:r>
          </w:p>
        </w:tc>
        <w:tc>
          <w:tcPr>
            <w:tcW w:w="1559" w:type="dxa"/>
            <w:tcBorders>
              <w:top w:val="single" w:sz="18" w:space="0" w:color="C0C0C0"/>
              <w:left w:val="single" w:sz="18" w:space="0" w:color="BFBFBF" w:themeColor="background1" w:themeShade="BF"/>
              <w:bottom w:val="single" w:sz="18" w:space="0" w:color="C0C0C0"/>
              <w:right w:val="single" w:sz="18" w:space="0" w:color="808080"/>
            </w:tcBorders>
            <w:vAlign w:val="center"/>
          </w:tcPr>
          <w:p w14:paraId="395121D1" w14:textId="77777777" w:rsidR="00DF019A" w:rsidRPr="008E7494" w:rsidRDefault="00DF019A" w:rsidP="00066DE4">
            <w:pPr>
              <w:spacing w:after="0" w:line="240" w:lineRule="auto"/>
              <w:jc w:val="center"/>
              <w:rPr>
                <w:rFonts w:cs="Arial"/>
                <w:bCs/>
                <w:sz w:val="16"/>
                <w:szCs w:val="16"/>
              </w:rPr>
            </w:pPr>
          </w:p>
        </w:tc>
        <w:tc>
          <w:tcPr>
            <w:tcW w:w="2806" w:type="dxa"/>
            <w:tcBorders>
              <w:top w:val="single" w:sz="18" w:space="0" w:color="C0C0C0"/>
              <w:left w:val="single" w:sz="18" w:space="0" w:color="808080"/>
              <w:bottom w:val="single" w:sz="18" w:space="0" w:color="C0C0C0"/>
              <w:right w:val="single" w:sz="18" w:space="0" w:color="808080"/>
            </w:tcBorders>
            <w:vAlign w:val="center"/>
          </w:tcPr>
          <w:p w14:paraId="788B20E5" w14:textId="77777777" w:rsidR="00DF019A" w:rsidRPr="008E7494" w:rsidRDefault="00DF019A" w:rsidP="00066DE4">
            <w:pPr>
              <w:spacing w:after="0" w:line="240" w:lineRule="auto"/>
              <w:jc w:val="center"/>
              <w:rPr>
                <w:rFonts w:cs="Arial"/>
                <w:color w:val="000000"/>
                <w:sz w:val="16"/>
                <w:szCs w:val="16"/>
              </w:rPr>
            </w:pPr>
          </w:p>
        </w:tc>
      </w:tr>
      <w:tr w:rsidR="00DF019A" w:rsidRPr="008E7494" w14:paraId="25E3B539" w14:textId="77777777" w:rsidTr="00066DE4">
        <w:trPr>
          <w:trHeight w:hRule="exact" w:val="284"/>
          <w:jc w:val="center"/>
        </w:trPr>
        <w:tc>
          <w:tcPr>
            <w:tcW w:w="1730" w:type="dxa"/>
            <w:vMerge w:val="restart"/>
            <w:tcBorders>
              <w:top w:val="single" w:sz="18" w:space="0" w:color="C0C0C0"/>
              <w:left w:val="single" w:sz="18" w:space="0" w:color="808080"/>
              <w:right w:val="single" w:sz="18" w:space="0" w:color="C0C0C0"/>
            </w:tcBorders>
            <w:vAlign w:val="center"/>
          </w:tcPr>
          <w:p w14:paraId="3B8AD452" w14:textId="77777777" w:rsidR="00DF019A" w:rsidRPr="00CE6C60" w:rsidRDefault="00DF019A" w:rsidP="00066DE4">
            <w:pPr>
              <w:spacing w:after="0" w:line="240" w:lineRule="auto"/>
              <w:jc w:val="center"/>
              <w:rPr>
                <w:rFonts w:cs="Arial"/>
                <w:sz w:val="16"/>
                <w:szCs w:val="16"/>
              </w:rPr>
            </w:pPr>
            <w:r>
              <w:rPr>
                <w:rFonts w:cs="Arial"/>
                <w:sz w:val="16"/>
                <w:szCs w:val="16"/>
              </w:rPr>
              <w:t>24 June</w:t>
            </w:r>
          </w:p>
        </w:tc>
        <w:tc>
          <w:tcPr>
            <w:tcW w:w="1418" w:type="dxa"/>
            <w:vMerge w:val="restart"/>
            <w:tcBorders>
              <w:top w:val="single" w:sz="18" w:space="0" w:color="C0C0C0"/>
              <w:left w:val="single" w:sz="18" w:space="0" w:color="C0C0C0"/>
              <w:right w:val="single" w:sz="18" w:space="0" w:color="BFBFBF" w:themeColor="background1" w:themeShade="BF"/>
            </w:tcBorders>
            <w:shd w:val="clear" w:color="auto" w:fill="auto"/>
            <w:vAlign w:val="center"/>
          </w:tcPr>
          <w:p w14:paraId="58002202" w14:textId="77777777" w:rsidR="00DF019A" w:rsidRDefault="00DF019A" w:rsidP="00066DE4">
            <w:pPr>
              <w:spacing w:after="0" w:line="240" w:lineRule="auto"/>
              <w:jc w:val="center"/>
              <w:rPr>
                <w:rFonts w:cs="Arial"/>
                <w:color w:val="000000"/>
                <w:sz w:val="16"/>
                <w:szCs w:val="16"/>
              </w:rPr>
            </w:pPr>
          </w:p>
        </w:tc>
        <w:tc>
          <w:tcPr>
            <w:tcW w:w="1275" w:type="dxa"/>
            <w:tcBorders>
              <w:top w:val="single" w:sz="18" w:space="0" w:color="BFBFBF" w:themeColor="background1" w:themeShade="BF"/>
              <w:left w:val="single" w:sz="18" w:space="0" w:color="BFBFBF" w:themeColor="background1" w:themeShade="BF"/>
              <w:bottom w:val="nil"/>
              <w:right w:val="single" w:sz="18" w:space="0" w:color="BFBFBF" w:themeColor="background1" w:themeShade="BF"/>
            </w:tcBorders>
            <w:shd w:val="clear" w:color="auto" w:fill="A972A9"/>
            <w:vAlign w:val="center"/>
          </w:tcPr>
          <w:p w14:paraId="182586DD" w14:textId="77777777" w:rsidR="00DF019A" w:rsidRDefault="00DF019A" w:rsidP="00066DE4">
            <w:pPr>
              <w:spacing w:after="0" w:line="240" w:lineRule="auto"/>
              <w:jc w:val="center"/>
              <w:rPr>
                <w:rFonts w:cs="Arial"/>
                <w:color w:val="000000"/>
                <w:sz w:val="16"/>
                <w:szCs w:val="16"/>
              </w:rPr>
            </w:pPr>
            <w:r>
              <w:rPr>
                <w:rFonts w:cs="Arial"/>
                <w:color w:val="000000"/>
                <w:sz w:val="16"/>
                <w:szCs w:val="16"/>
              </w:rPr>
              <w:t>25</w:t>
            </w:r>
          </w:p>
        </w:tc>
        <w:tc>
          <w:tcPr>
            <w:tcW w:w="1418" w:type="dxa"/>
            <w:vMerge w:val="restart"/>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A972A9"/>
            <w:vAlign w:val="center"/>
          </w:tcPr>
          <w:p w14:paraId="72B3817B" w14:textId="77777777" w:rsidR="00DF019A" w:rsidRDefault="00DF019A" w:rsidP="00066DE4">
            <w:pPr>
              <w:spacing w:after="0" w:line="240" w:lineRule="auto"/>
              <w:jc w:val="center"/>
              <w:rPr>
                <w:rFonts w:cs="Arial"/>
                <w:sz w:val="16"/>
                <w:szCs w:val="16"/>
              </w:rPr>
            </w:pPr>
            <w:r>
              <w:rPr>
                <w:rFonts w:cs="Arial"/>
                <w:sz w:val="16"/>
                <w:szCs w:val="16"/>
              </w:rPr>
              <w:t>26</w:t>
            </w:r>
          </w:p>
        </w:tc>
        <w:tc>
          <w:tcPr>
            <w:tcW w:w="1276" w:type="dxa"/>
            <w:tcBorders>
              <w:top w:val="single" w:sz="18" w:space="0" w:color="BFBFBF" w:themeColor="background1" w:themeShade="BF"/>
              <w:left w:val="single" w:sz="18" w:space="0" w:color="BFBFBF" w:themeColor="background1" w:themeShade="BF"/>
              <w:bottom w:val="nil"/>
              <w:right w:val="single" w:sz="18" w:space="0" w:color="BFBFBF" w:themeColor="background1" w:themeShade="BF"/>
            </w:tcBorders>
            <w:shd w:val="clear" w:color="auto" w:fill="A972A9"/>
            <w:vAlign w:val="center"/>
          </w:tcPr>
          <w:p w14:paraId="6B7B4A89" w14:textId="77777777" w:rsidR="00DF019A" w:rsidRDefault="00DF019A" w:rsidP="00066DE4">
            <w:pPr>
              <w:spacing w:after="0" w:line="240" w:lineRule="auto"/>
              <w:jc w:val="center"/>
              <w:rPr>
                <w:rFonts w:cs="Arial"/>
                <w:sz w:val="16"/>
                <w:szCs w:val="16"/>
              </w:rPr>
            </w:pPr>
            <w:r>
              <w:rPr>
                <w:rFonts w:cs="Arial"/>
                <w:sz w:val="16"/>
                <w:szCs w:val="16"/>
              </w:rPr>
              <w:t>27</w:t>
            </w:r>
          </w:p>
        </w:tc>
        <w:tc>
          <w:tcPr>
            <w:tcW w:w="1559" w:type="dxa"/>
            <w:vMerge w:val="restart"/>
            <w:tcBorders>
              <w:top w:val="single" w:sz="18" w:space="0" w:color="C0C0C0"/>
              <w:left w:val="single" w:sz="18" w:space="0" w:color="BFBFBF" w:themeColor="background1" w:themeShade="BF"/>
              <w:right w:val="single" w:sz="18" w:space="0" w:color="808080"/>
            </w:tcBorders>
            <w:shd w:val="clear" w:color="auto" w:fill="auto"/>
            <w:vAlign w:val="center"/>
          </w:tcPr>
          <w:p w14:paraId="73E75789" w14:textId="77777777" w:rsidR="00DF019A" w:rsidRPr="008E7494" w:rsidRDefault="00DF019A" w:rsidP="00066DE4">
            <w:pPr>
              <w:spacing w:after="0" w:line="240" w:lineRule="auto"/>
              <w:jc w:val="center"/>
              <w:rPr>
                <w:rFonts w:cs="Arial"/>
                <w:bCs/>
                <w:sz w:val="16"/>
                <w:szCs w:val="16"/>
              </w:rPr>
            </w:pPr>
          </w:p>
        </w:tc>
        <w:tc>
          <w:tcPr>
            <w:tcW w:w="2806" w:type="dxa"/>
            <w:vMerge w:val="restart"/>
            <w:tcBorders>
              <w:top w:val="single" w:sz="18" w:space="0" w:color="C0C0C0"/>
              <w:left w:val="single" w:sz="18" w:space="0" w:color="808080"/>
              <w:right w:val="single" w:sz="18" w:space="0" w:color="808080"/>
            </w:tcBorders>
            <w:vAlign w:val="center"/>
          </w:tcPr>
          <w:p w14:paraId="0D162705" w14:textId="77777777" w:rsidR="00DF019A" w:rsidRPr="008E7494" w:rsidRDefault="00DF019A" w:rsidP="00066DE4">
            <w:pPr>
              <w:spacing w:after="0" w:line="240" w:lineRule="auto"/>
              <w:jc w:val="center"/>
              <w:rPr>
                <w:rFonts w:cs="Arial"/>
                <w:color w:val="000000"/>
                <w:sz w:val="16"/>
                <w:szCs w:val="16"/>
              </w:rPr>
            </w:pPr>
          </w:p>
        </w:tc>
      </w:tr>
      <w:tr w:rsidR="00DF019A" w:rsidRPr="008E7494" w14:paraId="0062760E" w14:textId="77777777" w:rsidTr="00066DE4">
        <w:trPr>
          <w:trHeight w:hRule="exact" w:val="284"/>
          <w:jc w:val="center"/>
        </w:trPr>
        <w:tc>
          <w:tcPr>
            <w:tcW w:w="1730" w:type="dxa"/>
            <w:vMerge/>
            <w:tcBorders>
              <w:left w:val="single" w:sz="18" w:space="0" w:color="808080"/>
              <w:bottom w:val="single" w:sz="18" w:space="0" w:color="808080"/>
              <w:right w:val="single" w:sz="18" w:space="0" w:color="C0C0C0"/>
            </w:tcBorders>
            <w:vAlign w:val="center"/>
          </w:tcPr>
          <w:p w14:paraId="2BAC0D59" w14:textId="77777777" w:rsidR="00DF019A" w:rsidRDefault="00DF019A" w:rsidP="00066DE4">
            <w:pPr>
              <w:spacing w:after="0" w:line="240" w:lineRule="auto"/>
              <w:jc w:val="center"/>
              <w:rPr>
                <w:rFonts w:cs="Arial"/>
                <w:sz w:val="16"/>
                <w:szCs w:val="16"/>
              </w:rPr>
            </w:pPr>
          </w:p>
        </w:tc>
        <w:tc>
          <w:tcPr>
            <w:tcW w:w="1418" w:type="dxa"/>
            <w:vMerge/>
            <w:tcBorders>
              <w:left w:val="single" w:sz="18" w:space="0" w:color="C0C0C0"/>
              <w:bottom w:val="single" w:sz="18" w:space="0" w:color="808080"/>
              <w:right w:val="single" w:sz="18" w:space="0" w:color="BFBFBF" w:themeColor="background1" w:themeShade="BF"/>
            </w:tcBorders>
            <w:shd w:val="clear" w:color="auto" w:fill="auto"/>
            <w:vAlign w:val="center"/>
          </w:tcPr>
          <w:p w14:paraId="0288C74F" w14:textId="77777777" w:rsidR="00DF019A" w:rsidRDefault="00DF019A" w:rsidP="00066DE4">
            <w:pPr>
              <w:spacing w:after="0" w:line="240" w:lineRule="auto"/>
              <w:jc w:val="center"/>
              <w:rPr>
                <w:rFonts w:cs="Arial"/>
                <w:color w:val="000000"/>
                <w:sz w:val="16"/>
                <w:szCs w:val="16"/>
              </w:rPr>
            </w:pPr>
          </w:p>
        </w:tc>
        <w:tc>
          <w:tcPr>
            <w:tcW w:w="1275" w:type="dxa"/>
            <w:tcBorders>
              <w:top w:val="nil"/>
              <w:left w:val="single" w:sz="18" w:space="0" w:color="BFBFBF" w:themeColor="background1" w:themeShade="BF"/>
              <w:bottom w:val="single" w:sz="18" w:space="0" w:color="808080"/>
              <w:right w:val="single" w:sz="18" w:space="0" w:color="BFBFBF" w:themeColor="background1" w:themeShade="BF"/>
            </w:tcBorders>
            <w:shd w:val="clear" w:color="auto" w:fill="DDB136"/>
            <w:vAlign w:val="center"/>
          </w:tcPr>
          <w:p w14:paraId="5452C91C" w14:textId="77777777" w:rsidR="00DF019A" w:rsidRDefault="00DF019A" w:rsidP="00066DE4">
            <w:pPr>
              <w:spacing w:after="0" w:line="240" w:lineRule="auto"/>
              <w:jc w:val="center"/>
              <w:rPr>
                <w:rFonts w:cs="Arial"/>
                <w:color w:val="000000"/>
                <w:sz w:val="16"/>
                <w:szCs w:val="16"/>
              </w:rPr>
            </w:pPr>
            <w:r>
              <w:rPr>
                <w:rFonts w:cs="Arial"/>
                <w:color w:val="000000"/>
                <w:sz w:val="16"/>
                <w:szCs w:val="16"/>
              </w:rPr>
              <w:t>25</w:t>
            </w:r>
          </w:p>
        </w:tc>
        <w:tc>
          <w:tcPr>
            <w:tcW w:w="1418" w:type="dxa"/>
            <w:vMerge/>
            <w:tcBorders>
              <w:left w:val="single" w:sz="18" w:space="0" w:color="BFBFBF" w:themeColor="background1" w:themeShade="BF"/>
              <w:bottom w:val="single" w:sz="18" w:space="0" w:color="808080"/>
              <w:right w:val="single" w:sz="18" w:space="0" w:color="BFBFBF" w:themeColor="background1" w:themeShade="BF"/>
            </w:tcBorders>
            <w:shd w:val="clear" w:color="auto" w:fill="A972A9"/>
            <w:vAlign w:val="center"/>
          </w:tcPr>
          <w:p w14:paraId="06FA25D9" w14:textId="77777777" w:rsidR="00DF019A" w:rsidRDefault="00DF019A" w:rsidP="00066DE4">
            <w:pPr>
              <w:spacing w:after="0" w:line="240" w:lineRule="auto"/>
              <w:jc w:val="center"/>
              <w:rPr>
                <w:rFonts w:cs="Arial"/>
                <w:sz w:val="16"/>
                <w:szCs w:val="16"/>
              </w:rPr>
            </w:pPr>
          </w:p>
        </w:tc>
        <w:tc>
          <w:tcPr>
            <w:tcW w:w="1276" w:type="dxa"/>
            <w:tcBorders>
              <w:top w:val="nil"/>
              <w:left w:val="single" w:sz="18" w:space="0" w:color="BFBFBF" w:themeColor="background1" w:themeShade="BF"/>
              <w:bottom w:val="single" w:sz="18" w:space="0" w:color="808080"/>
              <w:right w:val="single" w:sz="18" w:space="0" w:color="BFBFBF" w:themeColor="background1" w:themeShade="BF"/>
            </w:tcBorders>
            <w:shd w:val="clear" w:color="auto" w:fill="768968"/>
            <w:vAlign w:val="center"/>
          </w:tcPr>
          <w:p w14:paraId="458AA4D0" w14:textId="77777777" w:rsidR="00DF019A" w:rsidRDefault="00DF019A" w:rsidP="00066DE4">
            <w:pPr>
              <w:spacing w:after="0" w:line="240" w:lineRule="auto"/>
              <w:jc w:val="center"/>
              <w:rPr>
                <w:rFonts w:cs="Arial"/>
                <w:sz w:val="16"/>
                <w:szCs w:val="16"/>
              </w:rPr>
            </w:pPr>
            <w:r>
              <w:rPr>
                <w:rFonts w:cs="Arial"/>
                <w:sz w:val="16"/>
                <w:szCs w:val="16"/>
              </w:rPr>
              <w:t>27</w:t>
            </w:r>
          </w:p>
        </w:tc>
        <w:tc>
          <w:tcPr>
            <w:tcW w:w="1559" w:type="dxa"/>
            <w:vMerge/>
            <w:tcBorders>
              <w:left w:val="single" w:sz="18" w:space="0" w:color="BFBFBF" w:themeColor="background1" w:themeShade="BF"/>
              <w:bottom w:val="single" w:sz="18" w:space="0" w:color="808080"/>
              <w:right w:val="single" w:sz="18" w:space="0" w:color="808080"/>
            </w:tcBorders>
            <w:shd w:val="clear" w:color="auto" w:fill="auto"/>
            <w:vAlign w:val="center"/>
          </w:tcPr>
          <w:p w14:paraId="72E19521" w14:textId="77777777" w:rsidR="00DF019A" w:rsidRPr="008E7494" w:rsidRDefault="00DF019A" w:rsidP="00066DE4">
            <w:pPr>
              <w:spacing w:after="0" w:line="240" w:lineRule="auto"/>
              <w:jc w:val="center"/>
              <w:rPr>
                <w:rFonts w:cs="Arial"/>
                <w:bCs/>
                <w:sz w:val="16"/>
                <w:szCs w:val="16"/>
              </w:rPr>
            </w:pPr>
          </w:p>
        </w:tc>
        <w:tc>
          <w:tcPr>
            <w:tcW w:w="2806" w:type="dxa"/>
            <w:vMerge/>
            <w:tcBorders>
              <w:left w:val="single" w:sz="18" w:space="0" w:color="808080"/>
              <w:bottom w:val="single" w:sz="18" w:space="0" w:color="808080"/>
              <w:right w:val="single" w:sz="18" w:space="0" w:color="808080"/>
            </w:tcBorders>
            <w:vAlign w:val="center"/>
          </w:tcPr>
          <w:p w14:paraId="5322FD76" w14:textId="77777777" w:rsidR="00DF019A" w:rsidRPr="008E7494" w:rsidRDefault="00DF019A" w:rsidP="00066DE4">
            <w:pPr>
              <w:spacing w:after="0" w:line="240" w:lineRule="auto"/>
              <w:jc w:val="center"/>
              <w:rPr>
                <w:rFonts w:cs="Arial"/>
                <w:color w:val="000000"/>
                <w:sz w:val="16"/>
                <w:szCs w:val="16"/>
              </w:rPr>
            </w:pPr>
          </w:p>
        </w:tc>
      </w:tr>
    </w:tbl>
    <w:p w14:paraId="5C57B6EC" w14:textId="77777777" w:rsidR="00DF019A" w:rsidRPr="0001769E" w:rsidRDefault="00DF019A" w:rsidP="00DF019A">
      <w:pPr>
        <w:rPr>
          <w:lang w:eastAsia="en-AU"/>
        </w:rPr>
      </w:pPr>
    </w:p>
    <w:p w14:paraId="2C1172A6" w14:textId="77777777" w:rsidR="00DF019A" w:rsidRDefault="00DF019A" w:rsidP="003E09C0">
      <w:pPr>
        <w:rPr>
          <w:rFonts w:cs="Arial"/>
          <w:szCs w:val="20"/>
          <w:lang w:val="en-US" w:eastAsia="en-AU"/>
        </w:rPr>
        <w:sectPr w:rsidR="00DF019A" w:rsidSect="00066DE4">
          <w:headerReference w:type="even" r:id="rId95"/>
          <w:headerReference w:type="default" r:id="rId96"/>
          <w:footerReference w:type="default" r:id="rId97"/>
          <w:headerReference w:type="first" r:id="rId98"/>
          <w:footnotePr>
            <w:numRestart w:val="eachSect"/>
          </w:footnotePr>
          <w:pgSz w:w="11906" w:h="16838"/>
          <w:pgMar w:top="567" w:right="851" w:bottom="567" w:left="851" w:header="0" w:footer="0" w:gutter="0"/>
          <w:pgNumType w:start="118"/>
          <w:cols w:space="708"/>
          <w:docGrid w:linePitch="360"/>
        </w:sectPr>
      </w:pPr>
    </w:p>
    <w:p w14:paraId="34681648" w14:textId="77777777" w:rsidR="00E22451" w:rsidRPr="004304D6" w:rsidRDefault="00E22451" w:rsidP="004304D6">
      <w:pPr>
        <w:pStyle w:val="Heading2"/>
      </w:pPr>
      <w:r w:rsidRPr="004304D6">
        <w:lastRenderedPageBreak/>
        <w:t>APPENDIX C – Compliance checklist</w:t>
      </w:r>
    </w:p>
    <w:p w14:paraId="182BA90B" w14:textId="77777777" w:rsidR="00E22451" w:rsidRPr="008E7494" w:rsidRDefault="00E22451" w:rsidP="004304D6">
      <w:pPr>
        <w:pStyle w:val="Heading3"/>
        <w:rPr>
          <w:i/>
        </w:rPr>
      </w:pPr>
      <w:r w:rsidRPr="008E7494">
        <w:t>Family Responsibilities Commission 201</w:t>
      </w:r>
      <w:r>
        <w:t>8</w:t>
      </w:r>
      <w:r w:rsidRPr="008E7494">
        <w:t>-201</w:t>
      </w:r>
      <w:r>
        <w:t>9</w:t>
      </w:r>
      <w:r w:rsidRPr="008E7494">
        <w:t xml:space="preserve"> annual report</w:t>
      </w:r>
    </w:p>
    <w:p w14:paraId="5E00B927" w14:textId="77777777" w:rsidR="00E22451" w:rsidRPr="008E7494" w:rsidRDefault="00E22451" w:rsidP="00E22451">
      <w:pPr>
        <w:pStyle w:val="Text"/>
        <w:numPr>
          <w:ilvl w:val="0"/>
          <w:numId w:val="0"/>
        </w:numPr>
        <w:rPr>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1"/>
        <w:gridCol w:w="3487"/>
        <w:gridCol w:w="2694"/>
        <w:gridCol w:w="1417"/>
      </w:tblGrid>
      <w:tr w:rsidR="00E22451" w:rsidRPr="008E7494" w14:paraId="3896C349" w14:textId="77777777" w:rsidTr="008F6611">
        <w:trPr>
          <w:cantSplit/>
          <w:tblHeader/>
        </w:trPr>
        <w:tc>
          <w:tcPr>
            <w:tcW w:w="5778" w:type="dxa"/>
            <w:gridSpan w:val="2"/>
            <w:shd w:val="clear" w:color="auto" w:fill="E6E6E6"/>
            <w:vAlign w:val="center"/>
          </w:tcPr>
          <w:p w14:paraId="5CCBE2CF" w14:textId="77777777" w:rsidR="00E22451" w:rsidRPr="008E7494" w:rsidRDefault="00E22451" w:rsidP="008F6611">
            <w:pPr>
              <w:pStyle w:val="Text"/>
              <w:numPr>
                <w:ilvl w:val="0"/>
                <w:numId w:val="0"/>
              </w:numPr>
              <w:rPr>
                <w:b/>
                <w:sz w:val="18"/>
                <w:szCs w:val="18"/>
              </w:rPr>
            </w:pPr>
            <w:r w:rsidRPr="008E7494">
              <w:rPr>
                <w:b/>
                <w:sz w:val="18"/>
                <w:szCs w:val="18"/>
              </w:rPr>
              <w:t>Summary of requirement</w:t>
            </w:r>
          </w:p>
        </w:tc>
        <w:tc>
          <w:tcPr>
            <w:tcW w:w="2694" w:type="dxa"/>
            <w:shd w:val="clear" w:color="auto" w:fill="E6E6E6"/>
            <w:vAlign w:val="center"/>
          </w:tcPr>
          <w:p w14:paraId="14C910A5" w14:textId="77777777" w:rsidR="00E22451" w:rsidRPr="008E7494" w:rsidRDefault="00E22451" w:rsidP="008F6611">
            <w:pPr>
              <w:pStyle w:val="Text"/>
              <w:numPr>
                <w:ilvl w:val="0"/>
                <w:numId w:val="0"/>
              </w:numPr>
              <w:rPr>
                <w:b/>
                <w:sz w:val="18"/>
                <w:szCs w:val="18"/>
              </w:rPr>
            </w:pPr>
            <w:r w:rsidRPr="008E7494">
              <w:rPr>
                <w:b/>
                <w:sz w:val="18"/>
                <w:szCs w:val="18"/>
              </w:rPr>
              <w:t>Basis for requirement</w:t>
            </w:r>
          </w:p>
        </w:tc>
        <w:tc>
          <w:tcPr>
            <w:tcW w:w="1417" w:type="dxa"/>
            <w:shd w:val="clear" w:color="auto" w:fill="E6E6E6"/>
            <w:vAlign w:val="center"/>
          </w:tcPr>
          <w:p w14:paraId="00903D92" w14:textId="77777777" w:rsidR="00E22451" w:rsidRPr="008E7494" w:rsidRDefault="00E22451" w:rsidP="008F6611">
            <w:pPr>
              <w:pStyle w:val="Text"/>
              <w:numPr>
                <w:ilvl w:val="0"/>
                <w:numId w:val="0"/>
              </w:numPr>
              <w:jc w:val="center"/>
              <w:rPr>
                <w:b/>
                <w:sz w:val="18"/>
                <w:szCs w:val="18"/>
              </w:rPr>
            </w:pPr>
            <w:r w:rsidRPr="008E7494">
              <w:rPr>
                <w:b/>
                <w:sz w:val="18"/>
                <w:szCs w:val="18"/>
              </w:rPr>
              <w:t>Annual report reference</w:t>
            </w:r>
          </w:p>
        </w:tc>
      </w:tr>
      <w:tr w:rsidR="00E22451" w:rsidRPr="008E7494" w14:paraId="072C6708" w14:textId="77777777" w:rsidTr="008F6611">
        <w:trPr>
          <w:cantSplit/>
        </w:trPr>
        <w:tc>
          <w:tcPr>
            <w:tcW w:w="2291" w:type="dxa"/>
          </w:tcPr>
          <w:p w14:paraId="0ACE98AC" w14:textId="77777777" w:rsidR="00E22451" w:rsidRPr="008E7494" w:rsidRDefault="00E22451" w:rsidP="008F6611">
            <w:pPr>
              <w:pStyle w:val="Text"/>
              <w:numPr>
                <w:ilvl w:val="0"/>
                <w:numId w:val="0"/>
              </w:numPr>
              <w:spacing w:before="100" w:after="100"/>
              <w:rPr>
                <w:b/>
                <w:bCs/>
                <w:sz w:val="16"/>
                <w:szCs w:val="16"/>
              </w:rPr>
            </w:pPr>
            <w:r w:rsidRPr="008E7494">
              <w:rPr>
                <w:b/>
                <w:bCs/>
                <w:sz w:val="16"/>
                <w:szCs w:val="16"/>
              </w:rPr>
              <w:t>Letter of compliance</w:t>
            </w:r>
          </w:p>
        </w:tc>
        <w:tc>
          <w:tcPr>
            <w:tcW w:w="3487" w:type="dxa"/>
          </w:tcPr>
          <w:p w14:paraId="32C3B290"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A letter of compliance from the accountable officer or statutory body to the relevant Minister/s</w:t>
            </w:r>
          </w:p>
        </w:tc>
        <w:tc>
          <w:tcPr>
            <w:tcW w:w="2694" w:type="dxa"/>
          </w:tcPr>
          <w:p w14:paraId="18A5FB02"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7</w:t>
            </w:r>
          </w:p>
        </w:tc>
        <w:tc>
          <w:tcPr>
            <w:tcW w:w="1417" w:type="dxa"/>
          </w:tcPr>
          <w:p w14:paraId="329B3426" w14:textId="77777777" w:rsidR="00E22451" w:rsidRPr="008E7494" w:rsidRDefault="00E22451" w:rsidP="004503DE">
            <w:pPr>
              <w:pStyle w:val="Text"/>
              <w:numPr>
                <w:ilvl w:val="0"/>
                <w:numId w:val="0"/>
              </w:numPr>
              <w:spacing w:before="100" w:after="100"/>
              <w:jc w:val="right"/>
              <w:rPr>
                <w:sz w:val="16"/>
                <w:szCs w:val="16"/>
              </w:rPr>
            </w:pPr>
            <w:r w:rsidRPr="008E7494">
              <w:rPr>
                <w:sz w:val="16"/>
                <w:szCs w:val="16"/>
              </w:rPr>
              <w:t>Page 4</w:t>
            </w:r>
          </w:p>
        </w:tc>
      </w:tr>
      <w:tr w:rsidR="00E22451" w:rsidRPr="008E7494" w14:paraId="2E7E92C9" w14:textId="77777777" w:rsidTr="008F6611">
        <w:trPr>
          <w:cantSplit/>
        </w:trPr>
        <w:tc>
          <w:tcPr>
            <w:tcW w:w="2291" w:type="dxa"/>
            <w:vMerge w:val="restart"/>
          </w:tcPr>
          <w:p w14:paraId="4D794D7C" w14:textId="77777777" w:rsidR="00E22451" w:rsidRPr="008E7494" w:rsidRDefault="00E22451" w:rsidP="008F6611">
            <w:pPr>
              <w:pStyle w:val="Text"/>
              <w:numPr>
                <w:ilvl w:val="0"/>
                <w:numId w:val="0"/>
              </w:numPr>
              <w:spacing w:before="100" w:after="100"/>
              <w:rPr>
                <w:b/>
                <w:bCs/>
                <w:sz w:val="16"/>
                <w:szCs w:val="16"/>
              </w:rPr>
            </w:pPr>
            <w:r w:rsidRPr="008E7494">
              <w:rPr>
                <w:b/>
                <w:bCs/>
                <w:sz w:val="16"/>
                <w:szCs w:val="16"/>
              </w:rPr>
              <w:t>Accessibility</w:t>
            </w:r>
          </w:p>
        </w:tc>
        <w:tc>
          <w:tcPr>
            <w:tcW w:w="3487" w:type="dxa"/>
          </w:tcPr>
          <w:p w14:paraId="419E7500"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Table of contents</w:t>
            </w:r>
          </w:p>
          <w:p w14:paraId="76FB4A80"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Glossary</w:t>
            </w:r>
          </w:p>
        </w:tc>
        <w:tc>
          <w:tcPr>
            <w:tcW w:w="2694" w:type="dxa"/>
          </w:tcPr>
          <w:p w14:paraId="216617F9"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9.1</w:t>
            </w:r>
          </w:p>
        </w:tc>
        <w:tc>
          <w:tcPr>
            <w:tcW w:w="1417" w:type="dxa"/>
          </w:tcPr>
          <w:p w14:paraId="64B26E84" w14:textId="77777777" w:rsidR="00E22451" w:rsidRPr="008E7494" w:rsidRDefault="00E22451" w:rsidP="004503DE">
            <w:pPr>
              <w:pStyle w:val="Text"/>
              <w:numPr>
                <w:ilvl w:val="0"/>
                <w:numId w:val="0"/>
              </w:numPr>
              <w:spacing w:before="100" w:after="100"/>
              <w:jc w:val="right"/>
              <w:rPr>
                <w:sz w:val="16"/>
                <w:szCs w:val="16"/>
              </w:rPr>
            </w:pPr>
            <w:r w:rsidRPr="008E7494">
              <w:rPr>
                <w:sz w:val="16"/>
                <w:szCs w:val="16"/>
              </w:rPr>
              <w:t>Page 5</w:t>
            </w:r>
          </w:p>
          <w:p w14:paraId="2C46AD99" w14:textId="11F7B0E2" w:rsidR="00E22451" w:rsidRPr="008E7494" w:rsidRDefault="00E22451" w:rsidP="004503DE">
            <w:pPr>
              <w:pStyle w:val="Text"/>
              <w:numPr>
                <w:ilvl w:val="0"/>
                <w:numId w:val="0"/>
              </w:numPr>
              <w:spacing w:before="100" w:after="100"/>
              <w:jc w:val="right"/>
              <w:rPr>
                <w:sz w:val="16"/>
                <w:szCs w:val="16"/>
              </w:rPr>
            </w:pPr>
            <w:r w:rsidRPr="008E7494">
              <w:rPr>
                <w:sz w:val="16"/>
                <w:szCs w:val="16"/>
              </w:rPr>
              <w:t xml:space="preserve">Page </w:t>
            </w:r>
            <w:r>
              <w:rPr>
                <w:sz w:val="16"/>
                <w:szCs w:val="16"/>
              </w:rPr>
              <w:t>1</w:t>
            </w:r>
            <w:r w:rsidR="00E31489">
              <w:rPr>
                <w:sz w:val="16"/>
                <w:szCs w:val="16"/>
              </w:rPr>
              <w:t>13</w:t>
            </w:r>
          </w:p>
        </w:tc>
      </w:tr>
      <w:tr w:rsidR="00E22451" w:rsidRPr="008E7494" w14:paraId="631A3804" w14:textId="77777777" w:rsidTr="008F6611">
        <w:trPr>
          <w:cantSplit/>
        </w:trPr>
        <w:tc>
          <w:tcPr>
            <w:tcW w:w="2291" w:type="dxa"/>
            <w:vMerge/>
          </w:tcPr>
          <w:p w14:paraId="48D1F871" w14:textId="77777777" w:rsidR="00E22451" w:rsidRPr="008E7494" w:rsidRDefault="00E22451" w:rsidP="008F6611">
            <w:pPr>
              <w:pStyle w:val="Text"/>
              <w:numPr>
                <w:ilvl w:val="0"/>
                <w:numId w:val="0"/>
              </w:numPr>
              <w:spacing w:before="100" w:after="100"/>
              <w:rPr>
                <w:b/>
                <w:bCs/>
                <w:sz w:val="16"/>
                <w:szCs w:val="16"/>
              </w:rPr>
            </w:pPr>
          </w:p>
        </w:tc>
        <w:tc>
          <w:tcPr>
            <w:tcW w:w="3487" w:type="dxa"/>
          </w:tcPr>
          <w:p w14:paraId="3A34F592"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Public availability</w:t>
            </w:r>
          </w:p>
        </w:tc>
        <w:tc>
          <w:tcPr>
            <w:tcW w:w="2694" w:type="dxa"/>
          </w:tcPr>
          <w:p w14:paraId="1CBDB8CF"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9.2</w:t>
            </w:r>
          </w:p>
        </w:tc>
        <w:tc>
          <w:tcPr>
            <w:tcW w:w="1417" w:type="dxa"/>
          </w:tcPr>
          <w:p w14:paraId="35679DB7" w14:textId="77777777" w:rsidR="00E22451" w:rsidRPr="008E7494" w:rsidRDefault="00E22451" w:rsidP="004503DE">
            <w:pPr>
              <w:pStyle w:val="Text"/>
              <w:numPr>
                <w:ilvl w:val="0"/>
                <w:numId w:val="0"/>
              </w:numPr>
              <w:spacing w:before="100" w:after="100"/>
              <w:jc w:val="right"/>
              <w:rPr>
                <w:sz w:val="16"/>
                <w:szCs w:val="16"/>
              </w:rPr>
            </w:pPr>
            <w:r w:rsidRPr="008E7494">
              <w:rPr>
                <w:sz w:val="16"/>
                <w:szCs w:val="16"/>
              </w:rPr>
              <w:t>Page 2</w:t>
            </w:r>
          </w:p>
        </w:tc>
      </w:tr>
      <w:tr w:rsidR="00E22451" w:rsidRPr="008E7494" w14:paraId="47D4979F" w14:textId="77777777" w:rsidTr="008F6611">
        <w:trPr>
          <w:cantSplit/>
        </w:trPr>
        <w:tc>
          <w:tcPr>
            <w:tcW w:w="2291" w:type="dxa"/>
            <w:vMerge/>
          </w:tcPr>
          <w:p w14:paraId="7FE3D6AD" w14:textId="77777777" w:rsidR="00E22451" w:rsidRPr="008E7494" w:rsidRDefault="00E22451" w:rsidP="008F6611">
            <w:pPr>
              <w:pStyle w:val="Text"/>
              <w:numPr>
                <w:ilvl w:val="0"/>
                <w:numId w:val="0"/>
              </w:numPr>
              <w:spacing w:before="100" w:after="100"/>
              <w:rPr>
                <w:b/>
                <w:bCs/>
                <w:sz w:val="16"/>
                <w:szCs w:val="16"/>
              </w:rPr>
            </w:pPr>
          </w:p>
        </w:tc>
        <w:tc>
          <w:tcPr>
            <w:tcW w:w="3487" w:type="dxa"/>
          </w:tcPr>
          <w:p w14:paraId="62AFBA42"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Interpreter service statement</w:t>
            </w:r>
          </w:p>
        </w:tc>
        <w:tc>
          <w:tcPr>
            <w:tcW w:w="2694" w:type="dxa"/>
          </w:tcPr>
          <w:p w14:paraId="0A89694B" w14:textId="77777777" w:rsidR="00E22451" w:rsidRPr="008E7494" w:rsidRDefault="00E22451" w:rsidP="008F6611">
            <w:pPr>
              <w:pStyle w:val="Text"/>
              <w:numPr>
                <w:ilvl w:val="0"/>
                <w:numId w:val="0"/>
              </w:numPr>
              <w:spacing w:before="100" w:after="100"/>
              <w:rPr>
                <w:i/>
                <w:sz w:val="16"/>
                <w:szCs w:val="16"/>
              </w:rPr>
            </w:pPr>
            <w:r w:rsidRPr="008E7494">
              <w:rPr>
                <w:i/>
                <w:sz w:val="16"/>
                <w:szCs w:val="16"/>
              </w:rPr>
              <w:t>Queensland Government Language Services Policy</w:t>
            </w:r>
          </w:p>
          <w:p w14:paraId="54992AA0"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9.3</w:t>
            </w:r>
          </w:p>
        </w:tc>
        <w:tc>
          <w:tcPr>
            <w:tcW w:w="1417" w:type="dxa"/>
          </w:tcPr>
          <w:p w14:paraId="130527CD" w14:textId="77777777" w:rsidR="00E22451" w:rsidRPr="008E7494" w:rsidRDefault="00E22451" w:rsidP="004503DE">
            <w:pPr>
              <w:pStyle w:val="Text"/>
              <w:numPr>
                <w:ilvl w:val="0"/>
                <w:numId w:val="0"/>
              </w:numPr>
              <w:spacing w:before="100" w:after="100"/>
              <w:jc w:val="right"/>
              <w:rPr>
                <w:sz w:val="16"/>
                <w:szCs w:val="16"/>
              </w:rPr>
            </w:pPr>
            <w:r w:rsidRPr="008E7494">
              <w:rPr>
                <w:sz w:val="16"/>
                <w:szCs w:val="16"/>
              </w:rPr>
              <w:t>Page 2</w:t>
            </w:r>
          </w:p>
        </w:tc>
      </w:tr>
      <w:tr w:rsidR="00E22451" w:rsidRPr="008E7494" w14:paraId="3C7B6142" w14:textId="77777777" w:rsidTr="008F6611">
        <w:trPr>
          <w:cantSplit/>
        </w:trPr>
        <w:tc>
          <w:tcPr>
            <w:tcW w:w="2291" w:type="dxa"/>
            <w:vMerge/>
          </w:tcPr>
          <w:p w14:paraId="41C998C9" w14:textId="77777777" w:rsidR="00E22451" w:rsidRPr="008E7494" w:rsidRDefault="00E22451" w:rsidP="008F6611">
            <w:pPr>
              <w:pStyle w:val="Text"/>
              <w:numPr>
                <w:ilvl w:val="0"/>
                <w:numId w:val="0"/>
              </w:numPr>
              <w:spacing w:before="100" w:after="100"/>
              <w:rPr>
                <w:b/>
                <w:bCs/>
                <w:sz w:val="16"/>
                <w:szCs w:val="16"/>
              </w:rPr>
            </w:pPr>
          </w:p>
        </w:tc>
        <w:tc>
          <w:tcPr>
            <w:tcW w:w="3487" w:type="dxa"/>
          </w:tcPr>
          <w:p w14:paraId="6DF731AE"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Copyright notice</w:t>
            </w:r>
          </w:p>
        </w:tc>
        <w:tc>
          <w:tcPr>
            <w:tcW w:w="2694" w:type="dxa"/>
          </w:tcPr>
          <w:p w14:paraId="3F39D82C" w14:textId="77777777" w:rsidR="00E22451" w:rsidRPr="008E7494" w:rsidRDefault="00E22451" w:rsidP="008F6611">
            <w:pPr>
              <w:pStyle w:val="Text"/>
              <w:numPr>
                <w:ilvl w:val="0"/>
                <w:numId w:val="0"/>
              </w:numPr>
              <w:spacing w:before="100" w:after="100"/>
              <w:rPr>
                <w:i/>
                <w:sz w:val="16"/>
                <w:szCs w:val="16"/>
              </w:rPr>
            </w:pPr>
            <w:r w:rsidRPr="008E7494">
              <w:rPr>
                <w:i/>
                <w:sz w:val="16"/>
                <w:szCs w:val="16"/>
              </w:rPr>
              <w:t>Copyright Act 1968</w:t>
            </w:r>
          </w:p>
          <w:p w14:paraId="2926E27B"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9.4</w:t>
            </w:r>
          </w:p>
        </w:tc>
        <w:tc>
          <w:tcPr>
            <w:tcW w:w="1417" w:type="dxa"/>
          </w:tcPr>
          <w:p w14:paraId="53CB61FF" w14:textId="77777777" w:rsidR="00E22451" w:rsidRPr="008E7494" w:rsidRDefault="00E22451" w:rsidP="004503DE">
            <w:pPr>
              <w:pStyle w:val="Text"/>
              <w:numPr>
                <w:ilvl w:val="0"/>
                <w:numId w:val="0"/>
              </w:numPr>
              <w:spacing w:before="100" w:after="100"/>
              <w:jc w:val="right"/>
              <w:rPr>
                <w:sz w:val="16"/>
                <w:szCs w:val="16"/>
              </w:rPr>
            </w:pPr>
            <w:r w:rsidRPr="008E7494">
              <w:rPr>
                <w:sz w:val="16"/>
                <w:szCs w:val="16"/>
              </w:rPr>
              <w:t>Page 2</w:t>
            </w:r>
          </w:p>
        </w:tc>
      </w:tr>
      <w:tr w:rsidR="00E22451" w:rsidRPr="008E7494" w14:paraId="2898E1F0" w14:textId="77777777" w:rsidTr="008F6611">
        <w:trPr>
          <w:cantSplit/>
        </w:trPr>
        <w:tc>
          <w:tcPr>
            <w:tcW w:w="2291" w:type="dxa"/>
            <w:vMerge/>
          </w:tcPr>
          <w:p w14:paraId="644EF0D9" w14:textId="77777777" w:rsidR="00E22451" w:rsidRPr="008E7494" w:rsidRDefault="00E22451" w:rsidP="008F6611">
            <w:pPr>
              <w:pStyle w:val="Text"/>
              <w:numPr>
                <w:ilvl w:val="0"/>
                <w:numId w:val="0"/>
              </w:numPr>
              <w:spacing w:before="100" w:after="100"/>
              <w:rPr>
                <w:b/>
                <w:bCs/>
                <w:sz w:val="16"/>
                <w:szCs w:val="16"/>
              </w:rPr>
            </w:pPr>
          </w:p>
        </w:tc>
        <w:tc>
          <w:tcPr>
            <w:tcW w:w="3487" w:type="dxa"/>
          </w:tcPr>
          <w:p w14:paraId="437AA6CC"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Information licensing</w:t>
            </w:r>
          </w:p>
        </w:tc>
        <w:tc>
          <w:tcPr>
            <w:tcW w:w="2694" w:type="dxa"/>
          </w:tcPr>
          <w:p w14:paraId="535DC483" w14:textId="77777777" w:rsidR="00E22451" w:rsidRPr="008E7494" w:rsidRDefault="00E22451" w:rsidP="008F6611">
            <w:pPr>
              <w:pStyle w:val="Text"/>
              <w:numPr>
                <w:ilvl w:val="0"/>
                <w:numId w:val="0"/>
              </w:numPr>
              <w:spacing w:before="100" w:after="100"/>
              <w:rPr>
                <w:i/>
                <w:sz w:val="16"/>
                <w:szCs w:val="16"/>
              </w:rPr>
            </w:pPr>
            <w:r w:rsidRPr="008E7494">
              <w:rPr>
                <w:i/>
                <w:sz w:val="16"/>
                <w:szCs w:val="16"/>
              </w:rPr>
              <w:t>QGEA – Information Licensing</w:t>
            </w:r>
          </w:p>
          <w:p w14:paraId="4F48BEB7"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9.5</w:t>
            </w:r>
          </w:p>
        </w:tc>
        <w:tc>
          <w:tcPr>
            <w:tcW w:w="1417" w:type="dxa"/>
          </w:tcPr>
          <w:p w14:paraId="34C94640" w14:textId="77777777" w:rsidR="00E22451" w:rsidRPr="008E7494" w:rsidRDefault="00E22451" w:rsidP="004503DE">
            <w:pPr>
              <w:pStyle w:val="Text"/>
              <w:numPr>
                <w:ilvl w:val="0"/>
                <w:numId w:val="0"/>
              </w:numPr>
              <w:spacing w:before="100" w:after="100"/>
              <w:jc w:val="right"/>
              <w:rPr>
                <w:sz w:val="16"/>
                <w:szCs w:val="16"/>
              </w:rPr>
            </w:pPr>
            <w:r w:rsidRPr="008E7494">
              <w:rPr>
                <w:sz w:val="16"/>
                <w:szCs w:val="16"/>
              </w:rPr>
              <w:t>N/A</w:t>
            </w:r>
          </w:p>
        </w:tc>
      </w:tr>
      <w:tr w:rsidR="00E22451" w:rsidRPr="008E7494" w14:paraId="6E874FBE" w14:textId="77777777" w:rsidTr="008F6611">
        <w:trPr>
          <w:cantSplit/>
        </w:trPr>
        <w:tc>
          <w:tcPr>
            <w:tcW w:w="2291" w:type="dxa"/>
            <w:vMerge w:val="restart"/>
          </w:tcPr>
          <w:p w14:paraId="0C20821E" w14:textId="77777777" w:rsidR="00E22451" w:rsidRPr="008E7494" w:rsidRDefault="00E22451" w:rsidP="008F6611">
            <w:pPr>
              <w:pStyle w:val="Text"/>
              <w:numPr>
                <w:ilvl w:val="0"/>
                <w:numId w:val="0"/>
              </w:numPr>
              <w:spacing w:before="100" w:after="100"/>
              <w:rPr>
                <w:b/>
                <w:bCs/>
                <w:sz w:val="16"/>
                <w:szCs w:val="16"/>
              </w:rPr>
            </w:pPr>
            <w:r w:rsidRPr="008E7494">
              <w:rPr>
                <w:b/>
                <w:bCs/>
                <w:sz w:val="16"/>
                <w:szCs w:val="16"/>
              </w:rPr>
              <w:t>General information</w:t>
            </w:r>
          </w:p>
        </w:tc>
        <w:tc>
          <w:tcPr>
            <w:tcW w:w="3487" w:type="dxa"/>
          </w:tcPr>
          <w:p w14:paraId="562C68C7"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Introductory Information</w:t>
            </w:r>
          </w:p>
        </w:tc>
        <w:tc>
          <w:tcPr>
            <w:tcW w:w="2694" w:type="dxa"/>
          </w:tcPr>
          <w:p w14:paraId="00BC76C2" w14:textId="77777777" w:rsidR="00E22451" w:rsidRPr="008E7494" w:rsidRDefault="00E22451" w:rsidP="008F6611">
            <w:pPr>
              <w:pStyle w:val="Text"/>
              <w:numPr>
                <w:ilvl w:val="0"/>
                <w:numId w:val="0"/>
              </w:numPr>
              <w:spacing w:before="100" w:after="100"/>
              <w:rPr>
                <w:sz w:val="16"/>
                <w:szCs w:val="16"/>
                <w:lang w:val="fr-FR"/>
              </w:rPr>
            </w:pPr>
            <w:proofErr w:type="spellStart"/>
            <w:r w:rsidRPr="008E7494">
              <w:rPr>
                <w:sz w:val="16"/>
                <w:szCs w:val="16"/>
                <w:lang w:val="fr-FR"/>
              </w:rPr>
              <w:t>ARRs</w:t>
            </w:r>
            <w:proofErr w:type="spellEnd"/>
            <w:r w:rsidRPr="008E7494">
              <w:rPr>
                <w:sz w:val="16"/>
                <w:szCs w:val="16"/>
                <w:lang w:val="fr-FR"/>
              </w:rPr>
              <w:t xml:space="preserve"> – section </w:t>
            </w:r>
            <w:r w:rsidRPr="008E7494">
              <w:rPr>
                <w:sz w:val="16"/>
                <w:szCs w:val="16"/>
              </w:rPr>
              <w:t>10.1</w:t>
            </w:r>
          </w:p>
        </w:tc>
        <w:tc>
          <w:tcPr>
            <w:tcW w:w="1417" w:type="dxa"/>
          </w:tcPr>
          <w:p w14:paraId="5924A97F" w14:textId="2E0270AC" w:rsidR="00E22451" w:rsidRPr="008E7494" w:rsidRDefault="00E22451" w:rsidP="004503DE">
            <w:pPr>
              <w:pStyle w:val="Text"/>
              <w:numPr>
                <w:ilvl w:val="0"/>
                <w:numId w:val="0"/>
              </w:numPr>
              <w:spacing w:before="100" w:after="100"/>
              <w:jc w:val="right"/>
              <w:rPr>
                <w:sz w:val="16"/>
                <w:szCs w:val="16"/>
              </w:rPr>
            </w:pPr>
            <w:r w:rsidRPr="008E7494">
              <w:rPr>
                <w:sz w:val="16"/>
                <w:szCs w:val="16"/>
              </w:rPr>
              <w:t>Pages 7-1</w:t>
            </w:r>
            <w:r w:rsidR="00E31489">
              <w:rPr>
                <w:sz w:val="16"/>
                <w:szCs w:val="16"/>
              </w:rPr>
              <w:t>2</w:t>
            </w:r>
          </w:p>
        </w:tc>
      </w:tr>
      <w:tr w:rsidR="00E22451" w:rsidRPr="008E7494" w14:paraId="4D818DF6" w14:textId="77777777" w:rsidTr="008F6611">
        <w:trPr>
          <w:cantSplit/>
        </w:trPr>
        <w:tc>
          <w:tcPr>
            <w:tcW w:w="2291" w:type="dxa"/>
            <w:vMerge/>
          </w:tcPr>
          <w:p w14:paraId="580B12D3" w14:textId="77777777" w:rsidR="00E22451" w:rsidRPr="008E7494" w:rsidRDefault="00E22451" w:rsidP="008F6611">
            <w:pPr>
              <w:pStyle w:val="Text"/>
              <w:numPr>
                <w:ilvl w:val="0"/>
                <w:numId w:val="0"/>
              </w:numPr>
              <w:spacing w:before="100" w:after="100"/>
              <w:rPr>
                <w:b/>
                <w:bCs/>
                <w:sz w:val="16"/>
                <w:szCs w:val="16"/>
              </w:rPr>
            </w:pPr>
          </w:p>
        </w:tc>
        <w:tc>
          <w:tcPr>
            <w:tcW w:w="3487" w:type="dxa"/>
          </w:tcPr>
          <w:p w14:paraId="3BDE0A96"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Machinery of Government changes</w:t>
            </w:r>
          </w:p>
        </w:tc>
        <w:tc>
          <w:tcPr>
            <w:tcW w:w="2694" w:type="dxa"/>
          </w:tcPr>
          <w:p w14:paraId="5048DF7A" w14:textId="77777777" w:rsidR="00E22451" w:rsidRPr="008E7494" w:rsidRDefault="00E22451" w:rsidP="008F6611">
            <w:pPr>
              <w:pStyle w:val="Text"/>
              <w:numPr>
                <w:ilvl w:val="0"/>
                <w:numId w:val="0"/>
              </w:numPr>
              <w:spacing w:before="100" w:after="100"/>
              <w:rPr>
                <w:sz w:val="16"/>
                <w:szCs w:val="16"/>
                <w:lang w:val="fr-FR"/>
              </w:rPr>
            </w:pPr>
            <w:r w:rsidRPr="008E7494">
              <w:rPr>
                <w:sz w:val="16"/>
                <w:szCs w:val="16"/>
              </w:rPr>
              <w:t xml:space="preserve">ARRs – section </w:t>
            </w:r>
            <w:r>
              <w:rPr>
                <w:sz w:val="16"/>
                <w:szCs w:val="16"/>
              </w:rPr>
              <w:t xml:space="preserve">10.2, </w:t>
            </w:r>
            <w:r w:rsidRPr="008E7494">
              <w:rPr>
                <w:sz w:val="16"/>
                <w:szCs w:val="16"/>
              </w:rPr>
              <w:t>31 and 32</w:t>
            </w:r>
          </w:p>
        </w:tc>
        <w:tc>
          <w:tcPr>
            <w:tcW w:w="1417" w:type="dxa"/>
          </w:tcPr>
          <w:p w14:paraId="16B233FF" w14:textId="77777777" w:rsidR="00E22451" w:rsidRPr="008E7494" w:rsidRDefault="00E22451" w:rsidP="004503DE">
            <w:pPr>
              <w:pStyle w:val="Text"/>
              <w:numPr>
                <w:ilvl w:val="0"/>
                <w:numId w:val="0"/>
              </w:numPr>
              <w:spacing w:before="100" w:after="100"/>
              <w:jc w:val="right"/>
              <w:rPr>
                <w:sz w:val="16"/>
                <w:szCs w:val="16"/>
              </w:rPr>
            </w:pPr>
            <w:r w:rsidRPr="008E7494">
              <w:rPr>
                <w:sz w:val="16"/>
                <w:szCs w:val="16"/>
              </w:rPr>
              <w:t>N/A</w:t>
            </w:r>
          </w:p>
        </w:tc>
      </w:tr>
      <w:tr w:rsidR="00E22451" w:rsidRPr="008E7494" w14:paraId="2A506B9D" w14:textId="77777777" w:rsidTr="008F6611">
        <w:trPr>
          <w:cantSplit/>
          <w:trHeight w:val="388"/>
        </w:trPr>
        <w:tc>
          <w:tcPr>
            <w:tcW w:w="2291" w:type="dxa"/>
            <w:vMerge/>
          </w:tcPr>
          <w:p w14:paraId="7E2FE56A" w14:textId="77777777" w:rsidR="00E22451" w:rsidRPr="008E7494" w:rsidRDefault="00E22451" w:rsidP="008F6611">
            <w:pPr>
              <w:pStyle w:val="Text"/>
              <w:numPr>
                <w:ilvl w:val="0"/>
                <w:numId w:val="0"/>
              </w:numPr>
              <w:spacing w:before="100" w:after="100"/>
              <w:rPr>
                <w:b/>
                <w:bCs/>
                <w:sz w:val="16"/>
                <w:szCs w:val="16"/>
              </w:rPr>
            </w:pPr>
          </w:p>
        </w:tc>
        <w:tc>
          <w:tcPr>
            <w:tcW w:w="3487" w:type="dxa"/>
          </w:tcPr>
          <w:p w14:paraId="0E81058D"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Agency role and main functions</w:t>
            </w:r>
          </w:p>
        </w:tc>
        <w:tc>
          <w:tcPr>
            <w:tcW w:w="2694" w:type="dxa"/>
          </w:tcPr>
          <w:p w14:paraId="06BEB763" w14:textId="77777777" w:rsidR="00E22451" w:rsidRPr="008E7494" w:rsidRDefault="00E22451" w:rsidP="008F6611">
            <w:pPr>
              <w:pStyle w:val="Text"/>
              <w:numPr>
                <w:ilvl w:val="0"/>
                <w:numId w:val="0"/>
              </w:numPr>
              <w:spacing w:before="100" w:after="100"/>
              <w:rPr>
                <w:sz w:val="16"/>
                <w:szCs w:val="16"/>
                <w:lang w:val="fr-FR"/>
              </w:rPr>
            </w:pPr>
            <w:r w:rsidRPr="008E7494">
              <w:rPr>
                <w:sz w:val="16"/>
                <w:szCs w:val="16"/>
              </w:rPr>
              <w:t>ARRs – section 10.2</w:t>
            </w:r>
          </w:p>
        </w:tc>
        <w:tc>
          <w:tcPr>
            <w:tcW w:w="1417" w:type="dxa"/>
          </w:tcPr>
          <w:p w14:paraId="5D8DF72D" w14:textId="6D836381" w:rsidR="00E22451" w:rsidRPr="00A058D9" w:rsidRDefault="00E22451" w:rsidP="004503DE">
            <w:pPr>
              <w:pStyle w:val="Text"/>
              <w:numPr>
                <w:ilvl w:val="0"/>
                <w:numId w:val="0"/>
              </w:numPr>
              <w:spacing w:before="100" w:after="100"/>
              <w:jc w:val="right"/>
              <w:rPr>
                <w:sz w:val="16"/>
                <w:szCs w:val="16"/>
              </w:rPr>
            </w:pPr>
            <w:r w:rsidRPr="00A058D9">
              <w:rPr>
                <w:sz w:val="16"/>
                <w:szCs w:val="16"/>
              </w:rPr>
              <w:t>Pages 1</w:t>
            </w:r>
            <w:r w:rsidR="00E31489" w:rsidRPr="00A058D9">
              <w:rPr>
                <w:sz w:val="16"/>
                <w:szCs w:val="16"/>
              </w:rPr>
              <w:t>3</w:t>
            </w:r>
            <w:r w:rsidRPr="00A058D9">
              <w:rPr>
                <w:sz w:val="16"/>
                <w:szCs w:val="16"/>
              </w:rPr>
              <w:t>-2</w:t>
            </w:r>
            <w:r w:rsidR="00E31489" w:rsidRPr="00A058D9">
              <w:rPr>
                <w:sz w:val="16"/>
                <w:szCs w:val="16"/>
              </w:rPr>
              <w:t>3</w:t>
            </w:r>
          </w:p>
        </w:tc>
      </w:tr>
      <w:tr w:rsidR="00E22451" w:rsidRPr="008E7494" w14:paraId="73A96C04" w14:textId="77777777" w:rsidTr="008F6611">
        <w:trPr>
          <w:cantSplit/>
          <w:trHeight w:val="417"/>
        </w:trPr>
        <w:tc>
          <w:tcPr>
            <w:tcW w:w="2291" w:type="dxa"/>
            <w:vMerge/>
          </w:tcPr>
          <w:p w14:paraId="6A3D3FF2" w14:textId="77777777" w:rsidR="00E22451" w:rsidRPr="008E7494" w:rsidRDefault="00E22451" w:rsidP="008F6611">
            <w:pPr>
              <w:pStyle w:val="Text"/>
              <w:numPr>
                <w:ilvl w:val="0"/>
                <w:numId w:val="0"/>
              </w:numPr>
              <w:spacing w:before="100" w:after="100"/>
              <w:rPr>
                <w:b/>
                <w:bCs/>
                <w:sz w:val="16"/>
                <w:szCs w:val="16"/>
              </w:rPr>
            </w:pPr>
          </w:p>
        </w:tc>
        <w:tc>
          <w:tcPr>
            <w:tcW w:w="3487" w:type="dxa"/>
          </w:tcPr>
          <w:p w14:paraId="4ACB25EB"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Operating environment</w:t>
            </w:r>
          </w:p>
        </w:tc>
        <w:tc>
          <w:tcPr>
            <w:tcW w:w="2694" w:type="dxa"/>
          </w:tcPr>
          <w:p w14:paraId="6E7A7DA3" w14:textId="77777777" w:rsidR="00E22451" w:rsidRPr="008E7494" w:rsidRDefault="00E22451" w:rsidP="008F6611">
            <w:pPr>
              <w:pStyle w:val="Text"/>
              <w:numPr>
                <w:ilvl w:val="0"/>
                <w:numId w:val="0"/>
              </w:numPr>
              <w:spacing w:before="100" w:after="100"/>
              <w:rPr>
                <w:sz w:val="16"/>
                <w:szCs w:val="16"/>
                <w:lang w:val="fr-FR"/>
              </w:rPr>
            </w:pPr>
            <w:r w:rsidRPr="008E7494">
              <w:rPr>
                <w:sz w:val="16"/>
                <w:szCs w:val="16"/>
              </w:rPr>
              <w:t>ARRs – section 10.3</w:t>
            </w:r>
          </w:p>
        </w:tc>
        <w:tc>
          <w:tcPr>
            <w:tcW w:w="1417" w:type="dxa"/>
          </w:tcPr>
          <w:p w14:paraId="6C32CB2D" w14:textId="1E2D93B6" w:rsidR="00E22451" w:rsidRPr="00A058D9" w:rsidRDefault="00E22451" w:rsidP="004503DE">
            <w:pPr>
              <w:pStyle w:val="Text"/>
              <w:numPr>
                <w:ilvl w:val="0"/>
                <w:numId w:val="0"/>
              </w:numPr>
              <w:spacing w:before="100" w:after="100"/>
              <w:jc w:val="right"/>
              <w:rPr>
                <w:sz w:val="16"/>
                <w:szCs w:val="16"/>
              </w:rPr>
            </w:pPr>
            <w:r w:rsidRPr="00A058D9">
              <w:rPr>
                <w:sz w:val="16"/>
                <w:szCs w:val="16"/>
              </w:rPr>
              <w:t>Pages 52-6</w:t>
            </w:r>
            <w:r w:rsidR="00651CF7">
              <w:rPr>
                <w:sz w:val="16"/>
                <w:szCs w:val="16"/>
              </w:rPr>
              <w:t>1</w:t>
            </w:r>
            <w:r w:rsidRPr="00A058D9">
              <w:rPr>
                <w:sz w:val="16"/>
                <w:szCs w:val="16"/>
              </w:rPr>
              <w:t>, 6</w:t>
            </w:r>
            <w:r w:rsidR="00A058D9" w:rsidRPr="00A058D9">
              <w:rPr>
                <w:sz w:val="16"/>
                <w:szCs w:val="16"/>
              </w:rPr>
              <w:t>7</w:t>
            </w:r>
            <w:r w:rsidRPr="00A058D9">
              <w:rPr>
                <w:sz w:val="16"/>
                <w:szCs w:val="16"/>
              </w:rPr>
              <w:t>-</w:t>
            </w:r>
            <w:r w:rsidR="00957111" w:rsidRPr="00A058D9">
              <w:rPr>
                <w:sz w:val="16"/>
                <w:szCs w:val="16"/>
              </w:rPr>
              <w:t>6</w:t>
            </w:r>
            <w:r w:rsidR="00A058D9" w:rsidRPr="00A058D9">
              <w:rPr>
                <w:sz w:val="16"/>
                <w:szCs w:val="16"/>
              </w:rPr>
              <w:t>9</w:t>
            </w:r>
            <w:r w:rsidRPr="00A058D9">
              <w:rPr>
                <w:sz w:val="16"/>
                <w:szCs w:val="16"/>
              </w:rPr>
              <w:t>, 10</w:t>
            </w:r>
            <w:r w:rsidR="00A058D9" w:rsidRPr="00A058D9">
              <w:rPr>
                <w:sz w:val="16"/>
                <w:szCs w:val="16"/>
              </w:rPr>
              <w:t>7</w:t>
            </w:r>
          </w:p>
        </w:tc>
      </w:tr>
      <w:tr w:rsidR="00E22451" w:rsidRPr="008E7494" w14:paraId="68C2BC01" w14:textId="77777777" w:rsidTr="008F6611">
        <w:trPr>
          <w:cantSplit/>
        </w:trPr>
        <w:tc>
          <w:tcPr>
            <w:tcW w:w="2291" w:type="dxa"/>
            <w:vMerge w:val="restart"/>
          </w:tcPr>
          <w:p w14:paraId="45A1BA3B" w14:textId="77777777" w:rsidR="00E22451" w:rsidRPr="008E7494" w:rsidRDefault="00E22451" w:rsidP="008F6611">
            <w:pPr>
              <w:pStyle w:val="Text"/>
              <w:numPr>
                <w:ilvl w:val="0"/>
                <w:numId w:val="0"/>
              </w:numPr>
              <w:spacing w:before="100" w:after="100"/>
              <w:rPr>
                <w:b/>
                <w:bCs/>
                <w:sz w:val="16"/>
                <w:szCs w:val="16"/>
              </w:rPr>
            </w:pPr>
            <w:r w:rsidRPr="008E7494">
              <w:rPr>
                <w:b/>
                <w:bCs/>
                <w:sz w:val="16"/>
                <w:szCs w:val="16"/>
              </w:rPr>
              <w:t>Non-financial performance</w:t>
            </w:r>
          </w:p>
        </w:tc>
        <w:tc>
          <w:tcPr>
            <w:tcW w:w="3487" w:type="dxa"/>
          </w:tcPr>
          <w:p w14:paraId="68724F1C"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Government’s objectives for the community</w:t>
            </w:r>
          </w:p>
        </w:tc>
        <w:tc>
          <w:tcPr>
            <w:tcW w:w="2694" w:type="dxa"/>
          </w:tcPr>
          <w:p w14:paraId="0451D1AC"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11.1</w:t>
            </w:r>
          </w:p>
        </w:tc>
        <w:tc>
          <w:tcPr>
            <w:tcW w:w="1417" w:type="dxa"/>
          </w:tcPr>
          <w:p w14:paraId="51E5678F" w14:textId="1DF764A4" w:rsidR="00E22451" w:rsidRPr="00BC7DEF" w:rsidRDefault="00E22451" w:rsidP="004503DE">
            <w:pPr>
              <w:pStyle w:val="Text"/>
              <w:numPr>
                <w:ilvl w:val="0"/>
                <w:numId w:val="0"/>
              </w:numPr>
              <w:spacing w:before="100" w:after="100"/>
              <w:jc w:val="right"/>
              <w:rPr>
                <w:sz w:val="16"/>
                <w:szCs w:val="16"/>
              </w:rPr>
            </w:pPr>
            <w:r w:rsidRPr="00BC7DEF">
              <w:rPr>
                <w:sz w:val="16"/>
                <w:szCs w:val="16"/>
              </w:rPr>
              <w:t>Pages 1</w:t>
            </w:r>
            <w:r w:rsidR="002F4349" w:rsidRPr="00BC7DEF">
              <w:rPr>
                <w:sz w:val="16"/>
                <w:szCs w:val="16"/>
              </w:rPr>
              <w:t>6</w:t>
            </w:r>
            <w:r w:rsidRPr="00BC7DEF">
              <w:rPr>
                <w:sz w:val="16"/>
                <w:szCs w:val="16"/>
              </w:rPr>
              <w:t>-1</w:t>
            </w:r>
            <w:r w:rsidR="00A058D9" w:rsidRPr="00BC7DEF">
              <w:rPr>
                <w:sz w:val="16"/>
                <w:szCs w:val="16"/>
              </w:rPr>
              <w:t>9</w:t>
            </w:r>
          </w:p>
        </w:tc>
      </w:tr>
      <w:tr w:rsidR="00E22451" w:rsidRPr="008E7494" w14:paraId="6D55F781" w14:textId="77777777" w:rsidTr="008F6611">
        <w:trPr>
          <w:cantSplit/>
        </w:trPr>
        <w:tc>
          <w:tcPr>
            <w:tcW w:w="2291" w:type="dxa"/>
            <w:vMerge/>
          </w:tcPr>
          <w:p w14:paraId="11B35127" w14:textId="77777777" w:rsidR="00E22451" w:rsidRPr="008E7494" w:rsidRDefault="00E22451" w:rsidP="008F6611">
            <w:pPr>
              <w:pStyle w:val="Text"/>
              <w:numPr>
                <w:ilvl w:val="0"/>
                <w:numId w:val="0"/>
              </w:numPr>
              <w:spacing w:before="100" w:after="100"/>
              <w:rPr>
                <w:b/>
                <w:bCs/>
                <w:sz w:val="16"/>
                <w:szCs w:val="16"/>
              </w:rPr>
            </w:pPr>
          </w:p>
        </w:tc>
        <w:tc>
          <w:tcPr>
            <w:tcW w:w="3487" w:type="dxa"/>
          </w:tcPr>
          <w:p w14:paraId="273CF007"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Other whole-of-government plans / specific initiatives</w:t>
            </w:r>
          </w:p>
        </w:tc>
        <w:tc>
          <w:tcPr>
            <w:tcW w:w="2694" w:type="dxa"/>
          </w:tcPr>
          <w:p w14:paraId="67D1127C"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11.2</w:t>
            </w:r>
          </w:p>
        </w:tc>
        <w:tc>
          <w:tcPr>
            <w:tcW w:w="1417" w:type="dxa"/>
          </w:tcPr>
          <w:p w14:paraId="5ABF05FF" w14:textId="4BA7B8DD" w:rsidR="00E22451" w:rsidRPr="00BC7DEF" w:rsidRDefault="00E22451" w:rsidP="004503DE">
            <w:pPr>
              <w:pStyle w:val="Text"/>
              <w:numPr>
                <w:ilvl w:val="0"/>
                <w:numId w:val="0"/>
              </w:numPr>
              <w:spacing w:before="100" w:after="100"/>
              <w:jc w:val="right"/>
              <w:rPr>
                <w:sz w:val="16"/>
                <w:szCs w:val="16"/>
              </w:rPr>
            </w:pPr>
            <w:r w:rsidRPr="00BC7DEF">
              <w:rPr>
                <w:sz w:val="16"/>
                <w:szCs w:val="16"/>
              </w:rPr>
              <w:t>Pages 1</w:t>
            </w:r>
            <w:r w:rsidR="002F4349" w:rsidRPr="00BC7DEF">
              <w:rPr>
                <w:sz w:val="16"/>
                <w:szCs w:val="16"/>
              </w:rPr>
              <w:t>6</w:t>
            </w:r>
            <w:r w:rsidRPr="00BC7DEF">
              <w:rPr>
                <w:sz w:val="16"/>
                <w:szCs w:val="16"/>
              </w:rPr>
              <w:t>-1</w:t>
            </w:r>
            <w:r w:rsidR="002F4349" w:rsidRPr="00BC7DEF">
              <w:rPr>
                <w:sz w:val="16"/>
                <w:szCs w:val="16"/>
              </w:rPr>
              <w:t>8</w:t>
            </w:r>
          </w:p>
        </w:tc>
      </w:tr>
      <w:tr w:rsidR="00E22451" w:rsidRPr="008E7494" w14:paraId="07D02173" w14:textId="77777777" w:rsidTr="008F6611">
        <w:trPr>
          <w:cantSplit/>
        </w:trPr>
        <w:tc>
          <w:tcPr>
            <w:tcW w:w="2291" w:type="dxa"/>
            <w:vMerge/>
          </w:tcPr>
          <w:p w14:paraId="1604F0F9" w14:textId="77777777" w:rsidR="00E22451" w:rsidRPr="008E7494" w:rsidRDefault="00E22451" w:rsidP="008F6611">
            <w:pPr>
              <w:pStyle w:val="Text"/>
              <w:numPr>
                <w:ilvl w:val="0"/>
                <w:numId w:val="0"/>
              </w:numPr>
              <w:spacing w:before="100" w:after="100"/>
              <w:rPr>
                <w:b/>
                <w:bCs/>
                <w:sz w:val="16"/>
                <w:szCs w:val="16"/>
              </w:rPr>
            </w:pPr>
          </w:p>
        </w:tc>
        <w:tc>
          <w:tcPr>
            <w:tcW w:w="3487" w:type="dxa"/>
          </w:tcPr>
          <w:p w14:paraId="569D4384"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Agency objectives and performance indicators</w:t>
            </w:r>
          </w:p>
        </w:tc>
        <w:tc>
          <w:tcPr>
            <w:tcW w:w="2694" w:type="dxa"/>
          </w:tcPr>
          <w:p w14:paraId="6A340E98"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11.3</w:t>
            </w:r>
          </w:p>
        </w:tc>
        <w:tc>
          <w:tcPr>
            <w:tcW w:w="1417" w:type="dxa"/>
          </w:tcPr>
          <w:p w14:paraId="6A20CFC8" w14:textId="7DCC46A1" w:rsidR="00E22451" w:rsidRPr="00A058D9" w:rsidRDefault="00E22451" w:rsidP="004503DE">
            <w:pPr>
              <w:pStyle w:val="Text"/>
              <w:numPr>
                <w:ilvl w:val="0"/>
                <w:numId w:val="0"/>
              </w:numPr>
              <w:spacing w:before="100" w:after="100"/>
              <w:jc w:val="right"/>
              <w:rPr>
                <w:sz w:val="16"/>
                <w:szCs w:val="16"/>
              </w:rPr>
            </w:pPr>
            <w:r w:rsidRPr="00A058D9">
              <w:rPr>
                <w:sz w:val="16"/>
                <w:szCs w:val="16"/>
              </w:rPr>
              <w:t>Page 1</w:t>
            </w:r>
            <w:r w:rsidR="00A058D9" w:rsidRPr="00A058D9">
              <w:rPr>
                <w:sz w:val="16"/>
                <w:szCs w:val="16"/>
              </w:rPr>
              <w:t>9</w:t>
            </w:r>
          </w:p>
        </w:tc>
      </w:tr>
      <w:tr w:rsidR="00E22451" w:rsidRPr="008E7494" w14:paraId="554BCBAE" w14:textId="77777777" w:rsidTr="008F6611">
        <w:trPr>
          <w:cantSplit/>
        </w:trPr>
        <w:tc>
          <w:tcPr>
            <w:tcW w:w="2291" w:type="dxa"/>
            <w:vMerge/>
          </w:tcPr>
          <w:p w14:paraId="569FDA92" w14:textId="77777777" w:rsidR="00E22451" w:rsidRPr="008E7494" w:rsidRDefault="00E22451" w:rsidP="008F6611">
            <w:pPr>
              <w:pStyle w:val="Text"/>
              <w:numPr>
                <w:ilvl w:val="0"/>
                <w:numId w:val="0"/>
              </w:numPr>
              <w:spacing w:before="100" w:after="100"/>
              <w:rPr>
                <w:b/>
                <w:bCs/>
                <w:sz w:val="16"/>
                <w:szCs w:val="16"/>
              </w:rPr>
            </w:pPr>
          </w:p>
        </w:tc>
        <w:tc>
          <w:tcPr>
            <w:tcW w:w="3487" w:type="dxa"/>
          </w:tcPr>
          <w:p w14:paraId="4D90E9CE"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Agency service areas and service standards</w:t>
            </w:r>
          </w:p>
        </w:tc>
        <w:tc>
          <w:tcPr>
            <w:tcW w:w="2694" w:type="dxa"/>
          </w:tcPr>
          <w:p w14:paraId="4B666AB6" w14:textId="77777777" w:rsidR="00E22451" w:rsidRPr="008E7494" w:rsidRDefault="00E22451" w:rsidP="008F6611">
            <w:pPr>
              <w:pStyle w:val="Text"/>
              <w:numPr>
                <w:ilvl w:val="0"/>
                <w:numId w:val="0"/>
              </w:numPr>
              <w:spacing w:before="100" w:after="100"/>
              <w:rPr>
                <w:i/>
                <w:sz w:val="16"/>
                <w:szCs w:val="16"/>
              </w:rPr>
            </w:pPr>
            <w:r w:rsidRPr="008E7494">
              <w:rPr>
                <w:sz w:val="16"/>
                <w:szCs w:val="16"/>
              </w:rPr>
              <w:t>ARRs – section 11.4</w:t>
            </w:r>
          </w:p>
        </w:tc>
        <w:tc>
          <w:tcPr>
            <w:tcW w:w="1417" w:type="dxa"/>
          </w:tcPr>
          <w:p w14:paraId="3318B105" w14:textId="648D3DD4" w:rsidR="00E22451" w:rsidRPr="00A058D9" w:rsidRDefault="00E22451" w:rsidP="004503DE">
            <w:pPr>
              <w:pStyle w:val="Text"/>
              <w:numPr>
                <w:ilvl w:val="0"/>
                <w:numId w:val="0"/>
              </w:numPr>
              <w:spacing w:before="100" w:after="100"/>
              <w:jc w:val="right"/>
              <w:rPr>
                <w:sz w:val="16"/>
                <w:szCs w:val="16"/>
              </w:rPr>
            </w:pPr>
            <w:r w:rsidRPr="00A058D9">
              <w:rPr>
                <w:sz w:val="16"/>
                <w:szCs w:val="16"/>
              </w:rPr>
              <w:t>Page 54</w:t>
            </w:r>
          </w:p>
        </w:tc>
      </w:tr>
      <w:tr w:rsidR="00E22451" w:rsidRPr="008E7494" w14:paraId="3065C838" w14:textId="77777777" w:rsidTr="008F6611">
        <w:trPr>
          <w:cantSplit/>
        </w:trPr>
        <w:tc>
          <w:tcPr>
            <w:tcW w:w="2291" w:type="dxa"/>
          </w:tcPr>
          <w:p w14:paraId="57D1BB42" w14:textId="77777777" w:rsidR="00E22451" w:rsidRPr="008E7494" w:rsidRDefault="00E22451" w:rsidP="008F6611">
            <w:pPr>
              <w:pStyle w:val="Text"/>
              <w:numPr>
                <w:ilvl w:val="0"/>
                <w:numId w:val="0"/>
              </w:numPr>
              <w:spacing w:before="100" w:after="100"/>
              <w:rPr>
                <w:b/>
                <w:bCs/>
                <w:sz w:val="16"/>
                <w:szCs w:val="16"/>
              </w:rPr>
            </w:pPr>
            <w:r w:rsidRPr="008E7494">
              <w:rPr>
                <w:b/>
                <w:bCs/>
                <w:sz w:val="16"/>
                <w:szCs w:val="16"/>
              </w:rPr>
              <w:t>Financial performance</w:t>
            </w:r>
          </w:p>
        </w:tc>
        <w:tc>
          <w:tcPr>
            <w:tcW w:w="3487" w:type="dxa"/>
          </w:tcPr>
          <w:p w14:paraId="2409C625"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Summary of financial performance</w:t>
            </w:r>
          </w:p>
        </w:tc>
        <w:tc>
          <w:tcPr>
            <w:tcW w:w="2694" w:type="dxa"/>
          </w:tcPr>
          <w:p w14:paraId="260333E3"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12.1</w:t>
            </w:r>
          </w:p>
        </w:tc>
        <w:tc>
          <w:tcPr>
            <w:tcW w:w="1417" w:type="dxa"/>
          </w:tcPr>
          <w:p w14:paraId="63EA5904" w14:textId="77777777" w:rsidR="00E22451" w:rsidRPr="00A058D9" w:rsidRDefault="00E22451" w:rsidP="004503DE">
            <w:pPr>
              <w:pStyle w:val="Text"/>
              <w:numPr>
                <w:ilvl w:val="0"/>
                <w:numId w:val="0"/>
              </w:numPr>
              <w:spacing w:before="100" w:after="100"/>
              <w:jc w:val="right"/>
              <w:rPr>
                <w:sz w:val="16"/>
                <w:szCs w:val="16"/>
              </w:rPr>
            </w:pPr>
            <w:r w:rsidRPr="00A058D9">
              <w:rPr>
                <w:sz w:val="16"/>
                <w:szCs w:val="16"/>
              </w:rPr>
              <w:t>Pages 62-63</w:t>
            </w:r>
          </w:p>
        </w:tc>
      </w:tr>
    </w:tbl>
    <w:p w14:paraId="4BBED70C" w14:textId="77777777" w:rsidR="00E22451" w:rsidRPr="008E7494" w:rsidRDefault="00E22451" w:rsidP="00E22451"/>
    <w:p w14:paraId="734CC4DE" w14:textId="77777777" w:rsidR="00E22451" w:rsidRPr="008E7494" w:rsidRDefault="00E22451" w:rsidP="00E22451">
      <w:r w:rsidRPr="008E7494">
        <w:br w:type="page"/>
      </w:r>
    </w:p>
    <w:p w14:paraId="63296CDC" w14:textId="77777777" w:rsidR="00E22451" w:rsidRPr="008E7494" w:rsidRDefault="00E22451" w:rsidP="00E22451"/>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1"/>
        <w:gridCol w:w="3487"/>
        <w:gridCol w:w="2694"/>
        <w:gridCol w:w="1417"/>
      </w:tblGrid>
      <w:tr w:rsidR="00E22451" w:rsidRPr="008E7494" w14:paraId="1BD563D7" w14:textId="77777777" w:rsidTr="008F6611">
        <w:trPr>
          <w:cantSplit/>
          <w:tblHeader/>
        </w:trPr>
        <w:tc>
          <w:tcPr>
            <w:tcW w:w="5778" w:type="dxa"/>
            <w:gridSpan w:val="2"/>
            <w:shd w:val="clear" w:color="auto" w:fill="E6E6E6"/>
            <w:vAlign w:val="center"/>
          </w:tcPr>
          <w:p w14:paraId="474229A2" w14:textId="77777777" w:rsidR="00E22451" w:rsidRPr="008E7494" w:rsidRDefault="00E22451" w:rsidP="008F6611">
            <w:pPr>
              <w:pStyle w:val="Text"/>
              <w:numPr>
                <w:ilvl w:val="0"/>
                <w:numId w:val="0"/>
              </w:numPr>
              <w:rPr>
                <w:b/>
                <w:sz w:val="18"/>
                <w:szCs w:val="18"/>
              </w:rPr>
            </w:pPr>
            <w:r w:rsidRPr="008E7494">
              <w:rPr>
                <w:b/>
                <w:sz w:val="18"/>
                <w:szCs w:val="18"/>
              </w:rPr>
              <w:t>Summary of requirement</w:t>
            </w:r>
          </w:p>
        </w:tc>
        <w:tc>
          <w:tcPr>
            <w:tcW w:w="2694" w:type="dxa"/>
            <w:shd w:val="clear" w:color="auto" w:fill="E6E6E6"/>
            <w:vAlign w:val="center"/>
          </w:tcPr>
          <w:p w14:paraId="50441367" w14:textId="77777777" w:rsidR="00E22451" w:rsidRPr="008E7494" w:rsidRDefault="00E22451" w:rsidP="008F6611">
            <w:pPr>
              <w:pStyle w:val="Text"/>
              <w:numPr>
                <w:ilvl w:val="0"/>
                <w:numId w:val="0"/>
              </w:numPr>
              <w:rPr>
                <w:b/>
                <w:sz w:val="18"/>
                <w:szCs w:val="18"/>
              </w:rPr>
            </w:pPr>
            <w:r w:rsidRPr="008E7494">
              <w:rPr>
                <w:b/>
                <w:sz w:val="18"/>
                <w:szCs w:val="18"/>
              </w:rPr>
              <w:t>Basis for requirement</w:t>
            </w:r>
          </w:p>
        </w:tc>
        <w:tc>
          <w:tcPr>
            <w:tcW w:w="1417" w:type="dxa"/>
            <w:shd w:val="clear" w:color="auto" w:fill="E6E6E6"/>
            <w:vAlign w:val="center"/>
          </w:tcPr>
          <w:p w14:paraId="5EA9314E" w14:textId="77777777" w:rsidR="00E22451" w:rsidRPr="008E7494" w:rsidRDefault="00E22451" w:rsidP="008F6611">
            <w:pPr>
              <w:pStyle w:val="Text"/>
              <w:numPr>
                <w:ilvl w:val="0"/>
                <w:numId w:val="0"/>
              </w:numPr>
              <w:jc w:val="center"/>
              <w:rPr>
                <w:b/>
                <w:sz w:val="18"/>
                <w:szCs w:val="18"/>
              </w:rPr>
            </w:pPr>
            <w:r w:rsidRPr="008E7494">
              <w:rPr>
                <w:b/>
                <w:sz w:val="18"/>
                <w:szCs w:val="18"/>
              </w:rPr>
              <w:t>Annual report reference</w:t>
            </w:r>
          </w:p>
        </w:tc>
      </w:tr>
      <w:tr w:rsidR="00E22451" w:rsidRPr="008E7494" w14:paraId="46FAE0DA" w14:textId="77777777" w:rsidTr="008F6611">
        <w:trPr>
          <w:cantSplit/>
        </w:trPr>
        <w:tc>
          <w:tcPr>
            <w:tcW w:w="2291" w:type="dxa"/>
            <w:vMerge w:val="restart"/>
          </w:tcPr>
          <w:p w14:paraId="6463F529" w14:textId="77777777" w:rsidR="00E22451" w:rsidRPr="008E7494" w:rsidRDefault="00E22451" w:rsidP="008F6611">
            <w:pPr>
              <w:pStyle w:val="Text"/>
              <w:numPr>
                <w:ilvl w:val="0"/>
                <w:numId w:val="0"/>
              </w:numPr>
              <w:spacing w:before="100" w:after="100"/>
              <w:rPr>
                <w:b/>
                <w:bCs/>
                <w:sz w:val="16"/>
                <w:szCs w:val="16"/>
              </w:rPr>
            </w:pPr>
            <w:r w:rsidRPr="008E7494">
              <w:rPr>
                <w:b/>
                <w:bCs/>
                <w:sz w:val="16"/>
                <w:szCs w:val="16"/>
              </w:rPr>
              <w:t>Governance – management and structure</w:t>
            </w:r>
          </w:p>
        </w:tc>
        <w:tc>
          <w:tcPr>
            <w:tcW w:w="3487" w:type="dxa"/>
          </w:tcPr>
          <w:p w14:paraId="69C11FBA"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Organisational structure</w:t>
            </w:r>
          </w:p>
        </w:tc>
        <w:tc>
          <w:tcPr>
            <w:tcW w:w="2694" w:type="dxa"/>
          </w:tcPr>
          <w:p w14:paraId="30EB09BF"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13.1</w:t>
            </w:r>
          </w:p>
        </w:tc>
        <w:tc>
          <w:tcPr>
            <w:tcW w:w="1417" w:type="dxa"/>
          </w:tcPr>
          <w:p w14:paraId="43E1C2CC" w14:textId="43C45F82" w:rsidR="00E22451" w:rsidRPr="008E7494" w:rsidRDefault="00E22451" w:rsidP="004503DE">
            <w:pPr>
              <w:pStyle w:val="Text"/>
              <w:numPr>
                <w:ilvl w:val="0"/>
                <w:numId w:val="0"/>
              </w:numPr>
              <w:spacing w:before="100" w:after="100"/>
              <w:jc w:val="right"/>
              <w:rPr>
                <w:sz w:val="16"/>
                <w:szCs w:val="16"/>
              </w:rPr>
            </w:pPr>
            <w:r w:rsidRPr="008E7494">
              <w:rPr>
                <w:sz w:val="16"/>
                <w:szCs w:val="16"/>
              </w:rPr>
              <w:t xml:space="preserve">Pages </w:t>
            </w:r>
            <w:r w:rsidR="00A10510">
              <w:rPr>
                <w:sz w:val="16"/>
                <w:szCs w:val="16"/>
              </w:rPr>
              <w:t>70</w:t>
            </w:r>
            <w:r>
              <w:rPr>
                <w:sz w:val="16"/>
                <w:szCs w:val="16"/>
              </w:rPr>
              <w:t>-</w:t>
            </w:r>
            <w:r w:rsidR="00A10510">
              <w:rPr>
                <w:sz w:val="16"/>
                <w:szCs w:val="16"/>
              </w:rPr>
              <w:t>71</w:t>
            </w:r>
          </w:p>
        </w:tc>
      </w:tr>
      <w:tr w:rsidR="00E22451" w:rsidRPr="008E7494" w14:paraId="17818556" w14:textId="77777777" w:rsidTr="008F6611">
        <w:trPr>
          <w:cantSplit/>
        </w:trPr>
        <w:tc>
          <w:tcPr>
            <w:tcW w:w="2291" w:type="dxa"/>
            <w:vMerge/>
          </w:tcPr>
          <w:p w14:paraId="2190F5BF" w14:textId="77777777" w:rsidR="00E22451" w:rsidRPr="008E7494" w:rsidRDefault="00E22451" w:rsidP="008F6611">
            <w:pPr>
              <w:pStyle w:val="Text"/>
              <w:numPr>
                <w:ilvl w:val="0"/>
                <w:numId w:val="0"/>
              </w:numPr>
              <w:spacing w:before="100" w:after="100"/>
              <w:rPr>
                <w:b/>
                <w:bCs/>
                <w:sz w:val="16"/>
                <w:szCs w:val="16"/>
              </w:rPr>
            </w:pPr>
          </w:p>
        </w:tc>
        <w:tc>
          <w:tcPr>
            <w:tcW w:w="3487" w:type="dxa"/>
          </w:tcPr>
          <w:p w14:paraId="51305F1A"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Executive management</w:t>
            </w:r>
          </w:p>
        </w:tc>
        <w:tc>
          <w:tcPr>
            <w:tcW w:w="2694" w:type="dxa"/>
          </w:tcPr>
          <w:p w14:paraId="47BD438F"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13.2</w:t>
            </w:r>
          </w:p>
        </w:tc>
        <w:tc>
          <w:tcPr>
            <w:tcW w:w="1417" w:type="dxa"/>
          </w:tcPr>
          <w:p w14:paraId="42D599FE" w14:textId="15A6A37D" w:rsidR="00E22451" w:rsidRPr="008E7494" w:rsidRDefault="00E22451" w:rsidP="004503DE">
            <w:pPr>
              <w:pStyle w:val="Text"/>
              <w:numPr>
                <w:ilvl w:val="0"/>
                <w:numId w:val="0"/>
              </w:numPr>
              <w:spacing w:before="100" w:after="100"/>
              <w:jc w:val="right"/>
              <w:rPr>
                <w:sz w:val="16"/>
                <w:szCs w:val="16"/>
              </w:rPr>
            </w:pPr>
            <w:r w:rsidRPr="008E7494">
              <w:rPr>
                <w:sz w:val="16"/>
                <w:szCs w:val="16"/>
              </w:rPr>
              <w:t>Page</w:t>
            </w:r>
            <w:r w:rsidR="009D27BC">
              <w:rPr>
                <w:sz w:val="16"/>
                <w:szCs w:val="16"/>
              </w:rPr>
              <w:t>s</w:t>
            </w:r>
            <w:r w:rsidRPr="008E7494">
              <w:rPr>
                <w:sz w:val="16"/>
                <w:szCs w:val="16"/>
              </w:rPr>
              <w:t xml:space="preserve"> </w:t>
            </w:r>
            <w:r w:rsidR="00A10510">
              <w:rPr>
                <w:sz w:val="16"/>
                <w:szCs w:val="16"/>
              </w:rPr>
              <w:t>70</w:t>
            </w:r>
            <w:r w:rsidR="009D27BC">
              <w:rPr>
                <w:sz w:val="16"/>
                <w:szCs w:val="16"/>
              </w:rPr>
              <w:t>-</w:t>
            </w:r>
            <w:r w:rsidR="00A10510">
              <w:rPr>
                <w:sz w:val="16"/>
                <w:szCs w:val="16"/>
              </w:rPr>
              <w:t>71</w:t>
            </w:r>
          </w:p>
        </w:tc>
      </w:tr>
      <w:tr w:rsidR="00E22451" w:rsidRPr="008E7494" w14:paraId="7575A015" w14:textId="77777777" w:rsidTr="008F6611">
        <w:trPr>
          <w:cantSplit/>
        </w:trPr>
        <w:tc>
          <w:tcPr>
            <w:tcW w:w="2291" w:type="dxa"/>
            <w:vMerge/>
          </w:tcPr>
          <w:p w14:paraId="5EE4E279" w14:textId="77777777" w:rsidR="00E22451" w:rsidRPr="008E7494" w:rsidRDefault="00E22451" w:rsidP="008F6611">
            <w:pPr>
              <w:pStyle w:val="Text"/>
              <w:numPr>
                <w:ilvl w:val="0"/>
                <w:numId w:val="0"/>
              </w:numPr>
              <w:spacing w:before="100" w:after="100"/>
              <w:rPr>
                <w:b/>
                <w:bCs/>
                <w:sz w:val="16"/>
                <w:szCs w:val="16"/>
              </w:rPr>
            </w:pPr>
          </w:p>
        </w:tc>
        <w:tc>
          <w:tcPr>
            <w:tcW w:w="3487" w:type="dxa"/>
          </w:tcPr>
          <w:p w14:paraId="0DD11892"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Government bodies (statutory bodies and other entities)</w:t>
            </w:r>
          </w:p>
        </w:tc>
        <w:tc>
          <w:tcPr>
            <w:tcW w:w="2694" w:type="dxa"/>
          </w:tcPr>
          <w:p w14:paraId="29A85FFF"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13.3</w:t>
            </w:r>
          </w:p>
        </w:tc>
        <w:tc>
          <w:tcPr>
            <w:tcW w:w="1417" w:type="dxa"/>
          </w:tcPr>
          <w:p w14:paraId="3B779400" w14:textId="77777777" w:rsidR="00E22451" w:rsidRPr="008E7494" w:rsidRDefault="00E22451" w:rsidP="004503DE">
            <w:pPr>
              <w:pStyle w:val="Text"/>
              <w:numPr>
                <w:ilvl w:val="0"/>
                <w:numId w:val="0"/>
              </w:numPr>
              <w:spacing w:before="100" w:after="100"/>
              <w:jc w:val="right"/>
              <w:rPr>
                <w:sz w:val="16"/>
                <w:szCs w:val="16"/>
              </w:rPr>
            </w:pPr>
            <w:r w:rsidRPr="008E7494">
              <w:rPr>
                <w:sz w:val="16"/>
                <w:szCs w:val="16"/>
              </w:rPr>
              <w:t>N/A</w:t>
            </w:r>
          </w:p>
        </w:tc>
      </w:tr>
      <w:tr w:rsidR="00E22451" w:rsidRPr="008E7494" w14:paraId="75AFA6DF" w14:textId="77777777" w:rsidTr="008F6611">
        <w:trPr>
          <w:cantSplit/>
        </w:trPr>
        <w:tc>
          <w:tcPr>
            <w:tcW w:w="2291" w:type="dxa"/>
            <w:vMerge/>
          </w:tcPr>
          <w:p w14:paraId="3C8B4EE6" w14:textId="77777777" w:rsidR="00E22451" w:rsidRPr="008E7494" w:rsidRDefault="00E22451" w:rsidP="008F6611">
            <w:pPr>
              <w:pStyle w:val="Text"/>
              <w:numPr>
                <w:ilvl w:val="0"/>
                <w:numId w:val="0"/>
              </w:numPr>
              <w:spacing w:before="100" w:after="100"/>
              <w:rPr>
                <w:b/>
                <w:bCs/>
                <w:sz w:val="16"/>
                <w:szCs w:val="16"/>
              </w:rPr>
            </w:pPr>
          </w:p>
        </w:tc>
        <w:tc>
          <w:tcPr>
            <w:tcW w:w="3487" w:type="dxa"/>
          </w:tcPr>
          <w:p w14:paraId="475E9E67"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i/>
                <w:sz w:val="16"/>
                <w:szCs w:val="16"/>
              </w:rPr>
              <w:t>Public Sector Ethics Act 1994</w:t>
            </w:r>
          </w:p>
        </w:tc>
        <w:tc>
          <w:tcPr>
            <w:tcW w:w="2694" w:type="dxa"/>
          </w:tcPr>
          <w:p w14:paraId="13EFAEE3" w14:textId="77777777" w:rsidR="00E22451" w:rsidRPr="008E7494" w:rsidRDefault="00E22451" w:rsidP="008F6611">
            <w:pPr>
              <w:pStyle w:val="Text"/>
              <w:numPr>
                <w:ilvl w:val="0"/>
                <w:numId w:val="0"/>
              </w:numPr>
              <w:spacing w:before="100" w:after="100"/>
              <w:rPr>
                <w:i/>
                <w:sz w:val="16"/>
                <w:szCs w:val="16"/>
              </w:rPr>
            </w:pPr>
            <w:r w:rsidRPr="008E7494">
              <w:rPr>
                <w:i/>
                <w:sz w:val="16"/>
                <w:szCs w:val="16"/>
              </w:rPr>
              <w:t>Public Sector Ethics Act 1994</w:t>
            </w:r>
          </w:p>
          <w:p w14:paraId="6D14E94B"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13.4</w:t>
            </w:r>
          </w:p>
        </w:tc>
        <w:tc>
          <w:tcPr>
            <w:tcW w:w="1417" w:type="dxa"/>
          </w:tcPr>
          <w:p w14:paraId="5646D03D" w14:textId="50BB4CFF" w:rsidR="00E22451" w:rsidRPr="008E7494" w:rsidRDefault="00E22451" w:rsidP="004503DE">
            <w:pPr>
              <w:pStyle w:val="Text"/>
              <w:numPr>
                <w:ilvl w:val="0"/>
                <w:numId w:val="0"/>
              </w:numPr>
              <w:spacing w:before="100" w:after="100"/>
              <w:jc w:val="right"/>
              <w:rPr>
                <w:sz w:val="16"/>
                <w:szCs w:val="16"/>
              </w:rPr>
            </w:pPr>
            <w:r w:rsidRPr="008E7494">
              <w:rPr>
                <w:sz w:val="16"/>
                <w:szCs w:val="16"/>
              </w:rPr>
              <w:t xml:space="preserve">Page </w:t>
            </w:r>
            <w:r w:rsidR="00957111">
              <w:rPr>
                <w:sz w:val="16"/>
                <w:szCs w:val="16"/>
              </w:rPr>
              <w:t>7</w:t>
            </w:r>
            <w:r w:rsidR="00A10510">
              <w:rPr>
                <w:sz w:val="16"/>
                <w:szCs w:val="16"/>
              </w:rPr>
              <w:t>6</w:t>
            </w:r>
          </w:p>
        </w:tc>
      </w:tr>
      <w:tr w:rsidR="00E22451" w:rsidRPr="008E7494" w14:paraId="1AA83A3E" w14:textId="77777777" w:rsidTr="008F6611">
        <w:trPr>
          <w:cantSplit/>
        </w:trPr>
        <w:tc>
          <w:tcPr>
            <w:tcW w:w="2291" w:type="dxa"/>
            <w:vMerge/>
          </w:tcPr>
          <w:p w14:paraId="6EA1BCBC" w14:textId="77777777" w:rsidR="00E22451" w:rsidRPr="008E7494" w:rsidRDefault="00E22451" w:rsidP="008F6611">
            <w:pPr>
              <w:pStyle w:val="Text"/>
              <w:numPr>
                <w:ilvl w:val="0"/>
                <w:numId w:val="0"/>
              </w:numPr>
              <w:spacing w:before="100" w:after="100"/>
              <w:rPr>
                <w:b/>
                <w:bCs/>
                <w:sz w:val="16"/>
                <w:szCs w:val="16"/>
              </w:rPr>
            </w:pPr>
          </w:p>
        </w:tc>
        <w:tc>
          <w:tcPr>
            <w:tcW w:w="3487" w:type="dxa"/>
          </w:tcPr>
          <w:p w14:paraId="4DD25EB9"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Queensland public service values</w:t>
            </w:r>
          </w:p>
        </w:tc>
        <w:tc>
          <w:tcPr>
            <w:tcW w:w="2694" w:type="dxa"/>
          </w:tcPr>
          <w:p w14:paraId="1A88C4BD"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13.5</w:t>
            </w:r>
          </w:p>
        </w:tc>
        <w:tc>
          <w:tcPr>
            <w:tcW w:w="1417" w:type="dxa"/>
          </w:tcPr>
          <w:p w14:paraId="0BF03EDC" w14:textId="6DD89655" w:rsidR="00E22451" w:rsidRPr="008E7494" w:rsidRDefault="00E22451" w:rsidP="004503DE">
            <w:pPr>
              <w:pStyle w:val="Text"/>
              <w:numPr>
                <w:ilvl w:val="0"/>
                <w:numId w:val="0"/>
              </w:numPr>
              <w:spacing w:before="100" w:after="100"/>
              <w:jc w:val="right"/>
              <w:rPr>
                <w:sz w:val="16"/>
                <w:szCs w:val="16"/>
              </w:rPr>
            </w:pPr>
            <w:r w:rsidRPr="008E7494">
              <w:rPr>
                <w:sz w:val="16"/>
                <w:szCs w:val="16"/>
              </w:rPr>
              <w:t>Page</w:t>
            </w:r>
            <w:r w:rsidR="009D27BC">
              <w:rPr>
                <w:sz w:val="16"/>
                <w:szCs w:val="16"/>
              </w:rPr>
              <w:t>s</w:t>
            </w:r>
            <w:r w:rsidRPr="008E7494">
              <w:rPr>
                <w:sz w:val="16"/>
                <w:szCs w:val="16"/>
              </w:rPr>
              <w:t xml:space="preserve"> </w:t>
            </w:r>
            <w:r w:rsidR="00957111">
              <w:rPr>
                <w:sz w:val="16"/>
                <w:szCs w:val="16"/>
              </w:rPr>
              <w:t>7</w:t>
            </w:r>
            <w:r w:rsidR="00A10510">
              <w:rPr>
                <w:sz w:val="16"/>
                <w:szCs w:val="16"/>
              </w:rPr>
              <w:t>7</w:t>
            </w:r>
            <w:r w:rsidR="009D27BC">
              <w:rPr>
                <w:sz w:val="16"/>
                <w:szCs w:val="16"/>
              </w:rPr>
              <w:t>-7</w:t>
            </w:r>
            <w:r w:rsidR="00A10510">
              <w:rPr>
                <w:sz w:val="16"/>
                <w:szCs w:val="16"/>
              </w:rPr>
              <w:t>8</w:t>
            </w:r>
          </w:p>
        </w:tc>
      </w:tr>
      <w:tr w:rsidR="00E22451" w:rsidRPr="008E7494" w14:paraId="67CF6F64" w14:textId="77777777" w:rsidTr="008F6611">
        <w:trPr>
          <w:cantSplit/>
        </w:trPr>
        <w:tc>
          <w:tcPr>
            <w:tcW w:w="2291" w:type="dxa"/>
            <w:vMerge w:val="restart"/>
          </w:tcPr>
          <w:p w14:paraId="42CF1877" w14:textId="77777777" w:rsidR="00E22451" w:rsidRPr="008E7494" w:rsidRDefault="00E22451" w:rsidP="008F6611">
            <w:pPr>
              <w:pStyle w:val="Text"/>
              <w:numPr>
                <w:ilvl w:val="0"/>
                <w:numId w:val="0"/>
              </w:numPr>
              <w:spacing w:before="100" w:after="100"/>
              <w:rPr>
                <w:b/>
                <w:bCs/>
                <w:sz w:val="16"/>
                <w:szCs w:val="16"/>
              </w:rPr>
            </w:pPr>
            <w:r w:rsidRPr="008E7494">
              <w:rPr>
                <w:b/>
                <w:bCs/>
                <w:sz w:val="16"/>
                <w:szCs w:val="16"/>
              </w:rPr>
              <w:t>Governance – risk management and accountability</w:t>
            </w:r>
          </w:p>
        </w:tc>
        <w:tc>
          <w:tcPr>
            <w:tcW w:w="3487" w:type="dxa"/>
          </w:tcPr>
          <w:p w14:paraId="1DEA730F"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Risk management</w:t>
            </w:r>
          </w:p>
        </w:tc>
        <w:tc>
          <w:tcPr>
            <w:tcW w:w="2694" w:type="dxa"/>
          </w:tcPr>
          <w:p w14:paraId="464CDA85"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14.1</w:t>
            </w:r>
          </w:p>
        </w:tc>
        <w:tc>
          <w:tcPr>
            <w:tcW w:w="1417" w:type="dxa"/>
          </w:tcPr>
          <w:p w14:paraId="0D67F284" w14:textId="2DA9CDF4" w:rsidR="00E22451" w:rsidRPr="008E7494" w:rsidRDefault="00E22451" w:rsidP="004503DE">
            <w:pPr>
              <w:pStyle w:val="Text"/>
              <w:numPr>
                <w:ilvl w:val="0"/>
                <w:numId w:val="0"/>
              </w:numPr>
              <w:spacing w:before="100" w:after="100"/>
              <w:jc w:val="right"/>
              <w:rPr>
                <w:sz w:val="16"/>
                <w:szCs w:val="16"/>
              </w:rPr>
            </w:pPr>
            <w:r w:rsidRPr="008E7494">
              <w:rPr>
                <w:sz w:val="16"/>
                <w:szCs w:val="16"/>
              </w:rPr>
              <w:t xml:space="preserve">Page </w:t>
            </w:r>
            <w:r w:rsidR="00957111">
              <w:rPr>
                <w:sz w:val="16"/>
                <w:szCs w:val="16"/>
              </w:rPr>
              <w:t>7</w:t>
            </w:r>
            <w:r w:rsidR="00A10510">
              <w:rPr>
                <w:sz w:val="16"/>
                <w:szCs w:val="16"/>
              </w:rPr>
              <w:t>8</w:t>
            </w:r>
          </w:p>
        </w:tc>
      </w:tr>
      <w:tr w:rsidR="00E22451" w:rsidRPr="008E7494" w14:paraId="42BE6666" w14:textId="77777777" w:rsidTr="008F6611">
        <w:trPr>
          <w:cantSplit/>
        </w:trPr>
        <w:tc>
          <w:tcPr>
            <w:tcW w:w="2291" w:type="dxa"/>
            <w:vMerge/>
          </w:tcPr>
          <w:p w14:paraId="1BF14D6F" w14:textId="77777777" w:rsidR="00E22451" w:rsidRPr="008E7494" w:rsidRDefault="00E22451" w:rsidP="008F6611">
            <w:pPr>
              <w:pStyle w:val="Text"/>
              <w:numPr>
                <w:ilvl w:val="0"/>
                <w:numId w:val="0"/>
              </w:numPr>
              <w:spacing w:before="100" w:after="100"/>
              <w:rPr>
                <w:b/>
                <w:bCs/>
                <w:sz w:val="16"/>
                <w:szCs w:val="16"/>
              </w:rPr>
            </w:pPr>
          </w:p>
        </w:tc>
        <w:tc>
          <w:tcPr>
            <w:tcW w:w="3487" w:type="dxa"/>
          </w:tcPr>
          <w:p w14:paraId="133469B4"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Audit committee</w:t>
            </w:r>
          </w:p>
        </w:tc>
        <w:tc>
          <w:tcPr>
            <w:tcW w:w="2694" w:type="dxa"/>
          </w:tcPr>
          <w:p w14:paraId="5CC7D1B7"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14.2</w:t>
            </w:r>
          </w:p>
        </w:tc>
        <w:tc>
          <w:tcPr>
            <w:tcW w:w="1417" w:type="dxa"/>
          </w:tcPr>
          <w:p w14:paraId="78C54393" w14:textId="77777777" w:rsidR="00E22451" w:rsidRPr="008E7494" w:rsidRDefault="00E22451" w:rsidP="004503DE">
            <w:pPr>
              <w:pStyle w:val="Text"/>
              <w:numPr>
                <w:ilvl w:val="0"/>
                <w:numId w:val="0"/>
              </w:numPr>
              <w:spacing w:before="100" w:after="100"/>
              <w:jc w:val="right"/>
              <w:rPr>
                <w:sz w:val="16"/>
                <w:szCs w:val="16"/>
              </w:rPr>
            </w:pPr>
            <w:r w:rsidRPr="008E7494">
              <w:rPr>
                <w:sz w:val="16"/>
                <w:szCs w:val="16"/>
              </w:rPr>
              <w:t>N/A</w:t>
            </w:r>
          </w:p>
        </w:tc>
      </w:tr>
      <w:tr w:rsidR="00E22451" w:rsidRPr="008E7494" w14:paraId="0D996425" w14:textId="77777777" w:rsidTr="008F6611">
        <w:trPr>
          <w:cantSplit/>
        </w:trPr>
        <w:tc>
          <w:tcPr>
            <w:tcW w:w="2291" w:type="dxa"/>
            <w:vMerge/>
          </w:tcPr>
          <w:p w14:paraId="1D6B249C" w14:textId="77777777" w:rsidR="00E22451" w:rsidRPr="008E7494" w:rsidRDefault="00E22451" w:rsidP="008F6611">
            <w:pPr>
              <w:pStyle w:val="Text"/>
              <w:numPr>
                <w:ilvl w:val="0"/>
                <w:numId w:val="0"/>
              </w:numPr>
              <w:spacing w:before="100" w:after="100"/>
              <w:rPr>
                <w:b/>
                <w:bCs/>
                <w:sz w:val="16"/>
                <w:szCs w:val="16"/>
              </w:rPr>
            </w:pPr>
          </w:p>
        </w:tc>
        <w:tc>
          <w:tcPr>
            <w:tcW w:w="3487" w:type="dxa"/>
          </w:tcPr>
          <w:p w14:paraId="32682813"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Internal audit</w:t>
            </w:r>
          </w:p>
        </w:tc>
        <w:tc>
          <w:tcPr>
            <w:tcW w:w="2694" w:type="dxa"/>
          </w:tcPr>
          <w:p w14:paraId="60D62B9B"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14.3</w:t>
            </w:r>
          </w:p>
        </w:tc>
        <w:tc>
          <w:tcPr>
            <w:tcW w:w="1417" w:type="dxa"/>
          </w:tcPr>
          <w:p w14:paraId="1353B6D2" w14:textId="77777777" w:rsidR="00E22451" w:rsidRPr="008E7494" w:rsidRDefault="00E22451" w:rsidP="004503DE">
            <w:pPr>
              <w:pStyle w:val="Text"/>
              <w:numPr>
                <w:ilvl w:val="0"/>
                <w:numId w:val="0"/>
              </w:numPr>
              <w:spacing w:before="100" w:after="100"/>
              <w:jc w:val="right"/>
              <w:rPr>
                <w:sz w:val="16"/>
                <w:szCs w:val="16"/>
              </w:rPr>
            </w:pPr>
            <w:r w:rsidRPr="008E7494">
              <w:rPr>
                <w:sz w:val="16"/>
                <w:szCs w:val="16"/>
              </w:rPr>
              <w:t>Page 6</w:t>
            </w:r>
            <w:r>
              <w:rPr>
                <w:sz w:val="16"/>
                <w:szCs w:val="16"/>
              </w:rPr>
              <w:t>2</w:t>
            </w:r>
          </w:p>
        </w:tc>
      </w:tr>
      <w:tr w:rsidR="00E22451" w:rsidRPr="008E7494" w14:paraId="7A452E86" w14:textId="77777777" w:rsidTr="008F6611">
        <w:trPr>
          <w:cantSplit/>
        </w:trPr>
        <w:tc>
          <w:tcPr>
            <w:tcW w:w="2291" w:type="dxa"/>
            <w:vMerge/>
          </w:tcPr>
          <w:p w14:paraId="50A3885A" w14:textId="77777777" w:rsidR="00E22451" w:rsidRPr="008E7494" w:rsidRDefault="00E22451" w:rsidP="008F6611">
            <w:pPr>
              <w:pStyle w:val="Text"/>
              <w:numPr>
                <w:ilvl w:val="0"/>
                <w:numId w:val="0"/>
              </w:numPr>
              <w:spacing w:before="100" w:after="100"/>
              <w:rPr>
                <w:b/>
                <w:bCs/>
                <w:sz w:val="16"/>
                <w:szCs w:val="16"/>
              </w:rPr>
            </w:pPr>
          </w:p>
        </w:tc>
        <w:tc>
          <w:tcPr>
            <w:tcW w:w="3487" w:type="dxa"/>
          </w:tcPr>
          <w:p w14:paraId="2CB2C548"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External scrutiny</w:t>
            </w:r>
          </w:p>
        </w:tc>
        <w:tc>
          <w:tcPr>
            <w:tcW w:w="2694" w:type="dxa"/>
          </w:tcPr>
          <w:p w14:paraId="614713CD"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14.4</w:t>
            </w:r>
          </w:p>
        </w:tc>
        <w:tc>
          <w:tcPr>
            <w:tcW w:w="1417" w:type="dxa"/>
          </w:tcPr>
          <w:p w14:paraId="7ECF8599" w14:textId="50ABBB58" w:rsidR="00E22451" w:rsidRPr="008E7494" w:rsidRDefault="00E22451" w:rsidP="004503DE">
            <w:pPr>
              <w:pStyle w:val="Text"/>
              <w:numPr>
                <w:ilvl w:val="0"/>
                <w:numId w:val="0"/>
              </w:numPr>
              <w:spacing w:before="100" w:after="100"/>
              <w:jc w:val="right"/>
              <w:rPr>
                <w:sz w:val="16"/>
                <w:szCs w:val="16"/>
              </w:rPr>
            </w:pPr>
            <w:r w:rsidRPr="008E7494">
              <w:rPr>
                <w:sz w:val="16"/>
                <w:szCs w:val="16"/>
              </w:rPr>
              <w:t xml:space="preserve">Pages </w:t>
            </w:r>
            <w:r>
              <w:rPr>
                <w:sz w:val="16"/>
                <w:szCs w:val="16"/>
              </w:rPr>
              <w:t xml:space="preserve">48, </w:t>
            </w:r>
            <w:r w:rsidR="005527DE">
              <w:rPr>
                <w:sz w:val="16"/>
                <w:szCs w:val="16"/>
              </w:rPr>
              <w:t>7</w:t>
            </w:r>
            <w:r w:rsidR="00A10510">
              <w:rPr>
                <w:sz w:val="16"/>
                <w:szCs w:val="16"/>
              </w:rPr>
              <w:t>8</w:t>
            </w:r>
          </w:p>
        </w:tc>
      </w:tr>
      <w:tr w:rsidR="00E22451" w:rsidRPr="008E7494" w14:paraId="510FF954" w14:textId="77777777" w:rsidTr="008F6611">
        <w:trPr>
          <w:cantSplit/>
        </w:trPr>
        <w:tc>
          <w:tcPr>
            <w:tcW w:w="2291" w:type="dxa"/>
            <w:vMerge/>
          </w:tcPr>
          <w:p w14:paraId="4B16B2E8" w14:textId="77777777" w:rsidR="00E22451" w:rsidRPr="008E7494" w:rsidRDefault="00E22451" w:rsidP="008F6611">
            <w:pPr>
              <w:pStyle w:val="Text"/>
              <w:numPr>
                <w:ilvl w:val="0"/>
                <w:numId w:val="0"/>
              </w:numPr>
              <w:spacing w:before="100" w:after="100"/>
              <w:rPr>
                <w:b/>
                <w:bCs/>
                <w:sz w:val="16"/>
                <w:szCs w:val="16"/>
              </w:rPr>
            </w:pPr>
          </w:p>
        </w:tc>
        <w:tc>
          <w:tcPr>
            <w:tcW w:w="3487" w:type="dxa"/>
          </w:tcPr>
          <w:p w14:paraId="40DA3B3C"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Information systems and record keeping</w:t>
            </w:r>
          </w:p>
        </w:tc>
        <w:tc>
          <w:tcPr>
            <w:tcW w:w="2694" w:type="dxa"/>
          </w:tcPr>
          <w:p w14:paraId="0F1F352E"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14.5</w:t>
            </w:r>
          </w:p>
        </w:tc>
        <w:tc>
          <w:tcPr>
            <w:tcW w:w="1417" w:type="dxa"/>
          </w:tcPr>
          <w:p w14:paraId="3B47EB05" w14:textId="3838DD73" w:rsidR="00E22451" w:rsidRPr="008E7494" w:rsidRDefault="00E22451" w:rsidP="004503DE">
            <w:pPr>
              <w:pStyle w:val="Text"/>
              <w:numPr>
                <w:ilvl w:val="0"/>
                <w:numId w:val="0"/>
              </w:numPr>
              <w:spacing w:before="100" w:after="100"/>
              <w:jc w:val="right"/>
              <w:rPr>
                <w:sz w:val="16"/>
                <w:szCs w:val="16"/>
              </w:rPr>
            </w:pPr>
            <w:r w:rsidRPr="008E7494">
              <w:rPr>
                <w:sz w:val="16"/>
                <w:szCs w:val="16"/>
              </w:rPr>
              <w:t xml:space="preserve">Pages </w:t>
            </w:r>
            <w:r w:rsidR="005527DE">
              <w:rPr>
                <w:sz w:val="16"/>
                <w:szCs w:val="16"/>
              </w:rPr>
              <w:t>7</w:t>
            </w:r>
            <w:r w:rsidR="00A10510">
              <w:rPr>
                <w:sz w:val="16"/>
                <w:szCs w:val="16"/>
              </w:rPr>
              <w:t>5</w:t>
            </w:r>
            <w:r w:rsidR="005527DE">
              <w:rPr>
                <w:sz w:val="16"/>
                <w:szCs w:val="16"/>
              </w:rPr>
              <w:t>-7</w:t>
            </w:r>
            <w:r w:rsidR="00A10510">
              <w:rPr>
                <w:sz w:val="16"/>
                <w:szCs w:val="16"/>
              </w:rPr>
              <w:t>6</w:t>
            </w:r>
          </w:p>
        </w:tc>
      </w:tr>
      <w:tr w:rsidR="00E22451" w:rsidRPr="008E7494" w14:paraId="36189659" w14:textId="77777777" w:rsidTr="008F6611">
        <w:trPr>
          <w:cantSplit/>
        </w:trPr>
        <w:tc>
          <w:tcPr>
            <w:tcW w:w="2291" w:type="dxa"/>
            <w:vMerge w:val="restart"/>
          </w:tcPr>
          <w:p w14:paraId="6CDCF589" w14:textId="77777777" w:rsidR="00E22451" w:rsidRPr="008E7494" w:rsidRDefault="00E22451" w:rsidP="008F6611">
            <w:pPr>
              <w:pStyle w:val="Text"/>
              <w:numPr>
                <w:ilvl w:val="0"/>
                <w:numId w:val="0"/>
              </w:numPr>
              <w:spacing w:before="100" w:after="100"/>
              <w:rPr>
                <w:b/>
                <w:bCs/>
                <w:sz w:val="16"/>
                <w:szCs w:val="16"/>
              </w:rPr>
            </w:pPr>
            <w:r w:rsidRPr="008E7494">
              <w:rPr>
                <w:b/>
                <w:bCs/>
                <w:sz w:val="16"/>
                <w:szCs w:val="16"/>
              </w:rPr>
              <w:t>Governance – human resources</w:t>
            </w:r>
          </w:p>
        </w:tc>
        <w:tc>
          <w:tcPr>
            <w:tcW w:w="3487" w:type="dxa"/>
          </w:tcPr>
          <w:p w14:paraId="73C489CB"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Strategic workforce planning and performance</w:t>
            </w:r>
          </w:p>
        </w:tc>
        <w:tc>
          <w:tcPr>
            <w:tcW w:w="2694" w:type="dxa"/>
          </w:tcPr>
          <w:p w14:paraId="55E728DB"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15.1</w:t>
            </w:r>
          </w:p>
        </w:tc>
        <w:tc>
          <w:tcPr>
            <w:tcW w:w="1417" w:type="dxa"/>
          </w:tcPr>
          <w:p w14:paraId="201739FE" w14:textId="4BFD0D81" w:rsidR="00E22451" w:rsidRPr="008E7494" w:rsidRDefault="00E22451" w:rsidP="004503DE">
            <w:pPr>
              <w:pStyle w:val="Text"/>
              <w:numPr>
                <w:ilvl w:val="0"/>
                <w:numId w:val="0"/>
              </w:numPr>
              <w:spacing w:before="100" w:after="100"/>
              <w:jc w:val="right"/>
              <w:rPr>
                <w:sz w:val="16"/>
                <w:szCs w:val="16"/>
              </w:rPr>
            </w:pPr>
            <w:r w:rsidRPr="008E7494">
              <w:rPr>
                <w:sz w:val="16"/>
                <w:szCs w:val="16"/>
              </w:rPr>
              <w:t xml:space="preserve">Pages </w:t>
            </w:r>
            <w:r w:rsidR="00263954">
              <w:rPr>
                <w:sz w:val="16"/>
                <w:szCs w:val="16"/>
              </w:rPr>
              <w:t>72</w:t>
            </w:r>
            <w:r>
              <w:rPr>
                <w:sz w:val="16"/>
                <w:szCs w:val="16"/>
              </w:rPr>
              <w:t>-</w:t>
            </w:r>
            <w:r w:rsidR="005527DE">
              <w:rPr>
                <w:sz w:val="16"/>
                <w:szCs w:val="16"/>
              </w:rPr>
              <w:t>7</w:t>
            </w:r>
            <w:r w:rsidR="00263954">
              <w:rPr>
                <w:sz w:val="16"/>
                <w:szCs w:val="16"/>
              </w:rPr>
              <w:t>5</w:t>
            </w:r>
          </w:p>
        </w:tc>
      </w:tr>
      <w:tr w:rsidR="00E22451" w:rsidRPr="008E7494" w14:paraId="7B175001" w14:textId="77777777" w:rsidTr="008F6611">
        <w:trPr>
          <w:cantSplit/>
        </w:trPr>
        <w:tc>
          <w:tcPr>
            <w:tcW w:w="2291" w:type="dxa"/>
            <w:vMerge/>
          </w:tcPr>
          <w:p w14:paraId="684C9C56" w14:textId="77777777" w:rsidR="00E22451" w:rsidRPr="008E7494" w:rsidRDefault="00E22451" w:rsidP="008F6611">
            <w:pPr>
              <w:pStyle w:val="Text"/>
              <w:numPr>
                <w:ilvl w:val="0"/>
                <w:numId w:val="0"/>
              </w:numPr>
              <w:spacing w:before="100" w:after="100"/>
              <w:rPr>
                <w:b/>
                <w:bCs/>
                <w:sz w:val="16"/>
                <w:szCs w:val="16"/>
              </w:rPr>
            </w:pPr>
          </w:p>
        </w:tc>
        <w:tc>
          <w:tcPr>
            <w:tcW w:w="3487" w:type="dxa"/>
          </w:tcPr>
          <w:p w14:paraId="5E167E6F"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Early retirement, redundancy and retrenchment</w:t>
            </w:r>
          </w:p>
        </w:tc>
        <w:tc>
          <w:tcPr>
            <w:tcW w:w="2694" w:type="dxa"/>
          </w:tcPr>
          <w:p w14:paraId="1FFD5772" w14:textId="77777777" w:rsidR="00E22451" w:rsidRPr="008E7494" w:rsidRDefault="00E22451" w:rsidP="008F6611">
            <w:pPr>
              <w:pStyle w:val="Text"/>
              <w:numPr>
                <w:ilvl w:val="0"/>
                <w:numId w:val="0"/>
              </w:numPr>
              <w:spacing w:before="100" w:after="100"/>
              <w:rPr>
                <w:i/>
                <w:sz w:val="16"/>
                <w:szCs w:val="16"/>
              </w:rPr>
            </w:pPr>
            <w:r w:rsidRPr="008E7494">
              <w:rPr>
                <w:sz w:val="16"/>
                <w:szCs w:val="16"/>
              </w:rPr>
              <w:t>Directive No.</w:t>
            </w:r>
            <w:r>
              <w:rPr>
                <w:sz w:val="16"/>
                <w:szCs w:val="16"/>
              </w:rPr>
              <w:t>04/18</w:t>
            </w:r>
            <w:r w:rsidRPr="008E7494">
              <w:rPr>
                <w:sz w:val="16"/>
                <w:szCs w:val="16"/>
              </w:rPr>
              <w:t xml:space="preserve"> </w:t>
            </w:r>
            <w:r w:rsidRPr="008E7494">
              <w:rPr>
                <w:i/>
                <w:sz w:val="16"/>
                <w:szCs w:val="16"/>
              </w:rPr>
              <w:t>Early Retirement, Redundancy and Retrenchment</w:t>
            </w:r>
          </w:p>
          <w:p w14:paraId="55107233"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15.2</w:t>
            </w:r>
          </w:p>
        </w:tc>
        <w:tc>
          <w:tcPr>
            <w:tcW w:w="1417" w:type="dxa"/>
          </w:tcPr>
          <w:p w14:paraId="72F9FACC" w14:textId="56DBE2F9" w:rsidR="00E22451" w:rsidRPr="008E7494" w:rsidRDefault="00E22451" w:rsidP="004503DE">
            <w:pPr>
              <w:pStyle w:val="Text"/>
              <w:numPr>
                <w:ilvl w:val="0"/>
                <w:numId w:val="0"/>
              </w:numPr>
              <w:spacing w:before="100" w:after="100"/>
              <w:jc w:val="right"/>
              <w:rPr>
                <w:sz w:val="16"/>
                <w:szCs w:val="16"/>
              </w:rPr>
            </w:pPr>
            <w:r w:rsidRPr="008E7494">
              <w:rPr>
                <w:sz w:val="16"/>
                <w:szCs w:val="16"/>
              </w:rPr>
              <w:t xml:space="preserve">Page </w:t>
            </w:r>
            <w:r w:rsidR="00263954">
              <w:rPr>
                <w:sz w:val="16"/>
                <w:szCs w:val="16"/>
              </w:rPr>
              <w:t>73</w:t>
            </w:r>
          </w:p>
        </w:tc>
      </w:tr>
      <w:tr w:rsidR="00E22451" w:rsidRPr="008E7494" w14:paraId="5D1FCF70" w14:textId="77777777" w:rsidTr="008F6611">
        <w:trPr>
          <w:cantSplit/>
        </w:trPr>
        <w:tc>
          <w:tcPr>
            <w:tcW w:w="2291" w:type="dxa"/>
            <w:vMerge w:val="restart"/>
          </w:tcPr>
          <w:p w14:paraId="486525C8" w14:textId="77777777" w:rsidR="00E22451" w:rsidRPr="008E7494" w:rsidRDefault="00E22451" w:rsidP="008F6611">
            <w:pPr>
              <w:pStyle w:val="Text"/>
              <w:numPr>
                <w:ilvl w:val="0"/>
                <w:numId w:val="0"/>
              </w:numPr>
              <w:spacing w:before="100" w:after="100"/>
              <w:rPr>
                <w:b/>
                <w:bCs/>
                <w:sz w:val="16"/>
                <w:szCs w:val="16"/>
              </w:rPr>
            </w:pPr>
            <w:r w:rsidRPr="008E7494">
              <w:rPr>
                <w:b/>
                <w:bCs/>
                <w:sz w:val="16"/>
              </w:rPr>
              <w:t>Open Data</w:t>
            </w:r>
          </w:p>
        </w:tc>
        <w:tc>
          <w:tcPr>
            <w:tcW w:w="3487" w:type="dxa"/>
          </w:tcPr>
          <w:p w14:paraId="6B674764"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Statement advising publication of information</w:t>
            </w:r>
          </w:p>
        </w:tc>
        <w:tc>
          <w:tcPr>
            <w:tcW w:w="2694" w:type="dxa"/>
          </w:tcPr>
          <w:p w14:paraId="742AAA15"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16</w:t>
            </w:r>
          </w:p>
        </w:tc>
        <w:tc>
          <w:tcPr>
            <w:tcW w:w="1417" w:type="dxa"/>
          </w:tcPr>
          <w:p w14:paraId="23CBD10E" w14:textId="0484D41F" w:rsidR="00E22451" w:rsidRPr="008E7494" w:rsidRDefault="00E22451" w:rsidP="004503DE">
            <w:pPr>
              <w:pStyle w:val="Text"/>
              <w:numPr>
                <w:ilvl w:val="0"/>
                <w:numId w:val="0"/>
              </w:numPr>
              <w:spacing w:before="100" w:after="100"/>
              <w:jc w:val="right"/>
              <w:rPr>
                <w:sz w:val="16"/>
                <w:szCs w:val="16"/>
              </w:rPr>
            </w:pPr>
            <w:r w:rsidRPr="008E7494">
              <w:rPr>
                <w:sz w:val="16"/>
                <w:szCs w:val="16"/>
              </w:rPr>
              <w:t xml:space="preserve">Page </w:t>
            </w:r>
            <w:r w:rsidR="00263954">
              <w:rPr>
                <w:sz w:val="16"/>
                <w:szCs w:val="16"/>
              </w:rPr>
              <w:t>80</w:t>
            </w:r>
          </w:p>
        </w:tc>
      </w:tr>
      <w:tr w:rsidR="00E22451" w:rsidRPr="008E7494" w14:paraId="2484D000" w14:textId="77777777" w:rsidTr="008F6611">
        <w:trPr>
          <w:cantSplit/>
        </w:trPr>
        <w:tc>
          <w:tcPr>
            <w:tcW w:w="2291" w:type="dxa"/>
            <w:vMerge/>
          </w:tcPr>
          <w:p w14:paraId="2865F539" w14:textId="77777777" w:rsidR="00E22451" w:rsidRPr="008E7494" w:rsidRDefault="00E22451" w:rsidP="008F6611">
            <w:pPr>
              <w:pStyle w:val="Text"/>
              <w:numPr>
                <w:ilvl w:val="0"/>
                <w:numId w:val="0"/>
              </w:numPr>
              <w:spacing w:before="100" w:after="100"/>
              <w:rPr>
                <w:b/>
                <w:bCs/>
                <w:sz w:val="16"/>
                <w:szCs w:val="16"/>
              </w:rPr>
            </w:pPr>
          </w:p>
        </w:tc>
        <w:tc>
          <w:tcPr>
            <w:tcW w:w="3487" w:type="dxa"/>
          </w:tcPr>
          <w:p w14:paraId="6A7D5702"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Consultancies</w:t>
            </w:r>
          </w:p>
        </w:tc>
        <w:tc>
          <w:tcPr>
            <w:tcW w:w="2694" w:type="dxa"/>
          </w:tcPr>
          <w:p w14:paraId="657FD69E"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33.1</w:t>
            </w:r>
          </w:p>
        </w:tc>
        <w:tc>
          <w:tcPr>
            <w:tcW w:w="1417" w:type="dxa"/>
          </w:tcPr>
          <w:p w14:paraId="74596501" w14:textId="4926EF40" w:rsidR="00E22451" w:rsidRPr="008E7494" w:rsidRDefault="00E22451" w:rsidP="004503DE">
            <w:pPr>
              <w:pStyle w:val="Text"/>
              <w:numPr>
                <w:ilvl w:val="0"/>
                <w:numId w:val="0"/>
              </w:numPr>
              <w:spacing w:before="100" w:after="100"/>
              <w:jc w:val="right"/>
              <w:rPr>
                <w:sz w:val="16"/>
                <w:szCs w:val="16"/>
              </w:rPr>
            </w:pPr>
            <w:r w:rsidRPr="008E7494">
              <w:rPr>
                <w:sz w:val="16"/>
                <w:szCs w:val="16"/>
              </w:rPr>
              <w:t xml:space="preserve">Page </w:t>
            </w:r>
            <w:r w:rsidR="00263954">
              <w:rPr>
                <w:sz w:val="16"/>
                <w:szCs w:val="16"/>
              </w:rPr>
              <w:t>80</w:t>
            </w:r>
          </w:p>
        </w:tc>
      </w:tr>
      <w:tr w:rsidR="00E22451" w:rsidRPr="008E7494" w14:paraId="0D1D4B6F" w14:textId="77777777" w:rsidTr="008F6611">
        <w:trPr>
          <w:cantSplit/>
        </w:trPr>
        <w:tc>
          <w:tcPr>
            <w:tcW w:w="2291" w:type="dxa"/>
            <w:vMerge/>
          </w:tcPr>
          <w:p w14:paraId="162C5490" w14:textId="77777777" w:rsidR="00E22451" w:rsidRPr="008E7494" w:rsidRDefault="00E22451" w:rsidP="008F6611">
            <w:pPr>
              <w:pStyle w:val="Text"/>
              <w:numPr>
                <w:ilvl w:val="0"/>
                <w:numId w:val="0"/>
              </w:numPr>
              <w:spacing w:before="100" w:after="100"/>
              <w:rPr>
                <w:b/>
                <w:bCs/>
                <w:sz w:val="16"/>
                <w:szCs w:val="16"/>
              </w:rPr>
            </w:pPr>
          </w:p>
        </w:tc>
        <w:tc>
          <w:tcPr>
            <w:tcW w:w="3487" w:type="dxa"/>
          </w:tcPr>
          <w:p w14:paraId="3DB4D382"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Overseas travel</w:t>
            </w:r>
          </w:p>
        </w:tc>
        <w:tc>
          <w:tcPr>
            <w:tcW w:w="2694" w:type="dxa"/>
          </w:tcPr>
          <w:p w14:paraId="5D22E8BC"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33.2</w:t>
            </w:r>
          </w:p>
        </w:tc>
        <w:tc>
          <w:tcPr>
            <w:tcW w:w="1417" w:type="dxa"/>
          </w:tcPr>
          <w:p w14:paraId="1F474B37" w14:textId="502E3979" w:rsidR="00E22451" w:rsidRPr="008E7494" w:rsidRDefault="00E22451" w:rsidP="004503DE">
            <w:pPr>
              <w:pStyle w:val="Text"/>
              <w:numPr>
                <w:ilvl w:val="0"/>
                <w:numId w:val="0"/>
              </w:numPr>
              <w:spacing w:before="100" w:after="100"/>
              <w:jc w:val="right"/>
              <w:rPr>
                <w:sz w:val="16"/>
                <w:szCs w:val="16"/>
              </w:rPr>
            </w:pPr>
            <w:r w:rsidRPr="008E7494">
              <w:rPr>
                <w:sz w:val="16"/>
                <w:szCs w:val="16"/>
              </w:rPr>
              <w:t xml:space="preserve">Page </w:t>
            </w:r>
            <w:r w:rsidR="00263954">
              <w:rPr>
                <w:sz w:val="16"/>
                <w:szCs w:val="16"/>
              </w:rPr>
              <w:t>80</w:t>
            </w:r>
          </w:p>
        </w:tc>
      </w:tr>
      <w:tr w:rsidR="00E22451" w:rsidRPr="008E7494" w14:paraId="654BD3B6" w14:textId="77777777" w:rsidTr="008F6611">
        <w:trPr>
          <w:cantSplit/>
        </w:trPr>
        <w:tc>
          <w:tcPr>
            <w:tcW w:w="2291" w:type="dxa"/>
            <w:vMerge/>
          </w:tcPr>
          <w:p w14:paraId="37E39B9F" w14:textId="77777777" w:rsidR="00E22451" w:rsidRPr="008E7494" w:rsidRDefault="00E22451" w:rsidP="008F6611">
            <w:pPr>
              <w:pStyle w:val="Text"/>
              <w:numPr>
                <w:ilvl w:val="0"/>
                <w:numId w:val="0"/>
              </w:numPr>
              <w:spacing w:before="100" w:after="100"/>
              <w:rPr>
                <w:b/>
                <w:bCs/>
                <w:sz w:val="16"/>
                <w:szCs w:val="16"/>
              </w:rPr>
            </w:pPr>
          </w:p>
        </w:tc>
        <w:tc>
          <w:tcPr>
            <w:tcW w:w="3487" w:type="dxa"/>
          </w:tcPr>
          <w:p w14:paraId="31D5E261"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Queensland Language Services Policy</w:t>
            </w:r>
          </w:p>
        </w:tc>
        <w:tc>
          <w:tcPr>
            <w:tcW w:w="2694" w:type="dxa"/>
          </w:tcPr>
          <w:p w14:paraId="755A5EE1"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33.3</w:t>
            </w:r>
          </w:p>
        </w:tc>
        <w:tc>
          <w:tcPr>
            <w:tcW w:w="1417" w:type="dxa"/>
          </w:tcPr>
          <w:p w14:paraId="26F6CE0F" w14:textId="77777777" w:rsidR="00E22451" w:rsidRPr="008E7494" w:rsidRDefault="00E22451" w:rsidP="004503DE">
            <w:pPr>
              <w:pStyle w:val="Text"/>
              <w:numPr>
                <w:ilvl w:val="0"/>
                <w:numId w:val="0"/>
              </w:numPr>
              <w:spacing w:before="100" w:after="100"/>
              <w:jc w:val="right"/>
              <w:rPr>
                <w:sz w:val="16"/>
                <w:szCs w:val="16"/>
              </w:rPr>
            </w:pPr>
            <w:r w:rsidRPr="008E7494">
              <w:rPr>
                <w:sz w:val="16"/>
                <w:szCs w:val="16"/>
              </w:rPr>
              <w:t>N/A</w:t>
            </w:r>
          </w:p>
        </w:tc>
      </w:tr>
      <w:tr w:rsidR="00E22451" w:rsidRPr="008E7494" w14:paraId="307A10C7" w14:textId="77777777" w:rsidTr="008F6611">
        <w:trPr>
          <w:cantSplit/>
        </w:trPr>
        <w:tc>
          <w:tcPr>
            <w:tcW w:w="2291" w:type="dxa"/>
            <w:vMerge w:val="restart"/>
          </w:tcPr>
          <w:p w14:paraId="2905EB26" w14:textId="77777777" w:rsidR="00E22451" w:rsidRPr="008E7494" w:rsidRDefault="00E22451" w:rsidP="008F6611">
            <w:pPr>
              <w:pStyle w:val="Text"/>
              <w:numPr>
                <w:ilvl w:val="0"/>
                <w:numId w:val="0"/>
              </w:numPr>
              <w:spacing w:before="100" w:after="100"/>
              <w:rPr>
                <w:b/>
                <w:bCs/>
                <w:sz w:val="16"/>
                <w:szCs w:val="16"/>
              </w:rPr>
            </w:pPr>
            <w:r w:rsidRPr="008E7494">
              <w:rPr>
                <w:b/>
                <w:bCs/>
                <w:sz w:val="16"/>
              </w:rPr>
              <w:t>Financial statements</w:t>
            </w:r>
          </w:p>
        </w:tc>
        <w:tc>
          <w:tcPr>
            <w:tcW w:w="3487" w:type="dxa"/>
          </w:tcPr>
          <w:p w14:paraId="631AD836"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Certification of financial statements</w:t>
            </w:r>
          </w:p>
        </w:tc>
        <w:tc>
          <w:tcPr>
            <w:tcW w:w="2694" w:type="dxa"/>
          </w:tcPr>
          <w:p w14:paraId="17E56D6E" w14:textId="77777777" w:rsidR="00E22451" w:rsidRPr="008E7494" w:rsidRDefault="00E22451" w:rsidP="008F6611">
            <w:pPr>
              <w:pStyle w:val="Text"/>
              <w:numPr>
                <w:ilvl w:val="0"/>
                <w:numId w:val="0"/>
              </w:numPr>
              <w:spacing w:before="100" w:after="100"/>
              <w:rPr>
                <w:sz w:val="16"/>
                <w:szCs w:val="16"/>
              </w:rPr>
            </w:pPr>
            <w:r w:rsidRPr="008E7494">
              <w:rPr>
                <w:sz w:val="16"/>
                <w:szCs w:val="16"/>
              </w:rPr>
              <w:t>FAA – section 62</w:t>
            </w:r>
          </w:p>
          <w:p w14:paraId="57A3D852" w14:textId="77777777" w:rsidR="00E22451" w:rsidRPr="008E7494" w:rsidRDefault="00E22451" w:rsidP="008F6611">
            <w:pPr>
              <w:pStyle w:val="Text"/>
              <w:numPr>
                <w:ilvl w:val="0"/>
                <w:numId w:val="0"/>
              </w:numPr>
              <w:spacing w:before="100" w:after="100"/>
              <w:rPr>
                <w:sz w:val="16"/>
                <w:szCs w:val="16"/>
              </w:rPr>
            </w:pPr>
            <w:r w:rsidRPr="008E7494">
              <w:rPr>
                <w:sz w:val="16"/>
                <w:szCs w:val="16"/>
              </w:rPr>
              <w:t>FPMS – sections 42, 43 and 50</w:t>
            </w:r>
          </w:p>
          <w:p w14:paraId="43AEA6F1"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17.1</w:t>
            </w:r>
          </w:p>
        </w:tc>
        <w:tc>
          <w:tcPr>
            <w:tcW w:w="1417" w:type="dxa"/>
          </w:tcPr>
          <w:p w14:paraId="1E474DA2" w14:textId="6B68CFF2" w:rsidR="00E22451" w:rsidRPr="008E7494" w:rsidRDefault="00E22451" w:rsidP="004503DE">
            <w:pPr>
              <w:pStyle w:val="Text"/>
              <w:numPr>
                <w:ilvl w:val="0"/>
                <w:numId w:val="0"/>
              </w:numPr>
              <w:spacing w:before="100" w:after="100"/>
              <w:jc w:val="right"/>
              <w:rPr>
                <w:sz w:val="16"/>
                <w:szCs w:val="16"/>
              </w:rPr>
            </w:pPr>
            <w:r w:rsidRPr="008E7494">
              <w:rPr>
                <w:sz w:val="16"/>
                <w:szCs w:val="16"/>
              </w:rPr>
              <w:t xml:space="preserve">Page </w:t>
            </w:r>
            <w:r w:rsidR="002A741E">
              <w:rPr>
                <w:sz w:val="16"/>
                <w:szCs w:val="16"/>
              </w:rPr>
              <w:t>83</w:t>
            </w:r>
          </w:p>
        </w:tc>
      </w:tr>
      <w:tr w:rsidR="00E22451" w:rsidRPr="008E7494" w14:paraId="4F188613" w14:textId="77777777" w:rsidTr="008F6611">
        <w:trPr>
          <w:cantSplit/>
        </w:trPr>
        <w:tc>
          <w:tcPr>
            <w:tcW w:w="2291" w:type="dxa"/>
            <w:vMerge/>
          </w:tcPr>
          <w:p w14:paraId="55E25C5D" w14:textId="77777777" w:rsidR="00E22451" w:rsidRPr="008E7494" w:rsidRDefault="00E22451" w:rsidP="008F6611">
            <w:pPr>
              <w:pStyle w:val="Text"/>
              <w:numPr>
                <w:ilvl w:val="0"/>
                <w:numId w:val="0"/>
              </w:numPr>
              <w:spacing w:before="100" w:after="100"/>
              <w:rPr>
                <w:b/>
                <w:bCs/>
                <w:sz w:val="16"/>
                <w:szCs w:val="16"/>
              </w:rPr>
            </w:pPr>
          </w:p>
        </w:tc>
        <w:tc>
          <w:tcPr>
            <w:tcW w:w="3487" w:type="dxa"/>
          </w:tcPr>
          <w:p w14:paraId="67FE2CDB" w14:textId="77777777" w:rsidR="00E22451" w:rsidRPr="008E7494" w:rsidRDefault="00E22451" w:rsidP="00E22451">
            <w:pPr>
              <w:pStyle w:val="Text"/>
              <w:numPr>
                <w:ilvl w:val="0"/>
                <w:numId w:val="13"/>
              </w:numPr>
              <w:tabs>
                <w:tab w:val="clear" w:pos="360"/>
                <w:tab w:val="num" w:pos="252"/>
              </w:tabs>
              <w:spacing w:before="100" w:after="100"/>
              <w:ind w:left="252" w:hanging="252"/>
              <w:rPr>
                <w:b/>
                <w:sz w:val="16"/>
                <w:szCs w:val="16"/>
              </w:rPr>
            </w:pPr>
            <w:r w:rsidRPr="008E7494">
              <w:rPr>
                <w:b/>
                <w:sz w:val="16"/>
                <w:szCs w:val="16"/>
              </w:rPr>
              <w:t>Independent Auditor’s Report</w:t>
            </w:r>
          </w:p>
        </w:tc>
        <w:tc>
          <w:tcPr>
            <w:tcW w:w="2694" w:type="dxa"/>
          </w:tcPr>
          <w:p w14:paraId="1D0BBBEE" w14:textId="77777777" w:rsidR="00E22451" w:rsidRPr="008E7494" w:rsidRDefault="00E22451" w:rsidP="008F6611">
            <w:pPr>
              <w:pStyle w:val="Text"/>
              <w:numPr>
                <w:ilvl w:val="0"/>
                <w:numId w:val="0"/>
              </w:numPr>
              <w:spacing w:before="100" w:after="100"/>
              <w:rPr>
                <w:sz w:val="16"/>
                <w:szCs w:val="16"/>
              </w:rPr>
            </w:pPr>
            <w:r w:rsidRPr="008E7494">
              <w:rPr>
                <w:sz w:val="16"/>
                <w:szCs w:val="16"/>
              </w:rPr>
              <w:t>FAA – section 62</w:t>
            </w:r>
          </w:p>
          <w:p w14:paraId="6635624A" w14:textId="77777777" w:rsidR="00E22451" w:rsidRPr="008E7494" w:rsidRDefault="00E22451" w:rsidP="008F6611">
            <w:pPr>
              <w:pStyle w:val="Text"/>
              <w:numPr>
                <w:ilvl w:val="0"/>
                <w:numId w:val="0"/>
              </w:numPr>
              <w:spacing w:before="100" w:after="100"/>
              <w:rPr>
                <w:sz w:val="16"/>
                <w:szCs w:val="16"/>
              </w:rPr>
            </w:pPr>
            <w:r w:rsidRPr="008E7494">
              <w:rPr>
                <w:sz w:val="16"/>
                <w:szCs w:val="16"/>
              </w:rPr>
              <w:t>FPMS – section 50</w:t>
            </w:r>
          </w:p>
          <w:p w14:paraId="2908A001" w14:textId="77777777" w:rsidR="00E22451" w:rsidRPr="008E7494" w:rsidRDefault="00E22451" w:rsidP="008F6611">
            <w:pPr>
              <w:pStyle w:val="Text"/>
              <w:numPr>
                <w:ilvl w:val="0"/>
                <w:numId w:val="0"/>
              </w:numPr>
              <w:spacing w:before="100" w:after="100"/>
              <w:rPr>
                <w:sz w:val="16"/>
                <w:szCs w:val="16"/>
              </w:rPr>
            </w:pPr>
            <w:r w:rsidRPr="008E7494">
              <w:rPr>
                <w:sz w:val="16"/>
                <w:szCs w:val="16"/>
              </w:rPr>
              <w:t>ARRs – section 17.2</w:t>
            </w:r>
          </w:p>
        </w:tc>
        <w:tc>
          <w:tcPr>
            <w:tcW w:w="1417" w:type="dxa"/>
          </w:tcPr>
          <w:p w14:paraId="4AEF0826" w14:textId="17B893A0" w:rsidR="00E22451" w:rsidRPr="008E7494" w:rsidRDefault="00E22451" w:rsidP="004503DE">
            <w:pPr>
              <w:pStyle w:val="Text"/>
              <w:numPr>
                <w:ilvl w:val="0"/>
                <w:numId w:val="0"/>
              </w:numPr>
              <w:spacing w:before="100" w:after="100"/>
              <w:jc w:val="right"/>
              <w:rPr>
                <w:sz w:val="16"/>
                <w:szCs w:val="16"/>
              </w:rPr>
            </w:pPr>
            <w:r w:rsidRPr="008E7494">
              <w:rPr>
                <w:sz w:val="16"/>
                <w:szCs w:val="16"/>
              </w:rPr>
              <w:t xml:space="preserve">Pages </w:t>
            </w:r>
            <w:r>
              <w:rPr>
                <w:sz w:val="16"/>
                <w:szCs w:val="16"/>
              </w:rPr>
              <w:t>10</w:t>
            </w:r>
            <w:r w:rsidR="00263954">
              <w:rPr>
                <w:sz w:val="16"/>
                <w:szCs w:val="16"/>
              </w:rPr>
              <w:t>4</w:t>
            </w:r>
            <w:r>
              <w:rPr>
                <w:sz w:val="16"/>
                <w:szCs w:val="16"/>
              </w:rPr>
              <w:t>-10</w:t>
            </w:r>
            <w:r w:rsidR="00263954">
              <w:rPr>
                <w:sz w:val="16"/>
                <w:szCs w:val="16"/>
              </w:rPr>
              <w:t>6</w:t>
            </w:r>
          </w:p>
        </w:tc>
      </w:tr>
    </w:tbl>
    <w:p w14:paraId="7ADC72CC" w14:textId="77777777" w:rsidR="00E22451" w:rsidRPr="0001769E" w:rsidRDefault="00E22451" w:rsidP="00E22451">
      <w:pPr>
        <w:rPr>
          <w:lang w:eastAsia="en-AU"/>
        </w:rPr>
      </w:pPr>
    </w:p>
    <w:p w14:paraId="762CEB86" w14:textId="77777777" w:rsidR="00E22451" w:rsidRPr="0001769E" w:rsidRDefault="00E22451" w:rsidP="00DF019A">
      <w:pPr>
        <w:rPr>
          <w:lang w:eastAsia="en-AU"/>
        </w:rPr>
      </w:pPr>
    </w:p>
    <w:p w14:paraId="345477C8" w14:textId="77777777" w:rsidR="00066DE4" w:rsidRDefault="00066DE4" w:rsidP="003E09C0">
      <w:pPr>
        <w:rPr>
          <w:rFonts w:cs="Arial"/>
          <w:szCs w:val="20"/>
          <w:lang w:val="en-US" w:eastAsia="en-AU"/>
        </w:rPr>
        <w:sectPr w:rsidR="00066DE4" w:rsidSect="002E0070">
          <w:headerReference w:type="even" r:id="rId99"/>
          <w:headerReference w:type="default" r:id="rId100"/>
          <w:footerReference w:type="default" r:id="rId101"/>
          <w:headerReference w:type="first" r:id="rId102"/>
          <w:footnotePr>
            <w:numRestart w:val="eachSect"/>
          </w:footnotePr>
          <w:pgSz w:w="11906" w:h="16838"/>
          <w:pgMar w:top="2948" w:right="1134" w:bottom="567" w:left="1134" w:header="0" w:footer="567" w:gutter="0"/>
          <w:pgNumType w:start="110"/>
          <w:cols w:space="708"/>
          <w:docGrid w:linePitch="360"/>
        </w:sectPr>
      </w:pPr>
    </w:p>
    <w:p w14:paraId="2783F020" w14:textId="77777777" w:rsidR="00066DE4" w:rsidRPr="004304D6" w:rsidRDefault="00066DE4" w:rsidP="004304D6">
      <w:pPr>
        <w:pStyle w:val="Heading2"/>
      </w:pPr>
      <w:r w:rsidRPr="004304D6">
        <w:lastRenderedPageBreak/>
        <w:t>APPENDIX D</w:t>
      </w:r>
    </w:p>
    <w:p w14:paraId="0B9FC582" w14:textId="77777777" w:rsidR="00066DE4" w:rsidRPr="004304D6" w:rsidRDefault="00066DE4" w:rsidP="004304D6">
      <w:pPr>
        <w:pStyle w:val="Heading3"/>
      </w:pPr>
      <w:r w:rsidRPr="004304D6">
        <w:t>Welfare Reform</w:t>
      </w:r>
    </w:p>
    <w:p w14:paraId="0B68C374" w14:textId="77777777" w:rsidR="00066DE4" w:rsidRPr="008E7494" w:rsidRDefault="00066DE4" w:rsidP="00066DE4">
      <w:r w:rsidRPr="008E7494">
        <w:t>Welfare Reform is a partnership between five welfare reform communities, the Queensland Government, Australian Government and the Institute. Welfare Reform aims to address the collapse of social norms and passive dependence on welfare which has displaced responsibility from many Indigenous people.</w:t>
      </w:r>
    </w:p>
    <w:p w14:paraId="4D1EE798" w14:textId="77777777" w:rsidR="00066DE4" w:rsidRPr="008E7494" w:rsidRDefault="00066DE4" w:rsidP="00066DE4">
      <w:pPr>
        <w:rPr>
          <w:b/>
        </w:rPr>
      </w:pPr>
      <w:r w:rsidRPr="008E7494">
        <w:rPr>
          <w:b/>
        </w:rPr>
        <w:t>The partnership communities are:</w:t>
      </w:r>
    </w:p>
    <w:p w14:paraId="35A7A3BC" w14:textId="77777777" w:rsidR="00066DE4" w:rsidRPr="008E7494" w:rsidRDefault="00066DE4" w:rsidP="00066DE4">
      <w:pPr>
        <w:rPr>
          <w:b/>
        </w:rPr>
      </w:pPr>
      <w:r w:rsidRPr="008E7494">
        <w:rPr>
          <w:b/>
        </w:rPr>
        <w:t>Aurukun</w:t>
      </w:r>
    </w:p>
    <w:p w14:paraId="7B414440" w14:textId="6CA0AAC9" w:rsidR="00066DE4" w:rsidRPr="008E7494" w:rsidRDefault="00066DE4" w:rsidP="00066DE4">
      <w:r w:rsidRPr="008E7494">
        <w:t xml:space="preserve">Aurukun is on the western coast of Cape York and is approximately 900 kilometres northwest of Cairns, and about 200 kilometres south of Weipa. The community had an estimated resident adult population of </w:t>
      </w:r>
      <w:r>
        <w:t>9</w:t>
      </w:r>
      <w:r w:rsidR="00A361AE">
        <w:t>29</w:t>
      </w:r>
      <w:r w:rsidRPr="008E7494">
        <w:t xml:space="preserve"> people as at 30 June </w:t>
      </w:r>
      <w:bookmarkStart w:id="13" w:name="_Ref362343764"/>
      <w:bookmarkStart w:id="14" w:name="_Ref459716764"/>
      <w:r w:rsidRPr="008E7494">
        <w:t>201</w:t>
      </w:r>
      <w:r w:rsidR="00A361AE">
        <w:t>8</w:t>
      </w:r>
      <w:r w:rsidRPr="008E7494">
        <w:rPr>
          <w:rStyle w:val="FootnoteReference"/>
        </w:rPr>
        <w:footnoteReference w:id="6"/>
      </w:r>
      <w:bookmarkEnd w:id="13"/>
      <w:bookmarkEnd w:id="14"/>
      <w:r w:rsidRPr="008E7494">
        <w:rPr>
          <w:vertAlign w:val="superscript"/>
        </w:rPr>
        <w:t>,</w:t>
      </w:r>
      <w:bookmarkStart w:id="15" w:name="_Ref459716829"/>
      <w:r w:rsidRPr="008E7494">
        <w:rPr>
          <w:rStyle w:val="FootnoteReference"/>
        </w:rPr>
        <w:footnoteReference w:id="7"/>
      </w:r>
      <w:bookmarkEnd w:id="15"/>
      <w:r w:rsidRPr="008E7494">
        <w:t>.</w:t>
      </w:r>
    </w:p>
    <w:p w14:paraId="11E44D1B" w14:textId="77777777" w:rsidR="00066DE4" w:rsidRPr="008E7494" w:rsidRDefault="00066DE4" w:rsidP="00066DE4">
      <w:pPr>
        <w:rPr>
          <w:b/>
        </w:rPr>
      </w:pPr>
      <w:r w:rsidRPr="008E7494">
        <w:rPr>
          <w:b/>
        </w:rPr>
        <w:t>Coen</w:t>
      </w:r>
    </w:p>
    <w:p w14:paraId="7E6EB00A" w14:textId="3FE35972" w:rsidR="00066DE4" w:rsidRPr="008E7494" w:rsidRDefault="00066DE4" w:rsidP="00066DE4">
      <w:r w:rsidRPr="008E7494">
        <w:t xml:space="preserve">The township of Coen is approximately halfway between Cairns and the tip of Cape York. It is not a discrete Aboriginal community and is part of Cook Shire. The township had an estimated resident adult population of </w:t>
      </w:r>
      <w:bookmarkStart w:id="16" w:name="_Ref459717187"/>
      <w:r>
        <w:t>25</w:t>
      </w:r>
      <w:r w:rsidR="00A361AE">
        <w:t>7</w:t>
      </w:r>
      <w:r w:rsidRPr="008E7494">
        <w:t xml:space="preserve"> people as at 30 June 201</w:t>
      </w:r>
      <w:r w:rsidR="00A361AE">
        <w:t>8</w:t>
      </w:r>
      <w:r w:rsidRPr="008E7494">
        <w:rPr>
          <w:vertAlign w:val="superscript"/>
        </w:rPr>
        <w:t>1,</w:t>
      </w:r>
      <w:r w:rsidRPr="008E7494">
        <w:rPr>
          <w:rStyle w:val="FootnoteReference"/>
        </w:rPr>
        <w:footnoteReference w:id="8"/>
      </w:r>
      <w:bookmarkEnd w:id="16"/>
      <w:r w:rsidRPr="008E7494">
        <w:t>.</w:t>
      </w:r>
    </w:p>
    <w:p w14:paraId="7764686A" w14:textId="77777777" w:rsidR="00066DE4" w:rsidRPr="008E7494" w:rsidRDefault="00066DE4" w:rsidP="00066DE4">
      <w:pPr>
        <w:rPr>
          <w:b/>
        </w:rPr>
      </w:pPr>
      <w:r w:rsidRPr="008E7494">
        <w:rPr>
          <w:b/>
        </w:rPr>
        <w:t>Doomadgee</w:t>
      </w:r>
    </w:p>
    <w:p w14:paraId="6206A337" w14:textId="1B3AD235" w:rsidR="00066DE4" w:rsidRPr="008E7494" w:rsidRDefault="00066DE4" w:rsidP="00066DE4">
      <w:r w:rsidRPr="008E7494">
        <w:t xml:space="preserve">Doomadgee lies alongside the Nicholson River, one of the permanent freshwater rivers that flow from the ranges behind Lawn Hill National Park in North West Queensland. Doomadgee is the first (or last) township on the Queensland section of the Savannah Way. It is 630 kilometres by road to Mt Isa and 1035 kilometres west of Cairns. The community had an estimated resident adult population of </w:t>
      </w:r>
      <w:r>
        <w:t>8</w:t>
      </w:r>
      <w:r w:rsidR="0008620F">
        <w:t>27</w:t>
      </w:r>
      <w:r w:rsidRPr="008E7494">
        <w:t xml:space="preserve"> people as at 30 June 201</w:t>
      </w:r>
      <w:r w:rsidR="0008620F">
        <w:t>8</w:t>
      </w:r>
      <w:r w:rsidRPr="008E7494">
        <w:rPr>
          <w:vertAlign w:val="superscript"/>
        </w:rPr>
        <w:t>1,2</w:t>
      </w:r>
      <w:r w:rsidRPr="008E7494">
        <w:t>.</w:t>
      </w:r>
    </w:p>
    <w:p w14:paraId="33B066CC" w14:textId="77777777" w:rsidR="00066DE4" w:rsidRPr="008E7494" w:rsidRDefault="00066DE4" w:rsidP="00066DE4">
      <w:pPr>
        <w:rPr>
          <w:b/>
        </w:rPr>
      </w:pPr>
      <w:r w:rsidRPr="008E7494">
        <w:rPr>
          <w:b/>
        </w:rPr>
        <w:t>Hope Vale</w:t>
      </w:r>
    </w:p>
    <w:p w14:paraId="11647694" w14:textId="614F642B" w:rsidR="00066DE4" w:rsidRPr="008E7494" w:rsidRDefault="00066DE4" w:rsidP="00066DE4">
      <w:r w:rsidRPr="008E7494">
        <w:t xml:space="preserve">Hope Vale is situated on the Cape York Peninsula and is 46 kilometres northwest of Cooktown. The estimated resident adult population of Hope Vale was </w:t>
      </w:r>
      <w:r w:rsidR="0008620F">
        <w:t>708</w:t>
      </w:r>
      <w:r w:rsidRPr="008E7494">
        <w:t xml:space="preserve"> people as at 30 June 201</w:t>
      </w:r>
      <w:r w:rsidR="0008620F">
        <w:t>8</w:t>
      </w:r>
      <w:r w:rsidRPr="008E7494">
        <w:rPr>
          <w:vertAlign w:val="superscript"/>
        </w:rPr>
        <w:t>1,2</w:t>
      </w:r>
      <w:r w:rsidRPr="008E7494">
        <w:t>.</w:t>
      </w:r>
    </w:p>
    <w:p w14:paraId="5625D6C5" w14:textId="77777777" w:rsidR="00066DE4" w:rsidRPr="008E7494" w:rsidRDefault="00066DE4" w:rsidP="00066DE4">
      <w:pPr>
        <w:rPr>
          <w:b/>
        </w:rPr>
      </w:pPr>
      <w:r w:rsidRPr="008E7494">
        <w:rPr>
          <w:b/>
        </w:rPr>
        <w:t>Mossman Gorge</w:t>
      </w:r>
    </w:p>
    <w:p w14:paraId="04AD1697" w14:textId="03CA6A5A" w:rsidR="00066DE4" w:rsidRPr="008E7494" w:rsidRDefault="00066DE4" w:rsidP="00066DE4">
      <w:r w:rsidRPr="008E7494">
        <w:t xml:space="preserve">Mossman Gorge is a small Aboriginal community 75 kilometres north of Cairns, 4 kilometres from Mossman (the nearest town), and approximately 25 kilometres by road from Port Douglas. It is not a discrete Aboriginal community and is part of the Douglas Shire Council area. The community had an estimated resident population of </w:t>
      </w:r>
      <w:r>
        <w:t>8</w:t>
      </w:r>
      <w:r w:rsidR="0008620F">
        <w:t>7</w:t>
      </w:r>
      <w:r w:rsidRPr="008E7494">
        <w:t xml:space="preserve"> people as at 30 June 201</w:t>
      </w:r>
      <w:r w:rsidR="0008620F">
        <w:t>8</w:t>
      </w:r>
      <w:r w:rsidRPr="008E7494">
        <w:rPr>
          <w:vertAlign w:val="superscript"/>
        </w:rPr>
        <w:t>1,</w:t>
      </w:r>
      <w:r w:rsidRPr="008E7494">
        <w:rPr>
          <w:rStyle w:val="FootnoteReference"/>
        </w:rPr>
        <w:footnoteReference w:id="9"/>
      </w:r>
      <w:r w:rsidRPr="008E7494">
        <w:t>.</w:t>
      </w:r>
    </w:p>
    <w:p w14:paraId="7F485C38" w14:textId="77777777" w:rsidR="00263043" w:rsidRDefault="00263043" w:rsidP="003E09C0">
      <w:pPr>
        <w:rPr>
          <w:rFonts w:cs="Arial"/>
          <w:szCs w:val="20"/>
          <w:lang w:val="en-US" w:eastAsia="en-AU"/>
        </w:rPr>
        <w:sectPr w:rsidR="00263043" w:rsidSect="00066DE4">
          <w:headerReference w:type="even" r:id="rId103"/>
          <w:headerReference w:type="default" r:id="rId104"/>
          <w:footerReference w:type="default" r:id="rId105"/>
          <w:headerReference w:type="first" r:id="rId106"/>
          <w:footnotePr>
            <w:numRestart w:val="eachSect"/>
          </w:footnotePr>
          <w:pgSz w:w="11906" w:h="16838"/>
          <w:pgMar w:top="2948" w:right="1134" w:bottom="567" w:left="1134" w:header="0" w:footer="567" w:gutter="0"/>
          <w:cols w:space="708"/>
          <w:docGrid w:linePitch="360"/>
        </w:sectPr>
      </w:pPr>
    </w:p>
    <w:p w14:paraId="1606C77C" w14:textId="77777777" w:rsidR="001569A9" w:rsidRPr="008E7494" w:rsidRDefault="001569A9" w:rsidP="004304D6">
      <w:pPr>
        <w:pStyle w:val="Heading3"/>
      </w:pPr>
      <w:r w:rsidRPr="008E7494">
        <w:lastRenderedPageBreak/>
        <w:t>Abbreviations</w:t>
      </w:r>
    </w:p>
    <w:tbl>
      <w:tblPr>
        <w:tblW w:w="10065" w:type="dxa"/>
        <w:tblLook w:val="04A0" w:firstRow="1" w:lastRow="0" w:firstColumn="1" w:lastColumn="0" w:noHBand="0" w:noVBand="1"/>
      </w:tblPr>
      <w:tblGrid>
        <w:gridCol w:w="5033"/>
        <w:gridCol w:w="5032"/>
      </w:tblGrid>
      <w:tr w:rsidR="00A955DC" w:rsidRPr="00A955DC" w14:paraId="581B9994" w14:textId="77777777" w:rsidTr="00553655">
        <w:tc>
          <w:tcPr>
            <w:tcW w:w="5033" w:type="dxa"/>
          </w:tcPr>
          <w:p w14:paraId="1D1F8C55" w14:textId="77777777" w:rsidR="00FE381F" w:rsidRPr="00A955DC" w:rsidRDefault="00FE381F" w:rsidP="00553655">
            <w:pPr>
              <w:pStyle w:val="BasicParagraph"/>
              <w:tabs>
                <w:tab w:val="clear" w:pos="680"/>
                <w:tab w:val="clear" w:pos="1020"/>
                <w:tab w:val="left" w:pos="1040"/>
              </w:tabs>
              <w:spacing w:after="0"/>
              <w:ind w:left="1038" w:hanging="1038"/>
              <w:contextualSpacing/>
              <w:rPr>
                <w:rStyle w:val="BodyText1"/>
                <w:rFonts w:ascii="Arial" w:hAnsi="Arial" w:cs="Arial"/>
                <w:color w:val="auto"/>
              </w:rPr>
            </w:pPr>
            <w:r w:rsidRPr="00A955DC">
              <w:rPr>
                <w:rStyle w:val="BodyText1"/>
                <w:rFonts w:ascii="Arial" w:hAnsi="Arial" w:cs="Arial"/>
                <w:color w:val="446E82"/>
              </w:rPr>
              <w:t>ABS</w:t>
            </w:r>
            <w:r w:rsidRPr="00A955DC">
              <w:rPr>
                <w:rStyle w:val="BodyText1"/>
                <w:rFonts w:ascii="Arial" w:hAnsi="Arial" w:cs="Arial"/>
                <w:color w:val="auto"/>
              </w:rPr>
              <w:tab/>
              <w:t>Australian Bureau of Statistics</w:t>
            </w:r>
          </w:p>
        </w:tc>
        <w:tc>
          <w:tcPr>
            <w:tcW w:w="5032" w:type="dxa"/>
          </w:tcPr>
          <w:p w14:paraId="5E5759C4" w14:textId="0304938A" w:rsidR="00FE381F" w:rsidRPr="00A955DC" w:rsidRDefault="00FE381F" w:rsidP="00553655">
            <w:pPr>
              <w:pStyle w:val="BasicParagraph"/>
              <w:tabs>
                <w:tab w:val="clear" w:pos="680"/>
              </w:tabs>
              <w:spacing w:after="0"/>
              <w:ind w:left="1038" w:hanging="1038"/>
              <w:contextualSpacing/>
              <w:rPr>
                <w:rFonts w:ascii="Arial" w:hAnsi="Arial" w:cs="Arial"/>
                <w:color w:val="auto"/>
              </w:rPr>
            </w:pPr>
            <w:r w:rsidRPr="00D333AA">
              <w:rPr>
                <w:rStyle w:val="BodyText1"/>
                <w:rFonts w:ascii="Arial" w:hAnsi="Arial" w:cs="Arial"/>
                <w:color w:val="446E82"/>
              </w:rPr>
              <w:t>INSIST</w:t>
            </w:r>
            <w:r w:rsidRPr="00A955DC">
              <w:rPr>
                <w:rStyle w:val="BodyText1"/>
                <w:rFonts w:ascii="Arial" w:hAnsi="Arial" w:cs="Arial"/>
                <w:color w:val="auto"/>
              </w:rPr>
              <w:tab/>
              <w:t>Indigenous Network Suicide Intervention Training</w:t>
            </w:r>
          </w:p>
        </w:tc>
      </w:tr>
      <w:tr w:rsidR="00A955DC" w:rsidRPr="00A955DC" w14:paraId="28A8D90B" w14:textId="77777777" w:rsidTr="00553655">
        <w:tc>
          <w:tcPr>
            <w:tcW w:w="5033" w:type="dxa"/>
          </w:tcPr>
          <w:p w14:paraId="35DFB9C1" w14:textId="77777777" w:rsidR="00FE381F" w:rsidRPr="00A955DC" w:rsidRDefault="00FE381F" w:rsidP="00553655">
            <w:pPr>
              <w:pStyle w:val="BasicParagraph"/>
              <w:tabs>
                <w:tab w:val="clear" w:pos="680"/>
                <w:tab w:val="clear" w:pos="1020"/>
                <w:tab w:val="left" w:pos="1040"/>
              </w:tabs>
              <w:spacing w:after="0"/>
              <w:ind w:left="1038" w:hanging="1038"/>
              <w:contextualSpacing/>
              <w:rPr>
                <w:rStyle w:val="BodyText1"/>
                <w:rFonts w:ascii="Arial" w:hAnsi="Arial" w:cs="Arial"/>
                <w:color w:val="auto"/>
              </w:rPr>
            </w:pPr>
            <w:r w:rsidRPr="00A955DC">
              <w:rPr>
                <w:rStyle w:val="BodyText1"/>
                <w:rFonts w:ascii="Arial" w:hAnsi="Arial" w:cs="Arial"/>
                <w:color w:val="446E82"/>
              </w:rPr>
              <w:t>AM</w:t>
            </w:r>
            <w:r w:rsidRPr="00A955DC">
              <w:rPr>
                <w:rStyle w:val="BodyText1"/>
                <w:rFonts w:ascii="Arial" w:hAnsi="Arial" w:cs="Arial"/>
                <w:color w:val="auto"/>
              </w:rPr>
              <w:tab/>
            </w:r>
            <w:r w:rsidRPr="00A955DC">
              <w:rPr>
                <w:rFonts w:ascii="Arial" w:hAnsi="Arial" w:cs="Arial"/>
                <w:color w:val="auto"/>
              </w:rPr>
              <w:t>Member of the Order of Australia</w:t>
            </w:r>
          </w:p>
        </w:tc>
        <w:tc>
          <w:tcPr>
            <w:tcW w:w="5032" w:type="dxa"/>
          </w:tcPr>
          <w:p w14:paraId="62E5E5AC" w14:textId="5869A798" w:rsidR="00FE381F" w:rsidRPr="00A955DC" w:rsidRDefault="00FE381F" w:rsidP="00553655">
            <w:pPr>
              <w:pStyle w:val="BasicParagraph"/>
              <w:tabs>
                <w:tab w:val="clear" w:pos="680"/>
                <w:tab w:val="clear" w:pos="1020"/>
                <w:tab w:val="left" w:pos="1040"/>
              </w:tabs>
              <w:spacing w:after="0"/>
              <w:ind w:left="1038" w:hanging="1038"/>
              <w:contextualSpacing/>
              <w:rPr>
                <w:rFonts w:ascii="Arial" w:hAnsi="Arial" w:cs="Arial"/>
                <w:color w:val="auto"/>
              </w:rPr>
            </w:pPr>
            <w:r w:rsidRPr="00D333AA">
              <w:rPr>
                <w:rStyle w:val="BodyText1"/>
                <w:rFonts w:ascii="Arial" w:hAnsi="Arial" w:cs="Arial"/>
                <w:color w:val="446E82"/>
              </w:rPr>
              <w:t>ISMS</w:t>
            </w:r>
            <w:r w:rsidRPr="00A955DC">
              <w:rPr>
                <w:rStyle w:val="BodyText1"/>
                <w:rFonts w:ascii="Arial" w:hAnsi="Arial" w:cs="Arial"/>
                <w:color w:val="auto"/>
              </w:rPr>
              <w:tab/>
              <w:t>Information Security Management Systems</w:t>
            </w:r>
          </w:p>
        </w:tc>
      </w:tr>
      <w:tr w:rsidR="00A955DC" w:rsidRPr="00A955DC" w14:paraId="441F6F1B" w14:textId="77777777" w:rsidTr="00553655">
        <w:tc>
          <w:tcPr>
            <w:tcW w:w="5033" w:type="dxa"/>
          </w:tcPr>
          <w:p w14:paraId="709B4180" w14:textId="77777777" w:rsidR="00FE381F" w:rsidRPr="00A955DC" w:rsidRDefault="00FE381F" w:rsidP="00553655">
            <w:pPr>
              <w:pStyle w:val="BasicParagraph"/>
              <w:tabs>
                <w:tab w:val="clear" w:pos="680"/>
                <w:tab w:val="clear" w:pos="1020"/>
                <w:tab w:val="left" w:pos="1040"/>
              </w:tabs>
              <w:spacing w:after="0"/>
              <w:ind w:left="1038" w:hanging="1038"/>
              <w:contextualSpacing/>
              <w:rPr>
                <w:rStyle w:val="BodyText1"/>
                <w:rFonts w:ascii="Arial" w:hAnsi="Arial" w:cs="Arial"/>
                <w:color w:val="auto"/>
              </w:rPr>
            </w:pPr>
            <w:r w:rsidRPr="00A955DC">
              <w:rPr>
                <w:rStyle w:val="BodyText1"/>
                <w:rFonts w:ascii="Arial" w:hAnsi="Arial" w:cs="Arial"/>
                <w:color w:val="446E82"/>
              </w:rPr>
              <w:t>ARRs</w:t>
            </w:r>
            <w:r w:rsidRPr="00A955DC">
              <w:rPr>
                <w:rStyle w:val="BodyText1"/>
                <w:rFonts w:ascii="Arial" w:hAnsi="Arial" w:cs="Arial"/>
                <w:color w:val="auto"/>
              </w:rPr>
              <w:tab/>
              <w:t>Annual report requirements for Queensland Government agencies</w:t>
            </w:r>
          </w:p>
        </w:tc>
        <w:tc>
          <w:tcPr>
            <w:tcW w:w="5032" w:type="dxa"/>
          </w:tcPr>
          <w:p w14:paraId="0F2CC8C9" w14:textId="4536EC58" w:rsidR="00FE381F" w:rsidRPr="00A955DC" w:rsidRDefault="00FE381F" w:rsidP="00553655">
            <w:pPr>
              <w:pStyle w:val="BasicParagraph"/>
              <w:tabs>
                <w:tab w:val="clear" w:pos="680"/>
                <w:tab w:val="clear" w:pos="1020"/>
                <w:tab w:val="left" w:pos="1040"/>
              </w:tabs>
              <w:spacing w:after="0"/>
              <w:ind w:left="1038" w:hanging="1038"/>
              <w:contextualSpacing/>
              <w:rPr>
                <w:rStyle w:val="BodyText1"/>
                <w:rFonts w:ascii="Arial" w:hAnsi="Arial" w:cs="Arial"/>
                <w:color w:val="auto"/>
              </w:rPr>
            </w:pPr>
            <w:r w:rsidRPr="00D333AA">
              <w:rPr>
                <w:rStyle w:val="BodyText1"/>
                <w:rFonts w:ascii="Arial" w:hAnsi="Arial" w:cs="Arial"/>
                <w:color w:val="446E82"/>
              </w:rPr>
              <w:t>NIRA</w:t>
            </w:r>
            <w:r w:rsidRPr="00A955DC">
              <w:rPr>
                <w:rStyle w:val="BodyText1"/>
                <w:rFonts w:ascii="Arial" w:hAnsi="Arial" w:cs="Arial"/>
                <w:color w:val="auto"/>
              </w:rPr>
              <w:tab/>
            </w:r>
            <w:r w:rsidRPr="00A955DC">
              <w:rPr>
                <w:rFonts w:ascii="Arial" w:hAnsi="Arial" w:cs="Arial"/>
                <w:color w:val="auto"/>
              </w:rPr>
              <w:t>National Indigenous Reform Agreement</w:t>
            </w:r>
          </w:p>
        </w:tc>
      </w:tr>
      <w:tr w:rsidR="00A955DC" w:rsidRPr="00A955DC" w14:paraId="37DB3943" w14:textId="77777777" w:rsidTr="00553655">
        <w:tc>
          <w:tcPr>
            <w:tcW w:w="5033" w:type="dxa"/>
          </w:tcPr>
          <w:p w14:paraId="04F63F78" w14:textId="524DE060" w:rsidR="00FE381F" w:rsidRPr="00A955DC" w:rsidRDefault="00FE381F" w:rsidP="00553655">
            <w:pPr>
              <w:pStyle w:val="BasicParagraph"/>
              <w:tabs>
                <w:tab w:val="clear" w:pos="680"/>
                <w:tab w:val="clear" w:pos="1020"/>
                <w:tab w:val="left" w:pos="1040"/>
              </w:tabs>
              <w:spacing w:after="0"/>
              <w:ind w:left="1038" w:hanging="1038"/>
              <w:contextualSpacing/>
              <w:rPr>
                <w:rStyle w:val="BodyText1"/>
                <w:rFonts w:ascii="Arial" w:hAnsi="Arial" w:cs="Arial"/>
                <w:color w:val="auto"/>
              </w:rPr>
            </w:pPr>
            <w:r w:rsidRPr="00A955DC">
              <w:rPr>
                <w:rStyle w:val="BodyText1"/>
                <w:rFonts w:ascii="Arial" w:hAnsi="Arial" w:cs="Arial"/>
                <w:color w:val="446E82"/>
              </w:rPr>
              <w:t>BBNAC</w:t>
            </w:r>
            <w:r w:rsidRPr="00A955DC">
              <w:rPr>
                <w:rStyle w:val="BodyText1"/>
                <w:rFonts w:ascii="Arial" w:hAnsi="Arial" w:cs="Arial"/>
                <w:color w:val="auto"/>
              </w:rPr>
              <w:tab/>
            </w:r>
            <w:proofErr w:type="spellStart"/>
            <w:r w:rsidRPr="00A955DC">
              <w:rPr>
                <w:rStyle w:val="BodyText1"/>
                <w:rFonts w:ascii="Arial" w:hAnsi="Arial" w:cs="Arial"/>
                <w:color w:val="auto"/>
              </w:rPr>
              <w:t>Bamanga</w:t>
            </w:r>
            <w:proofErr w:type="spellEnd"/>
            <w:r w:rsidRPr="00A955DC">
              <w:rPr>
                <w:rStyle w:val="BodyText1"/>
                <w:rFonts w:ascii="Arial" w:hAnsi="Arial" w:cs="Arial"/>
                <w:color w:val="auto"/>
              </w:rPr>
              <w:t xml:space="preserve"> Bubu </w:t>
            </w:r>
            <w:proofErr w:type="spellStart"/>
            <w:r w:rsidRPr="00A955DC">
              <w:rPr>
                <w:rStyle w:val="BodyText1"/>
                <w:rFonts w:ascii="Arial" w:hAnsi="Arial" w:cs="Arial"/>
                <w:color w:val="auto"/>
              </w:rPr>
              <w:t>Ngadimunku</w:t>
            </w:r>
            <w:proofErr w:type="spellEnd"/>
            <w:r w:rsidRPr="00A955DC">
              <w:rPr>
                <w:rFonts w:ascii="Arial" w:hAnsi="Arial" w:cs="Arial"/>
                <w:color w:val="auto"/>
              </w:rPr>
              <w:t xml:space="preserve"> Aboriginal Corporation</w:t>
            </w:r>
          </w:p>
        </w:tc>
        <w:tc>
          <w:tcPr>
            <w:tcW w:w="5032" w:type="dxa"/>
          </w:tcPr>
          <w:p w14:paraId="75ED9E34" w14:textId="4B4C511C" w:rsidR="00FE381F" w:rsidRPr="00A955DC" w:rsidRDefault="00FE381F" w:rsidP="00553655">
            <w:pPr>
              <w:pStyle w:val="BasicParagraph"/>
              <w:tabs>
                <w:tab w:val="clear" w:pos="680"/>
              </w:tabs>
              <w:spacing w:after="0"/>
              <w:ind w:left="1038" w:hanging="1038"/>
              <w:contextualSpacing/>
              <w:rPr>
                <w:rStyle w:val="BodyText1"/>
                <w:rFonts w:ascii="Arial" w:hAnsi="Arial" w:cs="Arial"/>
                <w:color w:val="auto"/>
              </w:rPr>
            </w:pPr>
            <w:r w:rsidRPr="00D333AA">
              <w:rPr>
                <w:rStyle w:val="BodyText1"/>
                <w:rFonts w:ascii="Arial" w:hAnsi="Arial" w:cs="Arial"/>
                <w:color w:val="446E82"/>
              </w:rPr>
              <w:t>OAM</w:t>
            </w:r>
            <w:r w:rsidRPr="00A955DC">
              <w:rPr>
                <w:rStyle w:val="BodyText1"/>
                <w:rFonts w:ascii="Arial" w:hAnsi="Arial" w:cs="Arial"/>
                <w:color w:val="auto"/>
              </w:rPr>
              <w:tab/>
            </w:r>
            <w:r w:rsidRPr="00A955DC">
              <w:rPr>
                <w:rFonts w:ascii="Arial" w:hAnsi="Arial" w:cs="Arial"/>
                <w:color w:val="auto"/>
              </w:rPr>
              <w:t>Medal of the Order of Australia</w:t>
            </w:r>
          </w:p>
        </w:tc>
      </w:tr>
      <w:tr w:rsidR="00A955DC" w:rsidRPr="00A955DC" w14:paraId="2A161752" w14:textId="77777777" w:rsidTr="00553655">
        <w:tc>
          <w:tcPr>
            <w:tcW w:w="5033" w:type="dxa"/>
          </w:tcPr>
          <w:p w14:paraId="7030894B" w14:textId="3C406CBD" w:rsidR="00FE381F" w:rsidRPr="00A955DC" w:rsidRDefault="00FE381F" w:rsidP="00553655">
            <w:pPr>
              <w:pStyle w:val="BasicParagraph"/>
              <w:tabs>
                <w:tab w:val="clear" w:pos="680"/>
                <w:tab w:val="clear" w:pos="1020"/>
                <w:tab w:val="left" w:pos="1040"/>
              </w:tabs>
              <w:spacing w:after="0"/>
              <w:ind w:left="1038" w:hanging="1038"/>
              <w:contextualSpacing/>
              <w:rPr>
                <w:rStyle w:val="BodyText1"/>
                <w:rFonts w:ascii="Arial" w:hAnsi="Arial" w:cs="Arial"/>
                <w:color w:val="auto"/>
              </w:rPr>
            </w:pPr>
            <w:r w:rsidRPr="00A955DC">
              <w:rPr>
                <w:rStyle w:val="BodyText1"/>
                <w:rFonts w:ascii="Arial" w:hAnsi="Arial" w:cs="Arial"/>
                <w:color w:val="446E82"/>
              </w:rPr>
              <w:t>BCP</w:t>
            </w:r>
            <w:r w:rsidRPr="00A955DC">
              <w:rPr>
                <w:rStyle w:val="BodyText1"/>
                <w:rFonts w:ascii="Arial" w:hAnsi="Arial" w:cs="Arial"/>
                <w:color w:val="auto"/>
              </w:rPr>
              <w:tab/>
              <w:t>Business Continuity Plan</w:t>
            </w:r>
          </w:p>
        </w:tc>
        <w:tc>
          <w:tcPr>
            <w:tcW w:w="5032" w:type="dxa"/>
          </w:tcPr>
          <w:p w14:paraId="110FE6CE" w14:textId="062E6BAC" w:rsidR="00FE381F" w:rsidRPr="00A955DC" w:rsidRDefault="00FE381F" w:rsidP="00553655">
            <w:pPr>
              <w:pStyle w:val="BasicParagraph"/>
              <w:tabs>
                <w:tab w:val="clear" w:pos="680"/>
                <w:tab w:val="clear" w:pos="1020"/>
                <w:tab w:val="left" w:pos="1040"/>
              </w:tabs>
              <w:spacing w:after="0"/>
              <w:ind w:left="1038" w:hanging="1038"/>
              <w:contextualSpacing/>
              <w:rPr>
                <w:rStyle w:val="BodyText1"/>
                <w:rFonts w:ascii="Arial" w:hAnsi="Arial" w:cs="Arial"/>
                <w:color w:val="auto"/>
              </w:rPr>
            </w:pPr>
            <w:r w:rsidRPr="00D333AA">
              <w:rPr>
                <w:rStyle w:val="BodyText1"/>
                <w:rFonts w:ascii="Arial" w:hAnsi="Arial" w:cs="Arial"/>
                <w:color w:val="446E82"/>
              </w:rPr>
              <w:t>PCYC</w:t>
            </w:r>
            <w:r w:rsidRPr="00A955DC">
              <w:rPr>
                <w:rStyle w:val="BodyText1"/>
                <w:rFonts w:ascii="Arial" w:hAnsi="Arial" w:cs="Arial"/>
                <w:color w:val="auto"/>
              </w:rPr>
              <w:tab/>
              <w:t>Police-Citizens Youth Club</w:t>
            </w:r>
          </w:p>
        </w:tc>
      </w:tr>
      <w:tr w:rsidR="00A955DC" w:rsidRPr="00A955DC" w14:paraId="4804C4D5" w14:textId="77777777" w:rsidTr="00553655">
        <w:tc>
          <w:tcPr>
            <w:tcW w:w="5033" w:type="dxa"/>
          </w:tcPr>
          <w:p w14:paraId="2C897E41" w14:textId="08B6FF1F" w:rsidR="00FE381F" w:rsidRPr="00A955DC" w:rsidRDefault="00FE381F" w:rsidP="00553655">
            <w:pPr>
              <w:pStyle w:val="BasicParagraph"/>
              <w:tabs>
                <w:tab w:val="clear" w:pos="680"/>
                <w:tab w:val="clear" w:pos="1020"/>
                <w:tab w:val="left" w:pos="1040"/>
              </w:tabs>
              <w:spacing w:after="0"/>
              <w:ind w:left="1038" w:hanging="1038"/>
              <w:contextualSpacing/>
              <w:rPr>
                <w:rStyle w:val="BodyText1"/>
                <w:rFonts w:ascii="Arial" w:hAnsi="Arial" w:cs="Arial"/>
                <w:color w:val="auto"/>
              </w:rPr>
            </w:pPr>
            <w:r w:rsidRPr="00914EF1">
              <w:rPr>
                <w:rStyle w:val="BodyText1"/>
                <w:rFonts w:ascii="Arial" w:hAnsi="Arial" w:cs="Arial"/>
                <w:color w:val="446E82"/>
              </w:rPr>
              <w:t>CAA</w:t>
            </w:r>
            <w:r w:rsidRPr="00A955DC">
              <w:rPr>
                <w:rStyle w:val="BodyText1"/>
                <w:rFonts w:ascii="Arial" w:hAnsi="Arial" w:cs="Arial"/>
                <w:color w:val="auto"/>
              </w:rPr>
              <w:tab/>
              <w:t>Corporate Administration Agency</w:t>
            </w:r>
          </w:p>
        </w:tc>
        <w:tc>
          <w:tcPr>
            <w:tcW w:w="5032" w:type="dxa"/>
          </w:tcPr>
          <w:p w14:paraId="31BD58CF" w14:textId="11C8192E" w:rsidR="00FE381F" w:rsidRPr="00A955DC" w:rsidRDefault="00FE381F" w:rsidP="00553655">
            <w:pPr>
              <w:pStyle w:val="BasicParagraph"/>
              <w:tabs>
                <w:tab w:val="clear" w:pos="680"/>
              </w:tabs>
              <w:spacing w:after="0"/>
              <w:ind w:left="1038" w:hanging="1038"/>
              <w:contextualSpacing/>
              <w:rPr>
                <w:rStyle w:val="BodyText1"/>
                <w:rFonts w:ascii="Arial" w:hAnsi="Arial" w:cs="Arial"/>
                <w:color w:val="auto"/>
              </w:rPr>
            </w:pPr>
            <w:r w:rsidRPr="00D333AA">
              <w:rPr>
                <w:rStyle w:val="BodyText1"/>
                <w:rFonts w:ascii="Arial" w:hAnsi="Arial" w:cs="Arial"/>
                <w:color w:val="446E82"/>
              </w:rPr>
              <w:t>QGCIO</w:t>
            </w:r>
            <w:r w:rsidRPr="00A955DC">
              <w:rPr>
                <w:rStyle w:val="BodyText1"/>
                <w:rFonts w:ascii="Arial" w:hAnsi="Arial" w:cs="Arial"/>
                <w:color w:val="auto"/>
              </w:rPr>
              <w:tab/>
              <w:t>Queensland Government Chief Information Office</w:t>
            </w:r>
          </w:p>
        </w:tc>
      </w:tr>
      <w:tr w:rsidR="00A955DC" w:rsidRPr="00A955DC" w14:paraId="1A131DAD" w14:textId="77777777" w:rsidTr="00553655">
        <w:tc>
          <w:tcPr>
            <w:tcW w:w="5033" w:type="dxa"/>
          </w:tcPr>
          <w:p w14:paraId="79FFEBBA" w14:textId="3929344B" w:rsidR="00FE381F" w:rsidRPr="00A955DC" w:rsidRDefault="00FE381F" w:rsidP="00553655">
            <w:pPr>
              <w:pStyle w:val="BasicParagraph"/>
              <w:tabs>
                <w:tab w:val="clear" w:pos="680"/>
                <w:tab w:val="clear" w:pos="1020"/>
                <w:tab w:val="left" w:pos="1040"/>
              </w:tabs>
              <w:spacing w:after="0"/>
              <w:ind w:left="1038" w:hanging="1038"/>
              <w:contextualSpacing/>
              <w:rPr>
                <w:rStyle w:val="BodyText1"/>
                <w:rFonts w:ascii="Arial" w:hAnsi="Arial" w:cs="Arial"/>
                <w:color w:val="auto"/>
              </w:rPr>
            </w:pPr>
            <w:r w:rsidRPr="00914EF1">
              <w:rPr>
                <w:rStyle w:val="BodyText1"/>
                <w:rFonts w:ascii="Arial" w:hAnsi="Arial" w:cs="Arial"/>
                <w:color w:val="446E82"/>
              </w:rPr>
              <w:t>CEO</w:t>
            </w:r>
            <w:r w:rsidRPr="00A955DC">
              <w:rPr>
                <w:rStyle w:val="BodyText1"/>
                <w:rFonts w:ascii="Arial" w:hAnsi="Arial" w:cs="Arial"/>
                <w:color w:val="auto"/>
              </w:rPr>
              <w:tab/>
              <w:t>Chief Executive Officer</w:t>
            </w:r>
          </w:p>
        </w:tc>
        <w:tc>
          <w:tcPr>
            <w:tcW w:w="5032" w:type="dxa"/>
          </w:tcPr>
          <w:p w14:paraId="6A03424B" w14:textId="300B2ADB" w:rsidR="00FE381F" w:rsidRPr="00A955DC" w:rsidRDefault="00FE381F" w:rsidP="00553655">
            <w:pPr>
              <w:pStyle w:val="BasicParagraph"/>
              <w:tabs>
                <w:tab w:val="clear" w:pos="680"/>
              </w:tabs>
              <w:spacing w:after="0"/>
              <w:ind w:left="1038" w:hanging="1038"/>
              <w:contextualSpacing/>
              <w:rPr>
                <w:rStyle w:val="BodyText1"/>
                <w:rFonts w:ascii="Arial" w:hAnsi="Arial" w:cs="Arial"/>
                <w:color w:val="auto"/>
              </w:rPr>
            </w:pPr>
            <w:r w:rsidRPr="00D333AA">
              <w:rPr>
                <w:rStyle w:val="BodyText1"/>
                <w:rFonts w:ascii="Arial" w:hAnsi="Arial" w:cs="Arial"/>
                <w:color w:val="446E82"/>
              </w:rPr>
              <w:t>QGEA</w:t>
            </w:r>
            <w:r w:rsidRPr="00A955DC">
              <w:rPr>
                <w:rStyle w:val="BodyText1"/>
                <w:rFonts w:ascii="Arial" w:hAnsi="Arial" w:cs="Arial"/>
                <w:color w:val="auto"/>
              </w:rPr>
              <w:tab/>
            </w:r>
            <w:r w:rsidRPr="00A955DC">
              <w:rPr>
                <w:rFonts w:ascii="Arial" w:hAnsi="Arial" w:cs="Arial"/>
                <w:color w:val="auto"/>
              </w:rPr>
              <w:t>Queensland Government Enterprise Architecture</w:t>
            </w:r>
          </w:p>
        </w:tc>
      </w:tr>
      <w:tr w:rsidR="00A955DC" w:rsidRPr="00A955DC" w14:paraId="051C6319" w14:textId="77777777" w:rsidTr="00553655">
        <w:tc>
          <w:tcPr>
            <w:tcW w:w="5033" w:type="dxa"/>
          </w:tcPr>
          <w:p w14:paraId="6A6634EF" w14:textId="202EBEB3" w:rsidR="00FE381F" w:rsidRPr="00A955DC" w:rsidRDefault="00FE381F" w:rsidP="00553655">
            <w:pPr>
              <w:pStyle w:val="BasicParagraph"/>
              <w:tabs>
                <w:tab w:val="clear" w:pos="680"/>
                <w:tab w:val="clear" w:pos="1020"/>
                <w:tab w:val="left" w:pos="1040"/>
              </w:tabs>
              <w:spacing w:after="0"/>
              <w:ind w:left="1038" w:hanging="1038"/>
              <w:contextualSpacing/>
              <w:rPr>
                <w:rStyle w:val="BodyText1"/>
                <w:rFonts w:ascii="Arial" w:hAnsi="Arial"/>
                <w:color w:val="auto"/>
              </w:rPr>
            </w:pPr>
            <w:r w:rsidRPr="00914EF1">
              <w:rPr>
                <w:rStyle w:val="BodyText1"/>
                <w:rFonts w:ascii="Arial" w:hAnsi="Arial" w:cs="Arial"/>
                <w:color w:val="446E82"/>
              </w:rPr>
              <w:t>CIM</w:t>
            </w:r>
            <w:r w:rsidRPr="00A955DC">
              <w:rPr>
                <w:rStyle w:val="BodyText1"/>
                <w:rFonts w:ascii="Arial" w:hAnsi="Arial" w:cs="Arial"/>
                <w:color w:val="auto"/>
              </w:rPr>
              <w:tab/>
              <w:t>Conditional Income Management</w:t>
            </w:r>
          </w:p>
        </w:tc>
        <w:tc>
          <w:tcPr>
            <w:tcW w:w="5032" w:type="dxa"/>
          </w:tcPr>
          <w:p w14:paraId="6E09B2C7" w14:textId="0A74666D" w:rsidR="00FE381F" w:rsidRPr="00A955DC" w:rsidRDefault="00FE381F" w:rsidP="00553655">
            <w:pPr>
              <w:pStyle w:val="BasicParagraph"/>
              <w:tabs>
                <w:tab w:val="clear" w:pos="680"/>
              </w:tabs>
              <w:spacing w:after="0"/>
              <w:ind w:left="1038" w:hanging="1038"/>
              <w:contextualSpacing/>
              <w:rPr>
                <w:rStyle w:val="BodyText1"/>
                <w:rFonts w:ascii="Arial" w:hAnsi="Arial" w:cs="Arial"/>
                <w:color w:val="auto"/>
              </w:rPr>
            </w:pPr>
            <w:r w:rsidRPr="00D333AA">
              <w:rPr>
                <w:rStyle w:val="BodyText1"/>
                <w:rFonts w:ascii="Arial" w:hAnsi="Arial" w:cs="Arial"/>
                <w:color w:val="446E82"/>
              </w:rPr>
              <w:t>QGSO</w:t>
            </w:r>
            <w:r w:rsidRPr="00A955DC">
              <w:rPr>
                <w:rStyle w:val="BodyText1"/>
                <w:rFonts w:ascii="Arial" w:hAnsi="Arial" w:cs="Arial"/>
                <w:color w:val="auto"/>
              </w:rPr>
              <w:tab/>
              <w:t>Queensland Government Statistician’s Office</w:t>
            </w:r>
          </w:p>
        </w:tc>
      </w:tr>
      <w:tr w:rsidR="00A955DC" w:rsidRPr="00A955DC" w14:paraId="639DAD57" w14:textId="77777777" w:rsidTr="00553655">
        <w:tc>
          <w:tcPr>
            <w:tcW w:w="5033" w:type="dxa"/>
          </w:tcPr>
          <w:p w14:paraId="2D1271A7" w14:textId="6197E8AB" w:rsidR="00FE381F" w:rsidRPr="00A955DC" w:rsidRDefault="00FE381F" w:rsidP="00553655">
            <w:pPr>
              <w:pStyle w:val="BasicParagraph"/>
              <w:tabs>
                <w:tab w:val="clear" w:pos="680"/>
                <w:tab w:val="clear" w:pos="1020"/>
                <w:tab w:val="left" w:pos="1040"/>
              </w:tabs>
              <w:spacing w:after="0"/>
              <w:ind w:left="1038" w:hanging="1038"/>
              <w:contextualSpacing/>
              <w:rPr>
                <w:rStyle w:val="BodyText1"/>
                <w:rFonts w:ascii="Arial" w:hAnsi="Arial" w:cs="Arial"/>
                <w:color w:val="auto"/>
              </w:rPr>
            </w:pPr>
            <w:r w:rsidRPr="00914EF1">
              <w:rPr>
                <w:rStyle w:val="BodyText1"/>
                <w:rFonts w:ascii="Arial" w:hAnsi="Arial" w:cs="Arial"/>
                <w:color w:val="446E82"/>
              </w:rPr>
              <w:t>COAG</w:t>
            </w:r>
            <w:r w:rsidRPr="00A955DC">
              <w:rPr>
                <w:rStyle w:val="BodyText1"/>
                <w:rFonts w:ascii="Arial" w:hAnsi="Arial" w:cs="Arial"/>
                <w:color w:val="auto"/>
              </w:rPr>
              <w:tab/>
              <w:t>Council of Australian Governments</w:t>
            </w:r>
          </w:p>
        </w:tc>
        <w:tc>
          <w:tcPr>
            <w:tcW w:w="5032" w:type="dxa"/>
          </w:tcPr>
          <w:p w14:paraId="379ED6A8" w14:textId="0333BF1D" w:rsidR="00FE381F" w:rsidRPr="00A955DC" w:rsidRDefault="00FE381F" w:rsidP="00553655">
            <w:pPr>
              <w:pStyle w:val="BasicParagraph"/>
              <w:tabs>
                <w:tab w:val="clear" w:pos="680"/>
              </w:tabs>
              <w:spacing w:after="0"/>
              <w:ind w:left="1038" w:hanging="1038"/>
              <w:contextualSpacing/>
              <w:rPr>
                <w:rStyle w:val="BodyText1"/>
                <w:rFonts w:ascii="Arial" w:hAnsi="Arial" w:cs="Arial"/>
                <w:color w:val="auto"/>
              </w:rPr>
            </w:pPr>
            <w:r w:rsidRPr="00D333AA">
              <w:rPr>
                <w:rStyle w:val="BodyText1"/>
                <w:rFonts w:ascii="Arial" w:hAnsi="Arial" w:cs="Arial"/>
                <w:color w:val="446E82"/>
              </w:rPr>
              <w:t>QLD</w:t>
            </w:r>
            <w:r w:rsidRPr="00A955DC">
              <w:rPr>
                <w:rStyle w:val="BodyText1"/>
                <w:rFonts w:ascii="Arial" w:hAnsi="Arial" w:cs="Arial"/>
                <w:color w:val="auto"/>
              </w:rPr>
              <w:tab/>
              <w:t>Queensland</w:t>
            </w:r>
          </w:p>
        </w:tc>
      </w:tr>
      <w:tr w:rsidR="00A955DC" w:rsidRPr="00A955DC" w14:paraId="3642EC4A" w14:textId="77777777" w:rsidTr="00553655">
        <w:tc>
          <w:tcPr>
            <w:tcW w:w="5033" w:type="dxa"/>
          </w:tcPr>
          <w:p w14:paraId="330FD94B" w14:textId="0F946AAD" w:rsidR="00FE381F" w:rsidRPr="00A955DC" w:rsidRDefault="00FE381F" w:rsidP="00553655">
            <w:pPr>
              <w:pStyle w:val="BasicParagraph"/>
              <w:tabs>
                <w:tab w:val="clear" w:pos="680"/>
                <w:tab w:val="clear" w:pos="1020"/>
                <w:tab w:val="left" w:pos="1040"/>
              </w:tabs>
              <w:spacing w:after="0"/>
              <w:ind w:left="1038" w:hanging="1038"/>
              <w:contextualSpacing/>
              <w:rPr>
                <w:rStyle w:val="BodyText1"/>
                <w:rFonts w:ascii="Arial" w:hAnsi="Arial" w:cs="Arial"/>
                <w:color w:val="auto"/>
              </w:rPr>
            </w:pPr>
            <w:r w:rsidRPr="00914EF1">
              <w:rPr>
                <w:rStyle w:val="BodyText1"/>
                <w:rFonts w:ascii="Arial" w:hAnsi="Arial" w:cs="Arial"/>
                <w:color w:val="446E82"/>
              </w:rPr>
              <w:t>CYAAA</w:t>
            </w:r>
            <w:r w:rsidRPr="00A955DC">
              <w:rPr>
                <w:rStyle w:val="BodyText1"/>
                <w:rFonts w:ascii="Arial" w:hAnsi="Arial" w:cs="Arial"/>
                <w:color w:val="auto"/>
              </w:rPr>
              <w:tab/>
              <w:t>Cape York Aboriginal Australian Academy</w:t>
            </w:r>
          </w:p>
        </w:tc>
        <w:tc>
          <w:tcPr>
            <w:tcW w:w="5032" w:type="dxa"/>
          </w:tcPr>
          <w:p w14:paraId="020FE14D" w14:textId="2E77311D" w:rsidR="00FE381F" w:rsidRPr="00A955DC" w:rsidRDefault="00FE381F" w:rsidP="00553655">
            <w:pPr>
              <w:pStyle w:val="BasicParagraph"/>
              <w:tabs>
                <w:tab w:val="clear" w:pos="680"/>
                <w:tab w:val="clear" w:pos="1020"/>
                <w:tab w:val="left" w:pos="1040"/>
              </w:tabs>
              <w:spacing w:after="0"/>
              <w:ind w:left="1038" w:hanging="1038"/>
              <w:contextualSpacing/>
              <w:rPr>
                <w:rFonts w:ascii="Arial" w:hAnsi="Arial" w:cs="Arial"/>
                <w:color w:val="auto"/>
              </w:rPr>
            </w:pPr>
            <w:r w:rsidRPr="00D333AA">
              <w:rPr>
                <w:rStyle w:val="BodyText1"/>
                <w:rFonts w:ascii="Arial" w:hAnsi="Arial" w:cs="Arial"/>
                <w:color w:val="446E82"/>
              </w:rPr>
              <w:t>QMF</w:t>
            </w:r>
            <w:r w:rsidRPr="00A955DC">
              <w:rPr>
                <w:rStyle w:val="BodyText1"/>
                <w:rFonts w:ascii="Arial" w:hAnsi="Arial" w:cs="Arial"/>
                <w:color w:val="auto"/>
              </w:rPr>
              <w:tab/>
              <w:t>Queensland Music Festival</w:t>
            </w:r>
          </w:p>
        </w:tc>
      </w:tr>
      <w:tr w:rsidR="00A955DC" w:rsidRPr="00A955DC" w14:paraId="1E0A39D3" w14:textId="77777777" w:rsidTr="00553655">
        <w:tc>
          <w:tcPr>
            <w:tcW w:w="5033" w:type="dxa"/>
          </w:tcPr>
          <w:p w14:paraId="406F97E5" w14:textId="193D09B9" w:rsidR="00FE381F" w:rsidRPr="00A955DC" w:rsidRDefault="00FE381F" w:rsidP="00553655">
            <w:pPr>
              <w:pStyle w:val="BasicParagraph"/>
              <w:tabs>
                <w:tab w:val="clear" w:pos="680"/>
                <w:tab w:val="clear" w:pos="1020"/>
                <w:tab w:val="left" w:pos="1040"/>
              </w:tabs>
              <w:spacing w:after="0"/>
              <w:ind w:left="1038" w:hanging="1038"/>
              <w:contextualSpacing/>
              <w:rPr>
                <w:rStyle w:val="BodyText1"/>
                <w:rFonts w:ascii="Arial" w:hAnsi="Arial" w:cs="Arial"/>
                <w:color w:val="auto"/>
              </w:rPr>
            </w:pPr>
            <w:r w:rsidRPr="00914EF1">
              <w:rPr>
                <w:rStyle w:val="BodyText1"/>
                <w:rFonts w:ascii="Arial" w:hAnsi="Arial" w:cs="Arial"/>
                <w:color w:val="446E82"/>
              </w:rPr>
              <w:t>CYIM</w:t>
            </w:r>
            <w:r w:rsidRPr="00A955DC">
              <w:rPr>
                <w:rStyle w:val="BodyText1"/>
                <w:rFonts w:ascii="Arial" w:hAnsi="Arial" w:cs="Arial"/>
                <w:color w:val="auto"/>
              </w:rPr>
              <w:tab/>
              <w:t>Cape York Income Management</w:t>
            </w:r>
          </w:p>
        </w:tc>
        <w:tc>
          <w:tcPr>
            <w:tcW w:w="5032" w:type="dxa"/>
          </w:tcPr>
          <w:p w14:paraId="142301D6" w14:textId="057DAF17" w:rsidR="00FE381F" w:rsidRPr="00A955DC" w:rsidRDefault="00FE381F" w:rsidP="00553655">
            <w:pPr>
              <w:pStyle w:val="BasicParagraph"/>
              <w:tabs>
                <w:tab w:val="clear" w:pos="680"/>
                <w:tab w:val="clear" w:pos="1020"/>
                <w:tab w:val="left" w:pos="1040"/>
              </w:tabs>
              <w:spacing w:after="0"/>
              <w:ind w:left="1038" w:hanging="1038"/>
              <w:contextualSpacing/>
              <w:rPr>
                <w:rStyle w:val="BodyText1"/>
                <w:rFonts w:ascii="Arial" w:hAnsi="Arial" w:cs="Arial"/>
                <w:color w:val="auto"/>
              </w:rPr>
            </w:pPr>
            <w:r w:rsidRPr="00D333AA">
              <w:rPr>
                <w:rStyle w:val="BodyText1"/>
                <w:rFonts w:ascii="Arial" w:hAnsi="Arial" w:cs="Arial"/>
                <w:color w:val="446E82"/>
              </w:rPr>
              <w:t>QPC</w:t>
            </w:r>
            <w:r w:rsidRPr="00A955DC">
              <w:rPr>
                <w:rStyle w:val="BodyText1"/>
                <w:rFonts w:ascii="Arial" w:hAnsi="Arial" w:cs="Arial"/>
                <w:color w:val="auto"/>
              </w:rPr>
              <w:tab/>
              <w:t>Queensland Productivity Commission</w:t>
            </w:r>
          </w:p>
        </w:tc>
      </w:tr>
      <w:tr w:rsidR="00A955DC" w:rsidRPr="00A955DC" w14:paraId="3A2A5691" w14:textId="77777777" w:rsidTr="00553655">
        <w:tc>
          <w:tcPr>
            <w:tcW w:w="5033" w:type="dxa"/>
          </w:tcPr>
          <w:p w14:paraId="09590748" w14:textId="10249B9D" w:rsidR="00FE381F" w:rsidRPr="00A955DC" w:rsidRDefault="00FE381F" w:rsidP="00553655">
            <w:pPr>
              <w:pStyle w:val="BasicParagraph"/>
              <w:tabs>
                <w:tab w:val="clear" w:pos="680"/>
                <w:tab w:val="clear" w:pos="1020"/>
                <w:tab w:val="left" w:pos="1040"/>
              </w:tabs>
              <w:spacing w:after="0"/>
              <w:ind w:left="1038" w:hanging="1038"/>
              <w:contextualSpacing/>
              <w:rPr>
                <w:rStyle w:val="BodyText1"/>
                <w:rFonts w:ascii="Arial" w:hAnsi="Arial" w:cs="Arial"/>
                <w:color w:val="auto"/>
              </w:rPr>
            </w:pPr>
            <w:r w:rsidRPr="00914EF1">
              <w:rPr>
                <w:rStyle w:val="BodyText1"/>
                <w:rFonts w:ascii="Arial" w:hAnsi="Arial" w:cs="Arial"/>
                <w:color w:val="446E82"/>
              </w:rPr>
              <w:t>CYP</w:t>
            </w:r>
            <w:r w:rsidRPr="00A955DC">
              <w:rPr>
                <w:rStyle w:val="BodyText1"/>
                <w:rFonts w:ascii="Arial" w:hAnsi="Arial" w:cs="Arial"/>
                <w:color w:val="auto"/>
              </w:rPr>
              <w:tab/>
              <w:t>Cape York Partnership</w:t>
            </w:r>
          </w:p>
        </w:tc>
        <w:tc>
          <w:tcPr>
            <w:tcW w:w="5032" w:type="dxa"/>
          </w:tcPr>
          <w:p w14:paraId="37790E67" w14:textId="7DC33391" w:rsidR="00FE381F" w:rsidRPr="00A955DC" w:rsidRDefault="00FE381F" w:rsidP="00553655">
            <w:pPr>
              <w:pStyle w:val="BasicParagraph"/>
              <w:tabs>
                <w:tab w:val="clear" w:pos="680"/>
                <w:tab w:val="clear" w:pos="1020"/>
                <w:tab w:val="left" w:pos="1040"/>
              </w:tabs>
              <w:spacing w:after="0"/>
              <w:ind w:left="1038" w:hanging="1038"/>
              <w:contextualSpacing/>
              <w:rPr>
                <w:rStyle w:val="BodyText1"/>
                <w:rFonts w:ascii="Arial" w:hAnsi="Arial" w:cs="Arial"/>
                <w:color w:val="auto"/>
              </w:rPr>
            </w:pPr>
            <w:r w:rsidRPr="00D333AA">
              <w:rPr>
                <w:rStyle w:val="BodyText1"/>
                <w:rFonts w:ascii="Arial" w:hAnsi="Arial" w:cs="Arial"/>
                <w:color w:val="446E82"/>
              </w:rPr>
              <w:t>QPS</w:t>
            </w:r>
            <w:r w:rsidRPr="00A955DC">
              <w:rPr>
                <w:rStyle w:val="BodyText1"/>
                <w:rFonts w:ascii="Arial" w:hAnsi="Arial" w:cs="Arial"/>
                <w:color w:val="auto"/>
              </w:rPr>
              <w:tab/>
              <w:t>Queensland Police Service</w:t>
            </w:r>
          </w:p>
        </w:tc>
      </w:tr>
      <w:tr w:rsidR="00A955DC" w:rsidRPr="00A955DC" w14:paraId="303E505F" w14:textId="77777777" w:rsidTr="00553655">
        <w:tc>
          <w:tcPr>
            <w:tcW w:w="5033" w:type="dxa"/>
          </w:tcPr>
          <w:p w14:paraId="0547C7A7" w14:textId="2ED046BF" w:rsidR="00FE381F" w:rsidRPr="00A955DC" w:rsidRDefault="00FE381F" w:rsidP="00553655">
            <w:pPr>
              <w:pStyle w:val="BasicParagraph"/>
              <w:tabs>
                <w:tab w:val="clear" w:pos="680"/>
              </w:tabs>
              <w:spacing w:after="0"/>
              <w:ind w:left="1038" w:hanging="1038"/>
              <w:contextualSpacing/>
              <w:rPr>
                <w:rStyle w:val="BodyText1"/>
                <w:rFonts w:ascii="Arial" w:hAnsi="Arial" w:cs="Arial"/>
                <w:color w:val="auto"/>
              </w:rPr>
            </w:pPr>
            <w:r w:rsidRPr="00914EF1">
              <w:rPr>
                <w:rStyle w:val="BodyText1"/>
                <w:rFonts w:ascii="Arial" w:hAnsi="Arial" w:cs="Arial"/>
                <w:color w:val="446E82"/>
              </w:rPr>
              <w:t>CYWR</w:t>
            </w:r>
            <w:r w:rsidRPr="00A955DC">
              <w:rPr>
                <w:rStyle w:val="BodyText1"/>
                <w:rFonts w:ascii="Arial" w:hAnsi="Arial" w:cs="Arial"/>
                <w:color w:val="auto"/>
              </w:rPr>
              <w:tab/>
              <w:t>Cape York Welfare Reform</w:t>
            </w:r>
          </w:p>
        </w:tc>
        <w:tc>
          <w:tcPr>
            <w:tcW w:w="5032" w:type="dxa"/>
          </w:tcPr>
          <w:p w14:paraId="2DC31661" w14:textId="08464FFC" w:rsidR="00FE381F" w:rsidRPr="00A955DC" w:rsidRDefault="00FE381F" w:rsidP="00553655">
            <w:pPr>
              <w:pStyle w:val="BasicParagraph"/>
              <w:tabs>
                <w:tab w:val="clear" w:pos="680"/>
              </w:tabs>
              <w:spacing w:after="0"/>
              <w:ind w:left="1038" w:hanging="1038"/>
              <w:contextualSpacing/>
              <w:rPr>
                <w:rStyle w:val="BodyText1"/>
                <w:rFonts w:ascii="Arial" w:hAnsi="Arial" w:cs="Arial"/>
                <w:color w:val="auto"/>
              </w:rPr>
            </w:pPr>
            <w:r w:rsidRPr="00D333AA">
              <w:rPr>
                <w:rStyle w:val="BodyText1"/>
                <w:rFonts w:ascii="Arial" w:hAnsi="Arial" w:cs="Arial"/>
                <w:color w:val="446E82"/>
              </w:rPr>
              <w:t>QUT</w:t>
            </w:r>
            <w:r w:rsidRPr="00A955DC">
              <w:rPr>
                <w:rStyle w:val="BodyText1"/>
                <w:rFonts w:ascii="Arial" w:hAnsi="Arial" w:cs="Arial"/>
                <w:color w:val="auto"/>
              </w:rPr>
              <w:tab/>
              <w:t>Queensland University of Technology</w:t>
            </w:r>
          </w:p>
        </w:tc>
      </w:tr>
      <w:tr w:rsidR="00A955DC" w:rsidRPr="00A955DC" w14:paraId="173EE3C7" w14:textId="77777777" w:rsidTr="00553655">
        <w:tc>
          <w:tcPr>
            <w:tcW w:w="5033" w:type="dxa"/>
          </w:tcPr>
          <w:p w14:paraId="619E0AC7" w14:textId="606E2C72" w:rsidR="00FE381F" w:rsidRPr="00A955DC" w:rsidRDefault="00FE381F" w:rsidP="00553655">
            <w:pPr>
              <w:pStyle w:val="BasicParagraph"/>
              <w:tabs>
                <w:tab w:val="clear" w:pos="680"/>
              </w:tabs>
              <w:spacing w:after="0"/>
              <w:ind w:left="1038" w:hanging="1038"/>
              <w:contextualSpacing/>
              <w:rPr>
                <w:rStyle w:val="BodyText1"/>
                <w:rFonts w:ascii="Arial" w:hAnsi="Arial" w:cs="Arial"/>
                <w:color w:val="auto"/>
              </w:rPr>
            </w:pPr>
            <w:r w:rsidRPr="00914EF1">
              <w:rPr>
                <w:rStyle w:val="BodyText1"/>
                <w:rFonts w:ascii="Arial" w:hAnsi="Arial" w:cs="Arial"/>
                <w:color w:val="446E82"/>
              </w:rPr>
              <w:t>DATSIP</w:t>
            </w:r>
            <w:r w:rsidRPr="00A955DC">
              <w:rPr>
                <w:rStyle w:val="BodyText1"/>
                <w:rFonts w:ascii="Arial" w:hAnsi="Arial" w:cs="Arial"/>
                <w:color w:val="auto"/>
              </w:rPr>
              <w:tab/>
              <w:t>Department of Aboriginal and Torres Strait Islander Partnerships</w:t>
            </w:r>
          </w:p>
        </w:tc>
        <w:tc>
          <w:tcPr>
            <w:tcW w:w="5032" w:type="dxa"/>
          </w:tcPr>
          <w:p w14:paraId="07104BF6" w14:textId="55543A2A" w:rsidR="00FE381F" w:rsidRPr="00A955DC" w:rsidRDefault="00FE381F" w:rsidP="00553655">
            <w:pPr>
              <w:pStyle w:val="BasicParagraph"/>
              <w:tabs>
                <w:tab w:val="clear" w:pos="680"/>
              </w:tabs>
              <w:spacing w:after="0"/>
              <w:ind w:left="1038" w:hanging="1038"/>
              <w:contextualSpacing/>
              <w:rPr>
                <w:rStyle w:val="BodyText1"/>
                <w:rFonts w:ascii="Arial" w:hAnsi="Arial" w:cs="Arial"/>
                <w:color w:val="auto"/>
              </w:rPr>
            </w:pPr>
            <w:r w:rsidRPr="00D333AA">
              <w:rPr>
                <w:rStyle w:val="BodyText1"/>
                <w:rFonts w:ascii="Arial" w:hAnsi="Arial" w:cs="Arial"/>
                <w:color w:val="446E82"/>
              </w:rPr>
              <w:t>RAATSICC</w:t>
            </w:r>
            <w:r w:rsidRPr="00A955DC">
              <w:rPr>
                <w:rStyle w:val="BodyText1"/>
                <w:rFonts w:ascii="Arial" w:hAnsi="Arial" w:cs="Arial"/>
                <w:color w:val="auto"/>
              </w:rPr>
              <w:tab/>
              <w:t>Remote Area Aboriginal and Torres Strait Islander Child Care</w:t>
            </w:r>
          </w:p>
        </w:tc>
      </w:tr>
      <w:tr w:rsidR="00A955DC" w:rsidRPr="00A955DC" w14:paraId="391B60C1" w14:textId="77777777" w:rsidTr="00553655">
        <w:tc>
          <w:tcPr>
            <w:tcW w:w="5033" w:type="dxa"/>
          </w:tcPr>
          <w:p w14:paraId="62B500BD" w14:textId="4CAE31C3" w:rsidR="00FE381F" w:rsidRPr="00A955DC" w:rsidRDefault="00FE381F" w:rsidP="00553655">
            <w:pPr>
              <w:pStyle w:val="BasicParagraph"/>
              <w:tabs>
                <w:tab w:val="clear" w:pos="680"/>
              </w:tabs>
              <w:spacing w:after="0"/>
              <w:ind w:left="1038" w:hanging="1038"/>
              <w:contextualSpacing/>
              <w:rPr>
                <w:rStyle w:val="BodyText1"/>
                <w:rFonts w:ascii="Arial" w:hAnsi="Arial" w:cs="Arial"/>
                <w:color w:val="auto"/>
              </w:rPr>
            </w:pPr>
            <w:r w:rsidRPr="00914EF1">
              <w:rPr>
                <w:rStyle w:val="BodyText1"/>
                <w:rFonts w:ascii="Arial" w:hAnsi="Arial" w:cs="Arial"/>
                <w:color w:val="446E82"/>
              </w:rPr>
              <w:t>DCSYW</w:t>
            </w:r>
            <w:r w:rsidRPr="00A955DC">
              <w:rPr>
                <w:rStyle w:val="BodyText1"/>
                <w:rFonts w:ascii="Arial" w:hAnsi="Arial" w:cs="Arial"/>
                <w:color w:val="auto"/>
              </w:rPr>
              <w:tab/>
              <w:t>Department of Child Safety, Youth and Women</w:t>
            </w:r>
          </w:p>
        </w:tc>
        <w:tc>
          <w:tcPr>
            <w:tcW w:w="5032" w:type="dxa"/>
          </w:tcPr>
          <w:p w14:paraId="54EA3C62" w14:textId="40507F65" w:rsidR="00FE381F" w:rsidRPr="00A955DC" w:rsidRDefault="00FE381F" w:rsidP="00553655">
            <w:pPr>
              <w:pStyle w:val="BasicParagraph"/>
              <w:tabs>
                <w:tab w:val="clear" w:pos="680"/>
              </w:tabs>
              <w:spacing w:after="0"/>
              <w:ind w:left="1038" w:hanging="1038"/>
              <w:contextualSpacing/>
              <w:rPr>
                <w:rStyle w:val="BodyText1"/>
                <w:rFonts w:ascii="Arial" w:hAnsi="Arial" w:cs="Arial"/>
                <w:color w:val="auto"/>
              </w:rPr>
            </w:pPr>
            <w:r w:rsidRPr="00D333AA">
              <w:rPr>
                <w:rStyle w:val="BodyText1"/>
                <w:rFonts w:ascii="Arial" w:hAnsi="Arial" w:cs="Arial"/>
                <w:color w:val="446E82"/>
              </w:rPr>
              <w:t>RFDS</w:t>
            </w:r>
            <w:r w:rsidRPr="00A955DC">
              <w:rPr>
                <w:rStyle w:val="BodyText1"/>
                <w:rFonts w:ascii="Arial" w:hAnsi="Arial" w:cs="Arial"/>
                <w:color w:val="auto"/>
              </w:rPr>
              <w:tab/>
              <w:t>Royal Flying Doctor Service</w:t>
            </w:r>
          </w:p>
        </w:tc>
      </w:tr>
      <w:tr w:rsidR="00A955DC" w:rsidRPr="00A955DC" w14:paraId="789C7D6C" w14:textId="77777777" w:rsidTr="00553655">
        <w:tc>
          <w:tcPr>
            <w:tcW w:w="5033" w:type="dxa"/>
          </w:tcPr>
          <w:p w14:paraId="6A5BAE31" w14:textId="146EFA82" w:rsidR="00FE381F" w:rsidRPr="00A955DC" w:rsidRDefault="00FE381F" w:rsidP="00553655">
            <w:pPr>
              <w:pStyle w:val="BasicParagraph"/>
              <w:tabs>
                <w:tab w:val="clear" w:pos="680"/>
                <w:tab w:val="clear" w:pos="1020"/>
                <w:tab w:val="left" w:pos="1040"/>
              </w:tabs>
              <w:spacing w:after="0"/>
              <w:ind w:left="1038" w:hanging="1038"/>
              <w:contextualSpacing/>
              <w:rPr>
                <w:rStyle w:val="BodyText1"/>
                <w:rFonts w:ascii="Arial" w:hAnsi="Arial" w:cs="Arial"/>
                <w:color w:val="auto"/>
              </w:rPr>
            </w:pPr>
            <w:r w:rsidRPr="00914EF1">
              <w:rPr>
                <w:rStyle w:val="BodyText1"/>
                <w:rFonts w:ascii="Arial" w:hAnsi="Arial" w:cs="Arial"/>
                <w:color w:val="446E82"/>
              </w:rPr>
              <w:t>DoE</w:t>
            </w:r>
            <w:r w:rsidRPr="00A955DC">
              <w:rPr>
                <w:rStyle w:val="BodyText1"/>
                <w:rFonts w:ascii="Arial" w:hAnsi="Arial" w:cs="Arial"/>
                <w:color w:val="auto"/>
              </w:rPr>
              <w:tab/>
              <w:t>Department of Education</w:t>
            </w:r>
          </w:p>
        </w:tc>
        <w:tc>
          <w:tcPr>
            <w:tcW w:w="5032" w:type="dxa"/>
          </w:tcPr>
          <w:p w14:paraId="5A368516" w14:textId="4A7C4CA3" w:rsidR="00FE381F" w:rsidRPr="00A955DC" w:rsidRDefault="00FE381F" w:rsidP="00553655">
            <w:pPr>
              <w:pStyle w:val="BasicParagraph"/>
              <w:tabs>
                <w:tab w:val="clear" w:pos="680"/>
                <w:tab w:val="clear" w:pos="1020"/>
                <w:tab w:val="left" w:pos="1040"/>
              </w:tabs>
              <w:spacing w:after="0"/>
              <w:ind w:left="1038" w:hanging="1038"/>
              <w:contextualSpacing/>
              <w:rPr>
                <w:rStyle w:val="BodyText1"/>
                <w:rFonts w:ascii="Arial" w:hAnsi="Arial" w:cs="Arial"/>
                <w:color w:val="auto"/>
              </w:rPr>
            </w:pPr>
            <w:r w:rsidRPr="00D333AA">
              <w:rPr>
                <w:rStyle w:val="BodyText1"/>
                <w:rFonts w:ascii="Arial" w:hAnsi="Arial" w:cs="Arial"/>
                <w:color w:val="446E82"/>
              </w:rPr>
              <w:t>SCM</w:t>
            </w:r>
            <w:r w:rsidRPr="00A955DC">
              <w:rPr>
                <w:rFonts w:ascii="Arial" w:hAnsi="Arial" w:cs="Arial"/>
                <w:color w:val="auto"/>
              </w:rPr>
              <w:tab/>
              <w:t>Student Case Manager</w:t>
            </w:r>
          </w:p>
        </w:tc>
      </w:tr>
      <w:tr w:rsidR="00A955DC" w:rsidRPr="00A955DC" w14:paraId="7DE24757" w14:textId="77777777" w:rsidTr="00553655">
        <w:tc>
          <w:tcPr>
            <w:tcW w:w="5033" w:type="dxa"/>
          </w:tcPr>
          <w:p w14:paraId="26848FAC" w14:textId="3F016CCD" w:rsidR="00FE381F" w:rsidRPr="00A955DC" w:rsidRDefault="00FE381F" w:rsidP="00553655">
            <w:pPr>
              <w:pStyle w:val="BasicParagraph"/>
              <w:tabs>
                <w:tab w:val="clear" w:pos="680"/>
                <w:tab w:val="clear" w:pos="1020"/>
                <w:tab w:val="left" w:pos="1040"/>
              </w:tabs>
              <w:spacing w:after="0"/>
              <w:ind w:left="1038" w:hanging="1038"/>
              <w:contextualSpacing/>
              <w:rPr>
                <w:rStyle w:val="BodyText1"/>
                <w:rFonts w:ascii="Arial" w:hAnsi="Arial" w:cs="Arial"/>
                <w:color w:val="auto"/>
              </w:rPr>
            </w:pPr>
            <w:r w:rsidRPr="00914EF1">
              <w:rPr>
                <w:rStyle w:val="BodyText1"/>
                <w:rFonts w:ascii="Arial" w:hAnsi="Arial" w:cs="Arial"/>
                <w:color w:val="446E82"/>
              </w:rPr>
              <w:t>DHPW</w:t>
            </w:r>
            <w:r w:rsidRPr="00A955DC">
              <w:rPr>
                <w:rStyle w:val="BodyText1"/>
                <w:rFonts w:ascii="Arial" w:hAnsi="Arial" w:cs="Arial"/>
                <w:color w:val="auto"/>
              </w:rPr>
              <w:tab/>
              <w:t>Department of Housing and Public Works</w:t>
            </w:r>
          </w:p>
        </w:tc>
        <w:tc>
          <w:tcPr>
            <w:tcW w:w="5032" w:type="dxa"/>
          </w:tcPr>
          <w:p w14:paraId="468881A4" w14:textId="74B1D7ED" w:rsidR="00FE381F" w:rsidRPr="00A955DC" w:rsidRDefault="00FE381F" w:rsidP="00553655">
            <w:pPr>
              <w:pStyle w:val="BasicParagraph"/>
              <w:tabs>
                <w:tab w:val="clear" w:pos="680"/>
                <w:tab w:val="clear" w:pos="1020"/>
                <w:tab w:val="left" w:pos="1040"/>
              </w:tabs>
              <w:spacing w:after="0"/>
              <w:ind w:left="1038" w:hanging="1038"/>
              <w:contextualSpacing/>
              <w:rPr>
                <w:rStyle w:val="BodyText1"/>
                <w:rFonts w:ascii="Arial" w:hAnsi="Arial" w:cs="Arial"/>
                <w:color w:val="auto"/>
              </w:rPr>
            </w:pPr>
            <w:r w:rsidRPr="00D333AA">
              <w:rPr>
                <w:rStyle w:val="BodyText1"/>
                <w:rFonts w:ascii="Arial" w:hAnsi="Arial" w:cs="Arial"/>
                <w:color w:val="446E82"/>
              </w:rPr>
              <w:t>TIS</w:t>
            </w:r>
            <w:r w:rsidRPr="00A955DC">
              <w:rPr>
                <w:rStyle w:val="BodyText1"/>
                <w:rFonts w:ascii="Arial" w:hAnsi="Arial" w:cs="Arial"/>
                <w:color w:val="auto"/>
              </w:rPr>
              <w:tab/>
            </w:r>
            <w:r w:rsidRPr="00A955DC">
              <w:rPr>
                <w:rFonts w:ascii="Arial" w:hAnsi="Arial" w:cs="Arial"/>
                <w:color w:val="auto"/>
              </w:rPr>
              <w:t>Translating and Interpreting Service</w:t>
            </w:r>
          </w:p>
        </w:tc>
      </w:tr>
      <w:tr w:rsidR="00A955DC" w:rsidRPr="00A955DC" w14:paraId="68B74F52" w14:textId="77777777" w:rsidTr="00553655">
        <w:tc>
          <w:tcPr>
            <w:tcW w:w="5033" w:type="dxa"/>
          </w:tcPr>
          <w:p w14:paraId="6CD7E1D8" w14:textId="09983A08" w:rsidR="00FE381F" w:rsidRPr="00A955DC" w:rsidRDefault="00FE381F" w:rsidP="00553655">
            <w:pPr>
              <w:pStyle w:val="BasicParagraph"/>
              <w:tabs>
                <w:tab w:val="clear" w:pos="680"/>
                <w:tab w:val="clear" w:pos="1020"/>
                <w:tab w:val="left" w:pos="1040"/>
              </w:tabs>
              <w:spacing w:after="0"/>
              <w:ind w:left="1038" w:hanging="1038"/>
              <w:contextualSpacing/>
              <w:rPr>
                <w:rStyle w:val="BodyText1"/>
                <w:rFonts w:ascii="Arial" w:hAnsi="Arial" w:cs="Arial"/>
                <w:color w:val="auto"/>
              </w:rPr>
            </w:pPr>
            <w:r w:rsidRPr="00914EF1">
              <w:rPr>
                <w:rStyle w:val="BodyText1"/>
                <w:rFonts w:ascii="Arial" w:hAnsi="Arial" w:cs="Arial"/>
                <w:color w:val="446E82"/>
              </w:rPr>
              <w:t>DJAG</w:t>
            </w:r>
            <w:r w:rsidRPr="00A955DC">
              <w:rPr>
                <w:rStyle w:val="BodyText1"/>
                <w:rFonts w:ascii="Arial" w:hAnsi="Arial" w:cs="Arial"/>
                <w:color w:val="auto"/>
              </w:rPr>
              <w:tab/>
              <w:t>Department of Justice and Attorney-General</w:t>
            </w:r>
          </w:p>
        </w:tc>
        <w:tc>
          <w:tcPr>
            <w:tcW w:w="5032" w:type="dxa"/>
          </w:tcPr>
          <w:p w14:paraId="31000472" w14:textId="02AA6A5D" w:rsidR="00FE381F" w:rsidRPr="00A955DC" w:rsidRDefault="00FE381F" w:rsidP="00553655">
            <w:pPr>
              <w:pStyle w:val="BasicParagraph"/>
              <w:tabs>
                <w:tab w:val="clear" w:pos="680"/>
                <w:tab w:val="clear" w:pos="1020"/>
                <w:tab w:val="left" w:pos="1040"/>
              </w:tabs>
              <w:spacing w:after="0"/>
              <w:ind w:left="1038" w:hanging="1038"/>
              <w:contextualSpacing/>
              <w:rPr>
                <w:rStyle w:val="BodyText1"/>
                <w:rFonts w:ascii="Arial" w:hAnsi="Arial" w:cs="Arial"/>
                <w:color w:val="auto"/>
              </w:rPr>
            </w:pPr>
            <w:r w:rsidRPr="00D333AA">
              <w:rPr>
                <w:rStyle w:val="BodyText1"/>
                <w:rFonts w:ascii="Arial" w:hAnsi="Arial" w:cs="Arial"/>
                <w:color w:val="446E82"/>
              </w:rPr>
              <w:t>VDI</w:t>
            </w:r>
            <w:r w:rsidRPr="00A955DC">
              <w:rPr>
                <w:rStyle w:val="BodyText1"/>
                <w:rFonts w:ascii="Arial" w:hAnsi="Arial" w:cs="Arial"/>
                <w:color w:val="auto"/>
              </w:rPr>
              <w:tab/>
            </w:r>
            <w:r w:rsidRPr="00A955DC">
              <w:rPr>
                <w:rFonts w:ascii="Arial" w:hAnsi="Arial" w:cs="Arial"/>
                <w:color w:val="auto"/>
              </w:rPr>
              <w:t>Virtual Desktop Infrastructure</w:t>
            </w:r>
          </w:p>
        </w:tc>
      </w:tr>
      <w:tr w:rsidR="00A955DC" w:rsidRPr="00A955DC" w14:paraId="14949DF0" w14:textId="77777777" w:rsidTr="00553655">
        <w:tc>
          <w:tcPr>
            <w:tcW w:w="5033" w:type="dxa"/>
          </w:tcPr>
          <w:p w14:paraId="5B6AE8AF" w14:textId="30503D06" w:rsidR="00FE381F" w:rsidRPr="00A955DC" w:rsidRDefault="00FE381F" w:rsidP="00553655">
            <w:pPr>
              <w:pStyle w:val="BasicParagraph"/>
              <w:tabs>
                <w:tab w:val="clear" w:pos="680"/>
                <w:tab w:val="clear" w:pos="1020"/>
                <w:tab w:val="left" w:pos="1040"/>
              </w:tabs>
              <w:spacing w:after="0"/>
              <w:ind w:left="1038" w:hanging="1038"/>
              <w:contextualSpacing/>
              <w:rPr>
                <w:rStyle w:val="BodyText1"/>
                <w:rFonts w:ascii="Arial" w:hAnsi="Arial" w:cs="Arial"/>
                <w:color w:val="auto"/>
              </w:rPr>
            </w:pPr>
            <w:r w:rsidRPr="00914EF1">
              <w:rPr>
                <w:rStyle w:val="BodyText1"/>
                <w:rFonts w:ascii="Arial" w:hAnsi="Arial" w:cs="Arial"/>
                <w:color w:val="446E82"/>
              </w:rPr>
              <w:t>DPMC</w:t>
            </w:r>
            <w:r w:rsidRPr="00A955DC">
              <w:rPr>
                <w:rStyle w:val="BodyText1"/>
                <w:rFonts w:ascii="Arial" w:hAnsi="Arial" w:cs="Arial"/>
                <w:color w:val="auto"/>
              </w:rPr>
              <w:tab/>
              <w:t>Department of the Prime Minister and Cabinet</w:t>
            </w:r>
          </w:p>
        </w:tc>
        <w:tc>
          <w:tcPr>
            <w:tcW w:w="5032" w:type="dxa"/>
          </w:tcPr>
          <w:p w14:paraId="2F6D70FE" w14:textId="6516B7BF" w:rsidR="00FE381F" w:rsidRPr="00A955DC" w:rsidRDefault="00FE381F" w:rsidP="00553655">
            <w:pPr>
              <w:pStyle w:val="BasicParagraph"/>
              <w:tabs>
                <w:tab w:val="clear" w:pos="680"/>
                <w:tab w:val="clear" w:pos="1020"/>
                <w:tab w:val="left" w:pos="1040"/>
              </w:tabs>
              <w:spacing w:after="0"/>
              <w:ind w:left="1038" w:hanging="1038"/>
              <w:contextualSpacing/>
              <w:rPr>
                <w:rFonts w:ascii="Arial" w:hAnsi="Arial" w:cs="Arial"/>
                <w:color w:val="auto"/>
              </w:rPr>
            </w:pPr>
            <w:r w:rsidRPr="00D333AA">
              <w:rPr>
                <w:rStyle w:val="BodyText1"/>
                <w:rFonts w:ascii="Arial" w:hAnsi="Arial" w:cs="Arial"/>
                <w:color w:val="446E82"/>
              </w:rPr>
              <w:t>VIM</w:t>
            </w:r>
            <w:r w:rsidRPr="00A955DC">
              <w:rPr>
                <w:rStyle w:val="BodyText1"/>
                <w:rFonts w:ascii="Arial" w:hAnsi="Arial" w:cs="Arial"/>
                <w:color w:val="auto"/>
              </w:rPr>
              <w:tab/>
              <w:t>Voluntary Income Management</w:t>
            </w:r>
          </w:p>
        </w:tc>
      </w:tr>
      <w:tr w:rsidR="00A955DC" w:rsidRPr="00A955DC" w14:paraId="5F95E082" w14:textId="77777777" w:rsidTr="00553655">
        <w:tc>
          <w:tcPr>
            <w:tcW w:w="5033" w:type="dxa"/>
          </w:tcPr>
          <w:p w14:paraId="247BB59D" w14:textId="292D8FA3" w:rsidR="00FE381F" w:rsidRPr="00A955DC" w:rsidRDefault="00FE381F" w:rsidP="00553655">
            <w:pPr>
              <w:pStyle w:val="BasicParagraph"/>
              <w:tabs>
                <w:tab w:val="clear" w:pos="680"/>
                <w:tab w:val="clear" w:pos="1020"/>
                <w:tab w:val="left" w:pos="1040"/>
              </w:tabs>
              <w:spacing w:after="0"/>
              <w:ind w:left="1038" w:hanging="1038"/>
              <w:contextualSpacing/>
              <w:rPr>
                <w:rStyle w:val="BodyText1"/>
                <w:rFonts w:ascii="Arial" w:hAnsi="Arial" w:cs="Arial"/>
                <w:color w:val="auto"/>
              </w:rPr>
            </w:pPr>
            <w:r w:rsidRPr="00914EF1">
              <w:rPr>
                <w:rStyle w:val="BodyText1"/>
                <w:rFonts w:ascii="Arial" w:hAnsi="Arial" w:cs="Arial"/>
                <w:color w:val="446E82"/>
              </w:rPr>
              <w:t>DSS</w:t>
            </w:r>
            <w:r w:rsidRPr="00A955DC">
              <w:rPr>
                <w:rStyle w:val="BodyText1"/>
                <w:rFonts w:ascii="Arial" w:hAnsi="Arial" w:cs="Arial"/>
                <w:color w:val="auto"/>
              </w:rPr>
              <w:tab/>
              <w:t>Department of Social Services</w:t>
            </w:r>
          </w:p>
        </w:tc>
        <w:tc>
          <w:tcPr>
            <w:tcW w:w="5032" w:type="dxa"/>
          </w:tcPr>
          <w:p w14:paraId="38F30F11" w14:textId="50F2C560" w:rsidR="00FE381F" w:rsidRPr="00A955DC" w:rsidRDefault="00FE381F" w:rsidP="00553655">
            <w:pPr>
              <w:pStyle w:val="BasicParagraph"/>
              <w:tabs>
                <w:tab w:val="clear" w:pos="680"/>
              </w:tabs>
              <w:spacing w:after="0"/>
              <w:ind w:left="1038" w:hanging="1038"/>
              <w:contextualSpacing/>
              <w:rPr>
                <w:rStyle w:val="BodyText1"/>
                <w:rFonts w:ascii="Arial" w:hAnsi="Arial" w:cs="Arial"/>
                <w:color w:val="auto"/>
              </w:rPr>
            </w:pPr>
            <w:r w:rsidRPr="00D333AA">
              <w:rPr>
                <w:rStyle w:val="BodyText1"/>
                <w:rFonts w:ascii="Arial" w:hAnsi="Arial" w:cs="Arial"/>
                <w:color w:val="446E82"/>
              </w:rPr>
              <w:t>WBC</w:t>
            </w:r>
            <w:r w:rsidRPr="00A955DC">
              <w:rPr>
                <w:rStyle w:val="BodyText1"/>
                <w:rFonts w:ascii="Arial" w:hAnsi="Arial" w:cs="Arial"/>
                <w:color w:val="auto"/>
              </w:rPr>
              <w:tab/>
              <w:t>Wellbeing Centre</w:t>
            </w:r>
          </w:p>
        </w:tc>
      </w:tr>
      <w:tr w:rsidR="00A955DC" w:rsidRPr="00A955DC" w14:paraId="1DC0ECF5" w14:textId="77777777" w:rsidTr="00553655">
        <w:tc>
          <w:tcPr>
            <w:tcW w:w="5033" w:type="dxa"/>
          </w:tcPr>
          <w:p w14:paraId="13D2B332" w14:textId="246E4B72" w:rsidR="00FE381F" w:rsidRPr="00A955DC" w:rsidRDefault="00FE381F" w:rsidP="00553655">
            <w:pPr>
              <w:pStyle w:val="BasicParagraph"/>
              <w:tabs>
                <w:tab w:val="clear" w:pos="680"/>
                <w:tab w:val="clear" w:pos="1020"/>
                <w:tab w:val="left" w:pos="1040"/>
              </w:tabs>
              <w:spacing w:after="0"/>
              <w:ind w:left="1038" w:hanging="1038"/>
              <w:contextualSpacing/>
              <w:rPr>
                <w:rStyle w:val="BodyText1"/>
                <w:rFonts w:ascii="Arial" w:hAnsi="Arial" w:cs="Arial"/>
                <w:color w:val="auto"/>
              </w:rPr>
            </w:pPr>
            <w:r w:rsidRPr="00914EF1">
              <w:rPr>
                <w:rStyle w:val="BodyText1"/>
                <w:rFonts w:ascii="Arial" w:hAnsi="Arial" w:cs="Arial"/>
                <w:color w:val="446E82"/>
              </w:rPr>
              <w:t>EMT</w:t>
            </w:r>
            <w:r w:rsidRPr="00A955DC">
              <w:rPr>
                <w:rStyle w:val="BodyText1"/>
                <w:rFonts w:ascii="Arial" w:hAnsi="Arial" w:cs="Arial"/>
                <w:color w:val="auto"/>
              </w:rPr>
              <w:tab/>
            </w:r>
            <w:r w:rsidRPr="00A955DC">
              <w:rPr>
                <w:rFonts w:ascii="Arial" w:hAnsi="Arial" w:cs="Arial"/>
                <w:color w:val="auto"/>
              </w:rPr>
              <w:t>Executive Management Team</w:t>
            </w:r>
          </w:p>
        </w:tc>
        <w:tc>
          <w:tcPr>
            <w:tcW w:w="5032" w:type="dxa"/>
          </w:tcPr>
          <w:p w14:paraId="15314215" w14:textId="0C8AD835" w:rsidR="00FE381F" w:rsidRPr="00A955DC" w:rsidRDefault="00FE381F" w:rsidP="00553655">
            <w:pPr>
              <w:pStyle w:val="BasicParagraph"/>
              <w:tabs>
                <w:tab w:val="clear" w:pos="680"/>
                <w:tab w:val="clear" w:pos="1020"/>
                <w:tab w:val="left" w:pos="1040"/>
              </w:tabs>
              <w:spacing w:after="0"/>
              <w:ind w:left="1038" w:hanging="1038"/>
              <w:contextualSpacing/>
              <w:rPr>
                <w:rStyle w:val="BodyText1"/>
                <w:rFonts w:ascii="Arial" w:hAnsi="Arial" w:cs="Arial"/>
                <w:color w:val="auto"/>
              </w:rPr>
            </w:pPr>
          </w:p>
        </w:tc>
      </w:tr>
      <w:tr w:rsidR="00A955DC" w:rsidRPr="00A955DC" w14:paraId="44F78915" w14:textId="77777777" w:rsidTr="00553655">
        <w:tc>
          <w:tcPr>
            <w:tcW w:w="5033" w:type="dxa"/>
          </w:tcPr>
          <w:p w14:paraId="0D4F37DE" w14:textId="621234AC" w:rsidR="00FE381F" w:rsidRPr="00A955DC" w:rsidRDefault="00FE381F" w:rsidP="00553655">
            <w:pPr>
              <w:pStyle w:val="BasicParagraph"/>
              <w:tabs>
                <w:tab w:val="clear" w:pos="680"/>
                <w:tab w:val="clear" w:pos="1020"/>
                <w:tab w:val="left" w:pos="1040"/>
              </w:tabs>
              <w:spacing w:after="0"/>
              <w:ind w:left="1038" w:hanging="1038"/>
              <w:contextualSpacing/>
              <w:rPr>
                <w:rStyle w:val="BodyText1"/>
                <w:rFonts w:ascii="Arial" w:hAnsi="Arial" w:cs="Arial"/>
                <w:color w:val="auto"/>
              </w:rPr>
            </w:pPr>
            <w:r w:rsidRPr="00914EF1">
              <w:rPr>
                <w:rStyle w:val="BodyText1"/>
                <w:rFonts w:ascii="Arial" w:hAnsi="Arial" w:cs="Arial"/>
                <w:color w:val="446E82"/>
              </w:rPr>
              <w:t>ERP</w:t>
            </w:r>
            <w:r w:rsidRPr="00A955DC">
              <w:rPr>
                <w:rStyle w:val="BodyText1"/>
                <w:rFonts w:ascii="Arial" w:hAnsi="Arial" w:cs="Arial"/>
                <w:color w:val="auto"/>
              </w:rPr>
              <w:tab/>
              <w:t>Estimated Resident Population</w:t>
            </w:r>
          </w:p>
        </w:tc>
        <w:tc>
          <w:tcPr>
            <w:tcW w:w="5032" w:type="dxa"/>
          </w:tcPr>
          <w:p w14:paraId="331EF05A" w14:textId="4595250C" w:rsidR="00FE381F" w:rsidRPr="00A955DC" w:rsidRDefault="00FE381F" w:rsidP="00553655">
            <w:pPr>
              <w:pStyle w:val="BasicParagraph"/>
              <w:tabs>
                <w:tab w:val="clear" w:pos="680"/>
                <w:tab w:val="clear" w:pos="1020"/>
                <w:tab w:val="left" w:pos="1040"/>
              </w:tabs>
              <w:spacing w:after="0"/>
              <w:ind w:left="1038" w:hanging="1038"/>
              <w:contextualSpacing/>
              <w:rPr>
                <w:rStyle w:val="BodyText1"/>
                <w:rFonts w:ascii="Arial" w:hAnsi="Arial" w:cs="Arial"/>
                <w:color w:val="auto"/>
              </w:rPr>
            </w:pPr>
            <w:r w:rsidRPr="00A955DC">
              <w:rPr>
                <w:rStyle w:val="BodyText1"/>
                <w:rFonts w:ascii="Arial" w:hAnsi="Arial" w:cs="Arial"/>
                <w:color w:val="auto"/>
              </w:rPr>
              <w:t>Also:</w:t>
            </w:r>
          </w:p>
        </w:tc>
      </w:tr>
      <w:tr w:rsidR="00A955DC" w:rsidRPr="00A955DC" w14:paraId="4F2B8B2B" w14:textId="77777777" w:rsidTr="00553655">
        <w:tc>
          <w:tcPr>
            <w:tcW w:w="5033" w:type="dxa"/>
          </w:tcPr>
          <w:p w14:paraId="6752C30B" w14:textId="74FFA2BD" w:rsidR="00FE381F" w:rsidRPr="00A955DC" w:rsidRDefault="00FE381F" w:rsidP="00553655">
            <w:pPr>
              <w:pStyle w:val="BasicParagraph"/>
              <w:tabs>
                <w:tab w:val="clear" w:pos="680"/>
                <w:tab w:val="clear" w:pos="1020"/>
                <w:tab w:val="left" w:pos="1040"/>
              </w:tabs>
              <w:spacing w:after="0"/>
              <w:ind w:left="1038" w:hanging="1038"/>
              <w:contextualSpacing/>
              <w:rPr>
                <w:rStyle w:val="BodyText1"/>
                <w:rFonts w:ascii="Arial" w:hAnsi="Arial" w:cs="Arial"/>
                <w:color w:val="auto"/>
              </w:rPr>
            </w:pPr>
            <w:r w:rsidRPr="00914EF1">
              <w:rPr>
                <w:rStyle w:val="BodyText1"/>
                <w:rFonts w:ascii="Arial" w:hAnsi="Arial" w:cs="Arial"/>
                <w:color w:val="446E82"/>
              </w:rPr>
              <w:t>FAA</w:t>
            </w:r>
            <w:r w:rsidRPr="00A955DC">
              <w:rPr>
                <w:rStyle w:val="BodyText1"/>
                <w:rFonts w:ascii="Arial" w:hAnsi="Arial" w:cs="Arial"/>
                <w:color w:val="auto"/>
              </w:rPr>
              <w:tab/>
            </w:r>
            <w:r w:rsidRPr="00A955DC">
              <w:rPr>
                <w:rStyle w:val="BodyText1"/>
                <w:rFonts w:ascii="Arial" w:hAnsi="Arial" w:cs="Arial"/>
                <w:i/>
                <w:color w:val="auto"/>
              </w:rPr>
              <w:t>Financial Accountability Act 2009</w:t>
            </w:r>
          </w:p>
        </w:tc>
        <w:tc>
          <w:tcPr>
            <w:tcW w:w="5032" w:type="dxa"/>
          </w:tcPr>
          <w:p w14:paraId="6D1163B8" w14:textId="752B148F" w:rsidR="00FE381F" w:rsidRPr="00A955DC" w:rsidRDefault="00FE381F" w:rsidP="00553655">
            <w:pPr>
              <w:pStyle w:val="BasicParagraph"/>
              <w:tabs>
                <w:tab w:val="clear" w:pos="680"/>
                <w:tab w:val="clear" w:pos="1020"/>
                <w:tab w:val="left" w:pos="1040"/>
              </w:tabs>
              <w:spacing w:after="0"/>
              <w:ind w:left="1038" w:hanging="1038"/>
              <w:contextualSpacing/>
              <w:rPr>
                <w:rStyle w:val="BodyText1"/>
                <w:rFonts w:ascii="Arial" w:hAnsi="Arial" w:cs="Arial"/>
                <w:color w:val="auto"/>
              </w:rPr>
            </w:pPr>
            <w:proofErr w:type="spellStart"/>
            <w:r w:rsidRPr="00A955DC">
              <w:rPr>
                <w:rStyle w:val="BodyText1"/>
                <w:rFonts w:ascii="Arial" w:hAnsi="Arial" w:cs="Arial"/>
                <w:color w:val="auto"/>
              </w:rPr>
              <w:t>Apunipima</w:t>
            </w:r>
            <w:proofErr w:type="spellEnd"/>
            <w:r w:rsidRPr="00A955DC">
              <w:rPr>
                <w:rStyle w:val="BodyText1"/>
                <w:rFonts w:ascii="Arial" w:hAnsi="Arial" w:cs="Arial"/>
                <w:color w:val="auto"/>
              </w:rPr>
              <w:t xml:space="preserve"> Cape York Health Council </w:t>
            </w:r>
            <w:r w:rsidRPr="00D333AA">
              <w:rPr>
                <w:rStyle w:val="BodyText1"/>
                <w:rFonts w:ascii="Arial" w:hAnsi="Arial" w:cs="Arial"/>
                <w:color w:val="446E82"/>
              </w:rPr>
              <w:t>(</w:t>
            </w:r>
            <w:proofErr w:type="spellStart"/>
            <w:r w:rsidRPr="00D333AA">
              <w:rPr>
                <w:rStyle w:val="BodyText1"/>
                <w:rFonts w:ascii="Arial" w:hAnsi="Arial" w:cs="Arial"/>
                <w:color w:val="446E82"/>
              </w:rPr>
              <w:t>Apunipima</w:t>
            </w:r>
            <w:proofErr w:type="spellEnd"/>
            <w:r w:rsidRPr="00D333AA">
              <w:rPr>
                <w:rStyle w:val="BodyText1"/>
                <w:rFonts w:ascii="Arial" w:hAnsi="Arial" w:cs="Arial"/>
                <w:color w:val="446E82"/>
              </w:rPr>
              <w:t>)</w:t>
            </w:r>
          </w:p>
        </w:tc>
      </w:tr>
      <w:tr w:rsidR="00A955DC" w:rsidRPr="00A955DC" w14:paraId="4BC9D4A8" w14:textId="77777777" w:rsidTr="00553655">
        <w:tc>
          <w:tcPr>
            <w:tcW w:w="5033" w:type="dxa"/>
          </w:tcPr>
          <w:p w14:paraId="5486DE3E" w14:textId="0E234943" w:rsidR="00FE381F" w:rsidRPr="00A955DC" w:rsidRDefault="00FE381F" w:rsidP="00553655">
            <w:pPr>
              <w:pStyle w:val="BasicParagraph"/>
              <w:tabs>
                <w:tab w:val="clear" w:pos="680"/>
                <w:tab w:val="clear" w:pos="1020"/>
                <w:tab w:val="left" w:pos="1040"/>
              </w:tabs>
              <w:spacing w:after="0"/>
              <w:ind w:left="1038" w:hanging="1038"/>
              <w:contextualSpacing/>
              <w:rPr>
                <w:rStyle w:val="BodyText1"/>
                <w:rFonts w:ascii="Arial" w:hAnsi="Arial" w:cs="Arial"/>
                <w:color w:val="auto"/>
              </w:rPr>
            </w:pPr>
            <w:r w:rsidRPr="00914EF1">
              <w:rPr>
                <w:rStyle w:val="BodyText1"/>
                <w:rFonts w:ascii="Arial" w:hAnsi="Arial" w:cs="Arial"/>
                <w:color w:val="446E82"/>
              </w:rPr>
              <w:t>FPMS</w:t>
            </w:r>
            <w:r w:rsidRPr="00A955DC">
              <w:rPr>
                <w:rStyle w:val="BodyText1"/>
                <w:rFonts w:ascii="Arial" w:hAnsi="Arial" w:cs="Arial"/>
                <w:color w:val="auto"/>
              </w:rPr>
              <w:tab/>
            </w:r>
            <w:r w:rsidRPr="00A955DC">
              <w:rPr>
                <w:rStyle w:val="BodyText1"/>
                <w:rFonts w:ascii="Arial" w:hAnsi="Arial" w:cs="Arial"/>
                <w:i/>
                <w:color w:val="auto"/>
              </w:rPr>
              <w:t>Financial and Performance Management Standard 2009</w:t>
            </w:r>
          </w:p>
        </w:tc>
        <w:tc>
          <w:tcPr>
            <w:tcW w:w="5032" w:type="dxa"/>
          </w:tcPr>
          <w:p w14:paraId="5508C065" w14:textId="4A3D6266" w:rsidR="00FE381F" w:rsidRPr="00A955DC" w:rsidRDefault="00FE381F" w:rsidP="00553655">
            <w:pPr>
              <w:pStyle w:val="BasicParagraph"/>
              <w:tabs>
                <w:tab w:val="clear" w:pos="680"/>
              </w:tabs>
              <w:spacing w:after="0"/>
              <w:ind w:left="1038" w:hanging="1038"/>
              <w:contextualSpacing/>
              <w:rPr>
                <w:rStyle w:val="BodyText1"/>
                <w:rFonts w:ascii="Arial" w:hAnsi="Arial" w:cs="Arial"/>
                <w:color w:val="auto"/>
              </w:rPr>
            </w:pPr>
            <w:r w:rsidRPr="00A955DC">
              <w:rPr>
                <w:rStyle w:val="BodyText1"/>
                <w:rFonts w:ascii="Arial" w:hAnsi="Arial" w:cs="Arial"/>
                <w:color w:val="auto"/>
              </w:rPr>
              <w:t xml:space="preserve">Cape York Institute </w:t>
            </w:r>
            <w:r w:rsidRPr="001F6EDE">
              <w:rPr>
                <w:rStyle w:val="BodyText1"/>
                <w:rFonts w:ascii="Arial" w:hAnsi="Arial" w:cs="Arial"/>
                <w:color w:val="446E82"/>
              </w:rPr>
              <w:t>(the Institute)</w:t>
            </w:r>
          </w:p>
        </w:tc>
      </w:tr>
      <w:tr w:rsidR="00A955DC" w:rsidRPr="00A955DC" w14:paraId="567D0B8C" w14:textId="77777777" w:rsidTr="00553655">
        <w:tc>
          <w:tcPr>
            <w:tcW w:w="5033" w:type="dxa"/>
          </w:tcPr>
          <w:p w14:paraId="18F01570" w14:textId="72A85FFB" w:rsidR="00FE381F" w:rsidRPr="00A955DC" w:rsidRDefault="00FE381F" w:rsidP="00553655">
            <w:pPr>
              <w:pStyle w:val="BasicParagraph"/>
              <w:tabs>
                <w:tab w:val="clear" w:pos="680"/>
                <w:tab w:val="clear" w:pos="1020"/>
                <w:tab w:val="left" w:pos="1040"/>
              </w:tabs>
              <w:spacing w:after="0"/>
              <w:ind w:left="1038" w:hanging="1038"/>
              <w:contextualSpacing/>
              <w:rPr>
                <w:rStyle w:val="BodyText1"/>
                <w:rFonts w:ascii="Arial" w:hAnsi="Arial" w:cs="Arial"/>
                <w:color w:val="auto"/>
              </w:rPr>
            </w:pPr>
            <w:r w:rsidRPr="00914EF1">
              <w:rPr>
                <w:rStyle w:val="BodyText1"/>
                <w:rFonts w:ascii="Arial" w:hAnsi="Arial" w:cs="Arial"/>
                <w:color w:val="446E82"/>
              </w:rPr>
              <w:t>FRA</w:t>
            </w:r>
            <w:r w:rsidRPr="00A955DC">
              <w:rPr>
                <w:rStyle w:val="BodyText1"/>
                <w:rFonts w:ascii="Arial" w:hAnsi="Arial" w:cs="Arial"/>
                <w:color w:val="auto"/>
              </w:rPr>
              <w:tab/>
            </w:r>
            <w:r w:rsidRPr="00A955DC">
              <w:rPr>
                <w:rFonts w:ascii="Arial" w:hAnsi="Arial" w:cs="Arial"/>
                <w:bCs/>
                <w:color w:val="auto"/>
              </w:rPr>
              <w:t>Family Responsibilities Agreement</w:t>
            </w:r>
          </w:p>
        </w:tc>
        <w:tc>
          <w:tcPr>
            <w:tcW w:w="5032" w:type="dxa"/>
          </w:tcPr>
          <w:p w14:paraId="4D732C73" w14:textId="5C27818B" w:rsidR="00FE381F" w:rsidRPr="00A955DC" w:rsidRDefault="00FE381F" w:rsidP="00553655">
            <w:pPr>
              <w:pStyle w:val="BasicParagraph"/>
              <w:tabs>
                <w:tab w:val="clear" w:pos="680"/>
              </w:tabs>
              <w:spacing w:after="0"/>
              <w:ind w:left="1038" w:hanging="1038"/>
              <w:contextualSpacing/>
              <w:rPr>
                <w:rStyle w:val="BodyText1"/>
                <w:rFonts w:ascii="Arial" w:hAnsi="Arial" w:cs="Arial"/>
                <w:color w:val="auto"/>
              </w:rPr>
            </w:pPr>
            <w:r w:rsidRPr="00A955DC">
              <w:rPr>
                <w:rStyle w:val="BodyText1"/>
                <w:rFonts w:ascii="Arial" w:hAnsi="Arial" w:cs="Arial"/>
                <w:color w:val="auto"/>
              </w:rPr>
              <w:t xml:space="preserve">Family Responsibilities Board </w:t>
            </w:r>
            <w:r w:rsidRPr="001F6EDE">
              <w:rPr>
                <w:rStyle w:val="BodyText1"/>
                <w:rFonts w:ascii="Arial" w:hAnsi="Arial" w:cs="Arial"/>
                <w:color w:val="446E82"/>
              </w:rPr>
              <w:t>(FR Board)</w:t>
            </w:r>
          </w:p>
        </w:tc>
      </w:tr>
      <w:tr w:rsidR="00A955DC" w:rsidRPr="00A955DC" w14:paraId="1E76A344" w14:textId="77777777" w:rsidTr="00553655">
        <w:tc>
          <w:tcPr>
            <w:tcW w:w="5033" w:type="dxa"/>
          </w:tcPr>
          <w:p w14:paraId="1630D68C" w14:textId="31A17010" w:rsidR="00FE381F" w:rsidRPr="00A955DC" w:rsidRDefault="00FE381F" w:rsidP="00553655">
            <w:pPr>
              <w:pStyle w:val="BasicParagraph"/>
              <w:tabs>
                <w:tab w:val="clear" w:pos="680"/>
              </w:tabs>
              <w:spacing w:after="0"/>
              <w:ind w:left="1038" w:hanging="1038"/>
              <w:contextualSpacing/>
              <w:rPr>
                <w:rStyle w:val="BodyText1"/>
                <w:rFonts w:ascii="Arial" w:hAnsi="Arial" w:cs="Arial"/>
                <w:color w:val="auto"/>
              </w:rPr>
            </w:pPr>
            <w:r w:rsidRPr="00914EF1">
              <w:rPr>
                <w:rStyle w:val="BodyText1"/>
                <w:rFonts w:ascii="Arial" w:hAnsi="Arial" w:cs="Arial"/>
                <w:color w:val="446E82"/>
              </w:rPr>
              <w:t>FRC</w:t>
            </w:r>
            <w:r w:rsidRPr="00A955DC">
              <w:rPr>
                <w:rStyle w:val="BodyText1"/>
                <w:rFonts w:ascii="Arial" w:hAnsi="Arial" w:cs="Arial"/>
                <w:color w:val="auto"/>
              </w:rPr>
              <w:tab/>
              <w:t>Family Responsibilities Commission</w:t>
            </w:r>
          </w:p>
        </w:tc>
        <w:tc>
          <w:tcPr>
            <w:tcW w:w="5032" w:type="dxa"/>
          </w:tcPr>
          <w:p w14:paraId="6AA386C8" w14:textId="39FB18F5" w:rsidR="00FE381F" w:rsidRPr="00A955DC" w:rsidRDefault="00FE381F" w:rsidP="00553655">
            <w:pPr>
              <w:pStyle w:val="BasicParagraph"/>
              <w:tabs>
                <w:tab w:val="clear" w:pos="680"/>
              </w:tabs>
              <w:spacing w:after="0"/>
              <w:ind w:left="1038" w:hanging="1038"/>
              <w:contextualSpacing/>
              <w:rPr>
                <w:rStyle w:val="BodyText1"/>
                <w:rFonts w:ascii="Arial" w:hAnsi="Arial" w:cs="Arial"/>
                <w:color w:val="auto"/>
              </w:rPr>
            </w:pPr>
            <w:r w:rsidRPr="00A955DC">
              <w:rPr>
                <w:rStyle w:val="BodyText1"/>
                <w:rFonts w:ascii="Arial" w:hAnsi="Arial" w:cs="Arial"/>
                <w:color w:val="auto"/>
              </w:rPr>
              <w:t xml:space="preserve">Family Responsibilities Commission </w:t>
            </w:r>
            <w:r w:rsidRPr="001F6EDE">
              <w:rPr>
                <w:rStyle w:val="BodyText1"/>
                <w:rFonts w:ascii="Arial" w:hAnsi="Arial" w:cs="Arial"/>
                <w:color w:val="446E82"/>
              </w:rPr>
              <w:t>(the Commission)</w:t>
            </w:r>
          </w:p>
        </w:tc>
      </w:tr>
      <w:tr w:rsidR="00A955DC" w:rsidRPr="00A955DC" w14:paraId="59DF542A" w14:textId="77777777" w:rsidTr="00553655">
        <w:tc>
          <w:tcPr>
            <w:tcW w:w="5033" w:type="dxa"/>
          </w:tcPr>
          <w:p w14:paraId="48621DCD" w14:textId="68ABE029" w:rsidR="00FE381F" w:rsidRPr="00A955DC" w:rsidRDefault="00FE381F" w:rsidP="00553655">
            <w:pPr>
              <w:pStyle w:val="BasicParagraph"/>
              <w:tabs>
                <w:tab w:val="clear" w:pos="680"/>
              </w:tabs>
              <w:spacing w:after="0"/>
              <w:ind w:left="1038" w:hanging="1038"/>
              <w:contextualSpacing/>
              <w:rPr>
                <w:rStyle w:val="BodyText1"/>
                <w:rFonts w:ascii="Arial" w:hAnsi="Arial" w:cs="Arial"/>
                <w:color w:val="auto"/>
              </w:rPr>
            </w:pPr>
            <w:r w:rsidRPr="00914EF1">
              <w:rPr>
                <w:rStyle w:val="BodyText1"/>
                <w:rFonts w:ascii="Arial" w:hAnsi="Arial" w:cs="Arial"/>
                <w:color w:val="446E82"/>
              </w:rPr>
              <w:t>FTE</w:t>
            </w:r>
            <w:r w:rsidRPr="00A955DC">
              <w:rPr>
                <w:rStyle w:val="BodyText1"/>
                <w:rFonts w:ascii="Arial" w:hAnsi="Arial" w:cs="Arial"/>
                <w:color w:val="auto"/>
              </w:rPr>
              <w:tab/>
              <w:t>Full-time Equivalent</w:t>
            </w:r>
          </w:p>
        </w:tc>
        <w:tc>
          <w:tcPr>
            <w:tcW w:w="5032" w:type="dxa"/>
          </w:tcPr>
          <w:p w14:paraId="771E20DA" w14:textId="2774CC3F" w:rsidR="00FE381F" w:rsidRPr="00A955DC" w:rsidRDefault="00FE381F" w:rsidP="00553655">
            <w:pPr>
              <w:pStyle w:val="BasicParagraph"/>
              <w:tabs>
                <w:tab w:val="clear" w:pos="680"/>
                <w:tab w:val="clear" w:pos="1020"/>
                <w:tab w:val="left" w:pos="1040"/>
              </w:tabs>
              <w:spacing w:after="0"/>
              <w:ind w:left="1038" w:hanging="1038"/>
              <w:contextualSpacing/>
              <w:rPr>
                <w:rFonts w:ascii="Arial" w:hAnsi="Arial" w:cs="Arial"/>
                <w:color w:val="auto"/>
              </w:rPr>
            </w:pPr>
            <w:r w:rsidRPr="00A955DC">
              <w:rPr>
                <w:rStyle w:val="BodyText1"/>
                <w:rFonts w:ascii="Arial" w:hAnsi="Arial" w:cs="Arial"/>
                <w:i/>
                <w:color w:val="auto"/>
              </w:rPr>
              <w:t>Family Responsibilities Commission Act 2008</w:t>
            </w:r>
            <w:r w:rsidRPr="00A955DC">
              <w:rPr>
                <w:rStyle w:val="BodyText1"/>
                <w:rFonts w:ascii="Arial" w:hAnsi="Arial" w:cs="Arial"/>
                <w:color w:val="auto"/>
              </w:rPr>
              <w:t xml:space="preserve"> </w:t>
            </w:r>
            <w:r w:rsidRPr="001F6EDE">
              <w:rPr>
                <w:rStyle w:val="BodyText1"/>
                <w:rFonts w:ascii="Arial" w:hAnsi="Arial" w:cs="Arial"/>
                <w:color w:val="446E82"/>
              </w:rPr>
              <w:t>(the FRC Act)</w:t>
            </w:r>
          </w:p>
        </w:tc>
      </w:tr>
      <w:tr w:rsidR="00A955DC" w:rsidRPr="00A955DC" w14:paraId="79640C50" w14:textId="77777777" w:rsidTr="00553655">
        <w:tc>
          <w:tcPr>
            <w:tcW w:w="5033" w:type="dxa"/>
          </w:tcPr>
          <w:p w14:paraId="67ACAA98" w14:textId="77B6F137" w:rsidR="00FE381F" w:rsidRPr="00A955DC" w:rsidRDefault="00FE381F" w:rsidP="00553655">
            <w:pPr>
              <w:pStyle w:val="BasicParagraph"/>
              <w:tabs>
                <w:tab w:val="clear" w:pos="680"/>
              </w:tabs>
              <w:spacing w:after="0"/>
              <w:ind w:left="1038" w:hanging="1038"/>
              <w:contextualSpacing/>
              <w:rPr>
                <w:rStyle w:val="BodyText1"/>
                <w:rFonts w:ascii="Arial" w:hAnsi="Arial" w:cs="Arial"/>
                <w:color w:val="auto"/>
              </w:rPr>
            </w:pPr>
            <w:r w:rsidRPr="00914EF1">
              <w:rPr>
                <w:rStyle w:val="BodyText1"/>
                <w:rFonts w:ascii="Arial" w:hAnsi="Arial" w:cs="Arial"/>
                <w:color w:val="446E82"/>
              </w:rPr>
              <w:t>FWS</w:t>
            </w:r>
            <w:r w:rsidRPr="00A955DC">
              <w:rPr>
                <w:rStyle w:val="BodyText1"/>
                <w:rFonts w:ascii="Arial" w:hAnsi="Arial" w:cs="Arial"/>
                <w:color w:val="auto"/>
              </w:rPr>
              <w:tab/>
              <w:t>Family Wellbeing Services</w:t>
            </w:r>
          </w:p>
        </w:tc>
        <w:tc>
          <w:tcPr>
            <w:tcW w:w="5032" w:type="dxa"/>
          </w:tcPr>
          <w:p w14:paraId="6619732A" w14:textId="256EFA37" w:rsidR="00FE381F" w:rsidRPr="00A955DC" w:rsidRDefault="00FE381F" w:rsidP="00553655">
            <w:pPr>
              <w:pStyle w:val="BasicParagraph"/>
              <w:tabs>
                <w:tab w:val="clear" w:pos="680"/>
              </w:tabs>
              <w:spacing w:after="0"/>
              <w:ind w:left="1038" w:hanging="1038"/>
              <w:contextualSpacing/>
              <w:rPr>
                <w:rStyle w:val="BodyText1"/>
                <w:rFonts w:ascii="Arial" w:hAnsi="Arial" w:cs="Arial"/>
                <w:color w:val="auto"/>
              </w:rPr>
            </w:pPr>
            <w:r w:rsidRPr="00A955DC">
              <w:rPr>
                <w:rStyle w:val="BodyText1"/>
                <w:rFonts w:ascii="Arial" w:hAnsi="Arial" w:cs="Arial"/>
                <w:color w:val="auto"/>
              </w:rPr>
              <w:t xml:space="preserve">Family Responsibilities Commission Registry </w:t>
            </w:r>
            <w:r w:rsidRPr="001F6EDE">
              <w:rPr>
                <w:rStyle w:val="BodyText1"/>
                <w:rFonts w:ascii="Arial" w:hAnsi="Arial" w:cs="Arial"/>
                <w:color w:val="446E82"/>
              </w:rPr>
              <w:t>(the Registry)</w:t>
            </w:r>
          </w:p>
        </w:tc>
      </w:tr>
      <w:tr w:rsidR="00A955DC" w:rsidRPr="00A955DC" w14:paraId="145E1748" w14:textId="77777777" w:rsidTr="00553655">
        <w:tc>
          <w:tcPr>
            <w:tcW w:w="5033" w:type="dxa"/>
          </w:tcPr>
          <w:p w14:paraId="0E395526" w14:textId="20F13361" w:rsidR="00FE381F" w:rsidRPr="00A955DC" w:rsidRDefault="00FE381F" w:rsidP="00553655">
            <w:pPr>
              <w:pStyle w:val="BasicParagraph"/>
              <w:tabs>
                <w:tab w:val="clear" w:pos="680"/>
                <w:tab w:val="clear" w:pos="1020"/>
                <w:tab w:val="left" w:pos="1040"/>
              </w:tabs>
              <w:spacing w:after="0"/>
              <w:ind w:left="1038" w:hanging="1038"/>
              <w:contextualSpacing/>
              <w:rPr>
                <w:rStyle w:val="BodyText1"/>
                <w:rFonts w:ascii="Arial" w:hAnsi="Arial" w:cs="Arial"/>
                <w:color w:val="auto"/>
              </w:rPr>
            </w:pPr>
            <w:r w:rsidRPr="00914EF1">
              <w:rPr>
                <w:rStyle w:val="BodyText1"/>
                <w:rFonts w:ascii="Arial" w:hAnsi="Arial" w:cs="Arial"/>
                <w:color w:val="446E82"/>
              </w:rPr>
              <w:t>ICT</w:t>
            </w:r>
            <w:r w:rsidRPr="00A955DC">
              <w:rPr>
                <w:rStyle w:val="BodyText1"/>
                <w:rFonts w:ascii="Arial" w:hAnsi="Arial"/>
                <w:color w:val="auto"/>
              </w:rPr>
              <w:tab/>
            </w:r>
            <w:r w:rsidRPr="00A955DC">
              <w:rPr>
                <w:rFonts w:ascii="Arial" w:hAnsi="Arial" w:cs="Arial"/>
                <w:color w:val="auto"/>
              </w:rPr>
              <w:t>Information and Communications Technology</w:t>
            </w:r>
          </w:p>
        </w:tc>
        <w:tc>
          <w:tcPr>
            <w:tcW w:w="5032" w:type="dxa"/>
          </w:tcPr>
          <w:p w14:paraId="48843E7D" w14:textId="6BCBB0C5" w:rsidR="00FE381F" w:rsidRPr="00A955DC" w:rsidRDefault="00FE381F" w:rsidP="00553655">
            <w:pPr>
              <w:pStyle w:val="BasicParagraph"/>
              <w:tabs>
                <w:tab w:val="clear" w:pos="680"/>
              </w:tabs>
              <w:spacing w:after="0"/>
              <w:ind w:left="1038" w:hanging="1038"/>
              <w:contextualSpacing/>
              <w:rPr>
                <w:rStyle w:val="BodyText1"/>
                <w:rFonts w:ascii="Arial" w:hAnsi="Arial" w:cs="Arial"/>
                <w:color w:val="auto"/>
              </w:rPr>
            </w:pPr>
            <w:proofErr w:type="spellStart"/>
            <w:r w:rsidRPr="00A955DC">
              <w:rPr>
                <w:rStyle w:val="BodyText1"/>
                <w:rFonts w:ascii="Arial" w:hAnsi="Arial" w:cs="Arial"/>
                <w:color w:val="auto"/>
              </w:rPr>
              <w:t>Mr</w:t>
            </w:r>
            <w:proofErr w:type="spellEnd"/>
            <w:r w:rsidRPr="00A955DC">
              <w:rPr>
                <w:rStyle w:val="BodyText1"/>
                <w:rFonts w:ascii="Arial" w:hAnsi="Arial" w:cs="Arial"/>
                <w:color w:val="auto"/>
              </w:rPr>
              <w:t xml:space="preserve"> David Glasgow, Family Responsibilities Commissioner </w:t>
            </w:r>
            <w:r w:rsidRPr="001F6EDE">
              <w:rPr>
                <w:rStyle w:val="BodyText1"/>
                <w:rFonts w:ascii="Arial" w:hAnsi="Arial" w:cs="Arial"/>
                <w:color w:val="446E82"/>
              </w:rPr>
              <w:t>(the Commissioner)</w:t>
            </w:r>
          </w:p>
        </w:tc>
      </w:tr>
      <w:tr w:rsidR="00A955DC" w:rsidRPr="00A955DC" w14:paraId="0841291B" w14:textId="77777777" w:rsidTr="00553655">
        <w:tc>
          <w:tcPr>
            <w:tcW w:w="5033" w:type="dxa"/>
          </w:tcPr>
          <w:p w14:paraId="78AFDEC6" w14:textId="77777777" w:rsidR="00FE381F" w:rsidRPr="00A955DC" w:rsidRDefault="00FE381F" w:rsidP="00553655">
            <w:pPr>
              <w:pStyle w:val="BasicParagraph"/>
              <w:tabs>
                <w:tab w:val="clear" w:pos="680"/>
              </w:tabs>
              <w:spacing w:after="0"/>
              <w:ind w:left="1038" w:hanging="1038"/>
              <w:contextualSpacing/>
              <w:rPr>
                <w:rStyle w:val="BodyText1"/>
                <w:rFonts w:ascii="Arial" w:hAnsi="Arial" w:cs="Arial"/>
                <w:color w:val="auto"/>
              </w:rPr>
            </w:pPr>
          </w:p>
        </w:tc>
        <w:tc>
          <w:tcPr>
            <w:tcW w:w="5032" w:type="dxa"/>
          </w:tcPr>
          <w:p w14:paraId="0E0245EC" w14:textId="6D18410B" w:rsidR="00FE381F" w:rsidRPr="00A955DC" w:rsidRDefault="00FE381F" w:rsidP="00553655">
            <w:pPr>
              <w:pStyle w:val="BasicParagraph"/>
              <w:tabs>
                <w:tab w:val="clear" w:pos="680"/>
                <w:tab w:val="clear" w:pos="1020"/>
                <w:tab w:val="left" w:pos="1040"/>
              </w:tabs>
              <w:spacing w:after="0"/>
              <w:ind w:left="1038" w:hanging="1038"/>
              <w:contextualSpacing/>
              <w:rPr>
                <w:rFonts w:ascii="Arial" w:hAnsi="Arial" w:cs="Arial"/>
                <w:color w:val="auto"/>
              </w:rPr>
            </w:pPr>
          </w:p>
        </w:tc>
      </w:tr>
    </w:tbl>
    <w:p w14:paraId="46D2B764" w14:textId="77777777" w:rsidR="00C62066" w:rsidRDefault="00C62066" w:rsidP="003E09C0">
      <w:pPr>
        <w:rPr>
          <w:rFonts w:cs="Arial"/>
          <w:szCs w:val="20"/>
          <w:lang w:val="en-US" w:eastAsia="en-AU"/>
        </w:rPr>
      </w:pPr>
    </w:p>
    <w:p w14:paraId="1CD25537" w14:textId="77777777" w:rsidR="001569A9" w:rsidRDefault="001569A9" w:rsidP="003E09C0">
      <w:pPr>
        <w:rPr>
          <w:rFonts w:cs="Arial"/>
          <w:szCs w:val="20"/>
          <w:lang w:val="en-US" w:eastAsia="en-AU"/>
        </w:rPr>
      </w:pPr>
    </w:p>
    <w:p w14:paraId="4C1BE94F" w14:textId="77777777" w:rsidR="001569A9" w:rsidRDefault="001569A9" w:rsidP="003E09C0">
      <w:pPr>
        <w:rPr>
          <w:rFonts w:cs="Arial"/>
          <w:szCs w:val="20"/>
          <w:lang w:val="en-US" w:eastAsia="en-AU"/>
        </w:rPr>
        <w:sectPr w:rsidR="001569A9" w:rsidSect="00553655">
          <w:headerReference w:type="even" r:id="rId107"/>
          <w:headerReference w:type="default" r:id="rId108"/>
          <w:headerReference w:type="first" r:id="rId109"/>
          <w:footnotePr>
            <w:numRestart w:val="eachSect"/>
          </w:footnotePr>
          <w:pgSz w:w="11906" w:h="16838"/>
          <w:pgMar w:top="1440" w:right="709" w:bottom="567" w:left="709" w:header="0" w:footer="567" w:gutter="0"/>
          <w:cols w:space="708"/>
          <w:docGrid w:linePitch="360"/>
        </w:sectPr>
      </w:pPr>
    </w:p>
    <w:p w14:paraId="65D25CBB" w14:textId="77777777" w:rsidR="000353D9" w:rsidRPr="004304D6" w:rsidRDefault="000353D9" w:rsidP="004304D6">
      <w:pPr>
        <w:pStyle w:val="Heading2"/>
      </w:pPr>
      <w:r w:rsidRPr="004304D6">
        <w:lastRenderedPageBreak/>
        <w:t>Family Responsibilities Commission</w:t>
      </w:r>
    </w:p>
    <w:p w14:paraId="523C5463" w14:textId="77777777" w:rsidR="000353D9" w:rsidRPr="00632942" w:rsidRDefault="000353D9" w:rsidP="000353D9">
      <w:pPr>
        <w:rPr>
          <w:b/>
        </w:rPr>
      </w:pPr>
      <w:r w:rsidRPr="00632942">
        <w:rPr>
          <w:b/>
        </w:rPr>
        <w:t>Cairns Central Registry</w:t>
      </w:r>
    </w:p>
    <w:p w14:paraId="6F7E4DBA" w14:textId="77777777" w:rsidR="000353D9" w:rsidRPr="008E7494" w:rsidRDefault="000353D9" w:rsidP="000353D9">
      <w:r w:rsidRPr="008E7494">
        <w:t>PO Box 5438, Cairns Qld 4870</w:t>
      </w:r>
      <w:r w:rsidRPr="008E7494">
        <w:br/>
        <w:t>Level 3, 107 Lake Street, Cairns 4870</w:t>
      </w:r>
      <w:r w:rsidRPr="008E7494">
        <w:br/>
        <w:t>Ph</w:t>
      </w:r>
      <w:r w:rsidRPr="008E7494">
        <w:tab/>
        <w:t>(07) 4081 8400</w:t>
      </w:r>
      <w:r w:rsidRPr="008E7494">
        <w:br/>
        <w:t>Fax</w:t>
      </w:r>
      <w:r w:rsidRPr="008E7494">
        <w:tab/>
        <w:t>(07) 4041 0974</w:t>
      </w:r>
      <w:r w:rsidRPr="008E7494">
        <w:br/>
      </w:r>
      <w:hyperlink r:id="rId110" w:history="1">
        <w:r w:rsidRPr="008E7494">
          <w:rPr>
            <w:rStyle w:val="Hyperlink"/>
          </w:rPr>
          <w:t>www.frcq.org.au</w:t>
        </w:r>
      </w:hyperlink>
    </w:p>
    <w:p w14:paraId="5B78CAC2" w14:textId="77777777" w:rsidR="000353D9" w:rsidRPr="00632942" w:rsidRDefault="000353D9" w:rsidP="000353D9">
      <w:pPr>
        <w:rPr>
          <w:b/>
        </w:rPr>
      </w:pPr>
      <w:r w:rsidRPr="00632942">
        <w:rPr>
          <w:b/>
        </w:rPr>
        <w:t>Aurukun</w:t>
      </w:r>
    </w:p>
    <w:p w14:paraId="44076DC9" w14:textId="77777777" w:rsidR="000353D9" w:rsidRPr="008E7494" w:rsidRDefault="000353D9" w:rsidP="000353D9">
      <w:r w:rsidRPr="008E7494">
        <w:t xml:space="preserve">CJG Building, </w:t>
      </w:r>
      <w:proofErr w:type="spellStart"/>
      <w:r w:rsidRPr="008E7494">
        <w:t>Wuungkah</w:t>
      </w:r>
      <w:proofErr w:type="spellEnd"/>
      <w:r w:rsidRPr="008E7494">
        <w:t xml:space="preserve"> Street, Aurukun 4892</w:t>
      </w:r>
      <w:r w:rsidRPr="008E7494">
        <w:br/>
        <w:t>Ph</w:t>
      </w:r>
      <w:r w:rsidRPr="008E7494">
        <w:tab/>
        <w:t>(07) 4060 6185</w:t>
      </w:r>
      <w:r w:rsidRPr="008E7494">
        <w:br/>
        <w:t>Fax</w:t>
      </w:r>
      <w:r w:rsidRPr="008E7494">
        <w:tab/>
        <w:t>(07) 40</w:t>
      </w:r>
      <w:r>
        <w:t>41 0974</w:t>
      </w:r>
    </w:p>
    <w:p w14:paraId="6C0B94C7" w14:textId="77777777" w:rsidR="000353D9" w:rsidRPr="00632942" w:rsidRDefault="000353D9" w:rsidP="000353D9">
      <w:pPr>
        <w:rPr>
          <w:b/>
        </w:rPr>
      </w:pPr>
      <w:r w:rsidRPr="00632942">
        <w:rPr>
          <w:b/>
        </w:rPr>
        <w:t>Coen</w:t>
      </w:r>
    </w:p>
    <w:p w14:paraId="1357918E" w14:textId="77777777" w:rsidR="000353D9" w:rsidRPr="008E7494" w:rsidRDefault="000353D9" w:rsidP="000353D9">
      <w:r w:rsidRPr="008E7494">
        <w:t>Coen Hub, 7 Taylor Street, Coen 4892</w:t>
      </w:r>
      <w:r w:rsidRPr="008E7494">
        <w:br/>
        <w:t>Ph</w:t>
      </w:r>
      <w:r w:rsidRPr="008E7494">
        <w:tab/>
        <w:t>0417 798 392</w:t>
      </w:r>
      <w:r w:rsidRPr="008E7494">
        <w:br/>
        <w:t>Fax</w:t>
      </w:r>
      <w:r w:rsidRPr="008E7494">
        <w:tab/>
        <w:t>(07) 4041 0974</w:t>
      </w:r>
    </w:p>
    <w:p w14:paraId="2177A06C" w14:textId="77777777" w:rsidR="000353D9" w:rsidRPr="00632942" w:rsidRDefault="000353D9" w:rsidP="000353D9">
      <w:pPr>
        <w:rPr>
          <w:b/>
        </w:rPr>
      </w:pPr>
      <w:r w:rsidRPr="00632942">
        <w:rPr>
          <w:b/>
        </w:rPr>
        <w:t>Doomadgee</w:t>
      </w:r>
    </w:p>
    <w:p w14:paraId="05520CAE" w14:textId="2203242E" w:rsidR="000353D9" w:rsidRPr="008E7494" w:rsidRDefault="000353D9" w:rsidP="000353D9">
      <w:r w:rsidRPr="008E7494">
        <w:t>Doomadgee Community Justice Centre</w:t>
      </w:r>
      <w:r w:rsidR="008A015F">
        <w:t xml:space="preserve">, </w:t>
      </w:r>
      <w:r w:rsidRPr="008E7494">
        <w:t>Office 4/15 Sharpe Street, Doomadgee 4830</w:t>
      </w:r>
      <w:r w:rsidRPr="008E7494">
        <w:br/>
        <w:t>Ph</w:t>
      </w:r>
      <w:r w:rsidRPr="008E7494">
        <w:tab/>
        <w:t>(07) 4745 8111</w:t>
      </w:r>
      <w:r w:rsidRPr="008E7494">
        <w:br/>
        <w:t>Fax</w:t>
      </w:r>
      <w:r w:rsidRPr="008E7494">
        <w:tab/>
        <w:t>(07) 4</w:t>
      </w:r>
      <w:r>
        <w:t>041 0974</w:t>
      </w:r>
    </w:p>
    <w:p w14:paraId="37BD2097" w14:textId="77777777" w:rsidR="000353D9" w:rsidRPr="00632942" w:rsidRDefault="000353D9" w:rsidP="000353D9">
      <w:pPr>
        <w:rPr>
          <w:b/>
        </w:rPr>
      </w:pPr>
      <w:r w:rsidRPr="00632942">
        <w:rPr>
          <w:b/>
        </w:rPr>
        <w:t>Hope Vale</w:t>
      </w:r>
    </w:p>
    <w:p w14:paraId="6D980F3A" w14:textId="77777777" w:rsidR="000353D9" w:rsidRPr="008E7494" w:rsidRDefault="000353D9" w:rsidP="000353D9">
      <w:r w:rsidRPr="008E7494">
        <w:t>Office 1, Hope Vale Business Service Centre, 3 Muni Street, Hope Vale 4895</w:t>
      </w:r>
      <w:r w:rsidRPr="008E7494">
        <w:br/>
        <w:t>Ph</w:t>
      </w:r>
      <w:r w:rsidRPr="008E7494">
        <w:tab/>
        <w:t>(07) 4060 9153</w:t>
      </w:r>
      <w:r w:rsidRPr="008E7494">
        <w:br/>
        <w:t>Fax</w:t>
      </w:r>
      <w:r w:rsidRPr="008E7494">
        <w:tab/>
        <w:t>(07) 40</w:t>
      </w:r>
      <w:r>
        <w:t>41 0974</w:t>
      </w:r>
    </w:p>
    <w:p w14:paraId="7D8D241F" w14:textId="77777777" w:rsidR="000353D9" w:rsidRPr="00632942" w:rsidRDefault="000353D9" w:rsidP="000353D9">
      <w:pPr>
        <w:rPr>
          <w:b/>
        </w:rPr>
      </w:pPr>
      <w:r w:rsidRPr="00632942">
        <w:rPr>
          <w:b/>
        </w:rPr>
        <w:t>Mossman Gorge</w:t>
      </w:r>
    </w:p>
    <w:p w14:paraId="2AAFA370" w14:textId="77777777" w:rsidR="000353D9" w:rsidRPr="008E7494" w:rsidRDefault="000353D9" w:rsidP="000353D9">
      <w:r>
        <w:t>Lot 152 Mossman Gorge Road</w:t>
      </w:r>
      <w:r w:rsidRPr="008E7494">
        <w:t>, Mossman Gorge 4873</w:t>
      </w:r>
      <w:r w:rsidRPr="008E7494">
        <w:br/>
        <w:t>Ph</w:t>
      </w:r>
      <w:r w:rsidRPr="008E7494">
        <w:tab/>
        <w:t>0417 798 392</w:t>
      </w:r>
      <w:r w:rsidRPr="008E7494">
        <w:br/>
        <w:t>Fax</w:t>
      </w:r>
      <w:r w:rsidRPr="008E7494">
        <w:tab/>
        <w:t>(07) 4041 0974</w:t>
      </w:r>
    </w:p>
    <w:p w14:paraId="2F1DC200" w14:textId="77777777" w:rsidR="000353D9" w:rsidRPr="00C84E3F" w:rsidRDefault="000353D9" w:rsidP="000353D9">
      <w:r w:rsidRPr="008E7494">
        <w:t xml:space="preserve">For more information on the communities and population compositions, view the Quarterly Reports at: </w:t>
      </w:r>
      <w:hyperlink r:id="rId111" w:history="1">
        <w:r w:rsidRPr="002C5562">
          <w:rPr>
            <w:rStyle w:val="Hyperlink"/>
          </w:rPr>
          <w:t>https://www.datsip.qld.gov.au/programs-initiatives/family-responsibilities-commission</w:t>
        </w:r>
      </w:hyperlink>
      <w:r>
        <w:t xml:space="preserve"> </w:t>
      </w:r>
      <w:r w:rsidRPr="008E7494">
        <w:t xml:space="preserve">and </w:t>
      </w:r>
      <w:hyperlink r:id="rId112" w:history="1">
        <w:r w:rsidRPr="009C7F71">
          <w:rPr>
            <w:rStyle w:val="Hyperlink"/>
          </w:rPr>
          <w:t>https://statistics.qgso.qld.gov.au/qld-regional-profiles</w:t>
        </w:r>
      </w:hyperlink>
      <w:r>
        <w:t xml:space="preserve">. </w:t>
      </w:r>
    </w:p>
    <w:p w14:paraId="23A84A53" w14:textId="77777777" w:rsidR="00C411FD" w:rsidRPr="003E09C0" w:rsidRDefault="00C411FD" w:rsidP="003E09C0">
      <w:pPr>
        <w:rPr>
          <w:rFonts w:cs="Arial"/>
          <w:szCs w:val="20"/>
          <w:lang w:val="en-US" w:eastAsia="en-AU"/>
        </w:rPr>
      </w:pPr>
    </w:p>
    <w:sectPr w:rsidR="00C411FD" w:rsidRPr="003E09C0" w:rsidSect="00553655">
      <w:headerReference w:type="even" r:id="rId113"/>
      <w:headerReference w:type="default" r:id="rId114"/>
      <w:headerReference w:type="first" r:id="rId115"/>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9CCE7" w14:textId="77777777" w:rsidR="004C0B80" w:rsidRDefault="004C0B80" w:rsidP="00176460">
      <w:pPr>
        <w:spacing w:after="0" w:line="240" w:lineRule="auto"/>
      </w:pPr>
      <w:r>
        <w:separator/>
      </w:r>
    </w:p>
  </w:endnote>
  <w:endnote w:type="continuationSeparator" w:id="0">
    <w:p w14:paraId="5902E99D" w14:textId="77777777" w:rsidR="004C0B80" w:rsidRDefault="004C0B80"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Swis721 B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FE876" w14:textId="77777777" w:rsidR="004C0B80" w:rsidRPr="003731C7" w:rsidRDefault="004C0B80" w:rsidP="003731C7">
    <w:pPr>
      <w:pStyle w:val="Footer"/>
      <w:jc w:val="right"/>
      <w:rPr>
        <w:lang w:val="en-AU"/>
      </w:rPr>
    </w:pPr>
    <w:r>
      <w:rPr>
        <w:lang w:val="en-AU"/>
      </w:rPr>
      <w:t xml:space="preserve">Page </w:t>
    </w:r>
    <w:r w:rsidRPr="003731C7">
      <w:rPr>
        <w:lang w:val="en-AU"/>
      </w:rPr>
      <w:fldChar w:fldCharType="begin"/>
    </w:r>
    <w:r w:rsidRPr="003731C7">
      <w:rPr>
        <w:lang w:val="en-AU"/>
      </w:rPr>
      <w:instrText xml:space="preserve"> PAGE   \* MERGEFORMAT </w:instrText>
    </w:r>
    <w:r w:rsidRPr="003731C7">
      <w:rPr>
        <w:lang w:val="en-AU"/>
      </w:rPr>
      <w:fldChar w:fldCharType="separate"/>
    </w:r>
    <w:r w:rsidRPr="003731C7">
      <w:rPr>
        <w:noProof/>
        <w:lang w:val="en-AU"/>
      </w:rPr>
      <w:t>1</w:t>
    </w:r>
    <w:r w:rsidRPr="003731C7">
      <w:rPr>
        <w:noProof/>
        <w:lang w:val="en-AU"/>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D64B3" w14:textId="77777777" w:rsidR="004C0B80" w:rsidRDefault="004C0B80">
    <w:pPr>
      <w:pStyle w:val="Footer"/>
      <w:jc w:val="right"/>
    </w:pPr>
    <w:r>
      <w:t xml:space="preserve">Page </w:t>
    </w:r>
    <w:sdt>
      <w:sdtPr>
        <w:id w:val="31160123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5FD109A" w14:textId="77777777" w:rsidR="004C0B80" w:rsidRDefault="004C0B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AEA08" w14:textId="77777777" w:rsidR="004C0B80" w:rsidRPr="00FF71A1" w:rsidRDefault="004C0B80" w:rsidP="00FF71A1">
    <w:pPr>
      <w:pStyle w:val="Footer"/>
      <w:jc w:val="right"/>
      <w:rPr>
        <w:lang w:val="en-AU"/>
      </w:rPr>
    </w:pPr>
    <w:r>
      <w:rPr>
        <w:lang w:val="en-AU"/>
      </w:rPr>
      <w:t xml:space="preserve">Page </w:t>
    </w:r>
    <w:r w:rsidRPr="00FF71A1">
      <w:rPr>
        <w:lang w:val="en-AU"/>
      </w:rPr>
      <w:fldChar w:fldCharType="begin"/>
    </w:r>
    <w:r w:rsidRPr="00FF71A1">
      <w:rPr>
        <w:lang w:val="en-AU"/>
      </w:rPr>
      <w:instrText xml:space="preserve"> PAGE   \* MERGEFORMAT </w:instrText>
    </w:r>
    <w:r w:rsidRPr="00FF71A1">
      <w:rPr>
        <w:lang w:val="en-AU"/>
      </w:rPr>
      <w:fldChar w:fldCharType="separate"/>
    </w:r>
    <w:r w:rsidRPr="00FF71A1">
      <w:rPr>
        <w:noProof/>
        <w:lang w:val="en-AU"/>
      </w:rPr>
      <w:t>1</w:t>
    </w:r>
    <w:r w:rsidRPr="00FF71A1">
      <w:rPr>
        <w:noProof/>
        <w:lang w:val="en-AU"/>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3C6BF" w14:textId="77777777" w:rsidR="004C0B80" w:rsidRPr="00032BF6" w:rsidRDefault="004C0B80" w:rsidP="00047560">
    <w:pPr>
      <w:pStyle w:val="Footer"/>
      <w:jc w:val="right"/>
    </w:pPr>
    <w:r>
      <w:t xml:space="preserve">Page </w:t>
    </w:r>
    <w:sdt>
      <w:sdtPr>
        <w:id w:val="6053174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4</w:t>
        </w:r>
        <w:r>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6198B" w14:textId="77777777" w:rsidR="004C0B80" w:rsidRPr="00032BF6" w:rsidRDefault="004C0B80" w:rsidP="00047560">
    <w:pPr>
      <w:pStyle w:val="Footer"/>
      <w:jc w:val="right"/>
    </w:pPr>
    <w:r>
      <w:t xml:space="preserve">Page </w:t>
    </w:r>
    <w:sdt>
      <w:sdtPr>
        <w:id w:val="84884384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4</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D0DD4" w14:textId="77777777" w:rsidR="004C0B80" w:rsidRPr="00032BF6" w:rsidRDefault="004C0B80" w:rsidP="00703AF9">
    <w:pPr>
      <w:pStyle w:val="Footer"/>
      <w:jc w:val="right"/>
    </w:pPr>
    <w:r>
      <w:t xml:space="preserve">Page </w:t>
    </w:r>
    <w:sdt>
      <w:sdtPr>
        <w:id w:val="-204712543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8</w:t>
        </w:r>
        <w:r>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20E4A" w14:textId="5789B290" w:rsidR="004C0B80" w:rsidRPr="006E524F" w:rsidRDefault="004C0B80" w:rsidP="002E0070">
    <w:pPr>
      <w:pStyle w:val="Footer"/>
      <w:jc w:val="right"/>
    </w:pPr>
    <w:r>
      <w:t xml:space="preserve">Page </w:t>
    </w:r>
    <w:sdt>
      <w:sdtPr>
        <w:id w:val="-20333040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E8A83" w14:textId="77777777" w:rsidR="004C0B80" w:rsidRPr="00043A4B" w:rsidRDefault="004C0B80" w:rsidP="00066DE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355" w:type="dxa"/>
      <w:tblInd w:w="-1452" w:type="dxa"/>
      <w:tblLayout w:type="fixed"/>
      <w:tblLook w:val="04A0" w:firstRow="1" w:lastRow="0" w:firstColumn="1" w:lastColumn="0" w:noHBand="0" w:noVBand="1"/>
    </w:tblPr>
    <w:tblGrid>
      <w:gridCol w:w="598"/>
      <w:gridCol w:w="253"/>
      <w:gridCol w:w="709"/>
      <w:gridCol w:w="993"/>
      <w:gridCol w:w="708"/>
      <w:gridCol w:w="851"/>
      <w:gridCol w:w="567"/>
      <w:gridCol w:w="1276"/>
      <w:gridCol w:w="567"/>
      <w:gridCol w:w="1559"/>
      <w:gridCol w:w="567"/>
      <w:gridCol w:w="1701"/>
      <w:gridCol w:w="567"/>
      <w:gridCol w:w="1439"/>
    </w:tblGrid>
    <w:tr w:rsidR="004C0B80" w14:paraId="0BB40C4C" w14:textId="77777777" w:rsidTr="00066DE4">
      <w:trPr>
        <w:gridAfter w:val="13"/>
        <w:wAfter w:w="11757" w:type="dxa"/>
        <w:trHeight w:val="305"/>
      </w:trPr>
      <w:tc>
        <w:tcPr>
          <w:tcW w:w="598" w:type="dxa"/>
          <w:shd w:val="clear" w:color="auto" w:fill="A64D2C"/>
          <w:vAlign w:val="center"/>
        </w:tcPr>
        <w:p w14:paraId="624BA98A" w14:textId="77777777" w:rsidR="004C0B80" w:rsidRPr="00A572C3" w:rsidRDefault="004C0B80" w:rsidP="00066DE4">
          <w:pPr>
            <w:pStyle w:val="Footer"/>
            <w:spacing w:after="0" w:line="240" w:lineRule="auto"/>
            <w:jc w:val="center"/>
            <w:rPr>
              <w:rFonts w:cs="Arial"/>
              <w:sz w:val="16"/>
              <w:szCs w:val="16"/>
              <w:lang w:val="en-US"/>
            </w:rPr>
          </w:pPr>
        </w:p>
      </w:tc>
    </w:tr>
    <w:tr w:rsidR="004C0B80" w14:paraId="24ECC1EC" w14:textId="77777777" w:rsidTr="00066DE4">
      <w:trPr>
        <w:gridBefore w:val="2"/>
        <w:wBefore w:w="851" w:type="dxa"/>
        <w:trHeight w:val="305"/>
      </w:trPr>
      <w:tc>
        <w:tcPr>
          <w:tcW w:w="709" w:type="dxa"/>
          <w:shd w:val="clear" w:color="auto" w:fill="A64D2C"/>
          <w:vAlign w:val="center"/>
        </w:tcPr>
        <w:p w14:paraId="15486813" w14:textId="77777777" w:rsidR="004C0B80" w:rsidRPr="005D2B2F" w:rsidRDefault="004C0B80" w:rsidP="00066DE4">
          <w:pPr>
            <w:pStyle w:val="Footer"/>
            <w:jc w:val="center"/>
            <w:rPr>
              <w:rFonts w:cs="Arial"/>
              <w:szCs w:val="20"/>
              <w:lang w:val="en-US"/>
            </w:rPr>
          </w:pPr>
        </w:p>
      </w:tc>
      <w:tc>
        <w:tcPr>
          <w:tcW w:w="993" w:type="dxa"/>
          <w:shd w:val="clear" w:color="auto" w:fill="auto"/>
          <w:vAlign w:val="center"/>
        </w:tcPr>
        <w:p w14:paraId="15CD57AE" w14:textId="77777777" w:rsidR="004C0B80" w:rsidRPr="005D2B2F" w:rsidRDefault="004C0B80" w:rsidP="00066DE4">
          <w:pPr>
            <w:pStyle w:val="Footer"/>
            <w:jc w:val="center"/>
            <w:rPr>
              <w:rFonts w:cs="Arial"/>
              <w:szCs w:val="20"/>
              <w:lang w:val="en-US"/>
            </w:rPr>
          </w:pPr>
          <w:r w:rsidRPr="005D2B2F">
            <w:rPr>
              <w:rFonts w:cs="Arial"/>
              <w:szCs w:val="20"/>
              <w:lang w:val="en-US"/>
            </w:rPr>
            <w:t>Aurukun</w:t>
          </w:r>
        </w:p>
      </w:tc>
      <w:tc>
        <w:tcPr>
          <w:tcW w:w="708" w:type="dxa"/>
          <w:shd w:val="clear" w:color="auto" w:fill="467082"/>
          <w:vAlign w:val="center"/>
        </w:tcPr>
        <w:p w14:paraId="01A95939" w14:textId="77777777" w:rsidR="004C0B80" w:rsidRPr="005D2B2F" w:rsidRDefault="004C0B80" w:rsidP="00066DE4">
          <w:pPr>
            <w:pStyle w:val="Footer"/>
            <w:jc w:val="center"/>
            <w:rPr>
              <w:rFonts w:cs="Arial"/>
              <w:szCs w:val="20"/>
              <w:lang w:val="en-US"/>
            </w:rPr>
          </w:pPr>
        </w:p>
      </w:tc>
      <w:tc>
        <w:tcPr>
          <w:tcW w:w="851" w:type="dxa"/>
          <w:shd w:val="clear" w:color="auto" w:fill="auto"/>
          <w:vAlign w:val="center"/>
        </w:tcPr>
        <w:p w14:paraId="58D09D39" w14:textId="77777777" w:rsidR="004C0B80" w:rsidRPr="005D2B2F" w:rsidRDefault="004C0B80" w:rsidP="00066DE4">
          <w:pPr>
            <w:pStyle w:val="Footer"/>
            <w:jc w:val="center"/>
            <w:rPr>
              <w:rFonts w:cs="Arial"/>
              <w:szCs w:val="20"/>
              <w:lang w:val="en-US"/>
            </w:rPr>
          </w:pPr>
          <w:r w:rsidRPr="005D2B2F">
            <w:rPr>
              <w:rFonts w:cs="Arial"/>
              <w:szCs w:val="20"/>
              <w:lang w:val="en-US"/>
            </w:rPr>
            <w:t>Coen</w:t>
          </w:r>
        </w:p>
      </w:tc>
      <w:tc>
        <w:tcPr>
          <w:tcW w:w="567" w:type="dxa"/>
          <w:shd w:val="clear" w:color="auto" w:fill="768968"/>
          <w:vAlign w:val="center"/>
        </w:tcPr>
        <w:p w14:paraId="562C726B" w14:textId="77777777" w:rsidR="004C0B80" w:rsidRPr="005D2B2F" w:rsidRDefault="004C0B80" w:rsidP="00066DE4">
          <w:pPr>
            <w:pStyle w:val="Footer"/>
            <w:jc w:val="center"/>
            <w:rPr>
              <w:rFonts w:cs="Arial"/>
              <w:szCs w:val="20"/>
              <w:lang w:val="en-US"/>
            </w:rPr>
          </w:pPr>
        </w:p>
      </w:tc>
      <w:tc>
        <w:tcPr>
          <w:tcW w:w="1276" w:type="dxa"/>
          <w:shd w:val="clear" w:color="auto" w:fill="auto"/>
          <w:vAlign w:val="center"/>
        </w:tcPr>
        <w:p w14:paraId="022E4898" w14:textId="77777777" w:rsidR="004C0B80" w:rsidRPr="005D2B2F" w:rsidRDefault="004C0B80" w:rsidP="00066DE4">
          <w:pPr>
            <w:pStyle w:val="Footer"/>
            <w:jc w:val="center"/>
            <w:rPr>
              <w:rFonts w:cs="Arial"/>
              <w:szCs w:val="20"/>
              <w:lang w:val="en-US"/>
            </w:rPr>
          </w:pPr>
          <w:r w:rsidRPr="005D2B2F">
            <w:rPr>
              <w:rFonts w:cs="Arial"/>
              <w:szCs w:val="20"/>
              <w:lang w:val="en-US"/>
            </w:rPr>
            <w:t>Hope Vale</w:t>
          </w:r>
        </w:p>
      </w:tc>
      <w:tc>
        <w:tcPr>
          <w:tcW w:w="567" w:type="dxa"/>
          <w:shd w:val="clear" w:color="auto" w:fill="A972A9"/>
          <w:vAlign w:val="center"/>
        </w:tcPr>
        <w:p w14:paraId="44A39AE7" w14:textId="77777777" w:rsidR="004C0B80" w:rsidRPr="005D2B2F" w:rsidRDefault="004C0B80" w:rsidP="00066DE4">
          <w:pPr>
            <w:pStyle w:val="Footer"/>
            <w:jc w:val="center"/>
            <w:rPr>
              <w:rFonts w:cs="Arial"/>
              <w:szCs w:val="20"/>
              <w:lang w:val="en-US"/>
            </w:rPr>
          </w:pPr>
        </w:p>
      </w:tc>
      <w:tc>
        <w:tcPr>
          <w:tcW w:w="1559" w:type="dxa"/>
          <w:vAlign w:val="center"/>
        </w:tcPr>
        <w:p w14:paraId="537A65CA" w14:textId="77777777" w:rsidR="004C0B80" w:rsidRPr="005D2B2F" w:rsidRDefault="004C0B80" w:rsidP="00066DE4">
          <w:pPr>
            <w:pStyle w:val="Footer"/>
            <w:jc w:val="center"/>
            <w:rPr>
              <w:rFonts w:cs="Arial"/>
              <w:szCs w:val="20"/>
              <w:lang w:val="en-US"/>
            </w:rPr>
          </w:pPr>
          <w:r>
            <w:rPr>
              <w:rFonts w:cs="Arial"/>
              <w:szCs w:val="20"/>
              <w:lang w:val="en-US"/>
            </w:rPr>
            <w:t>Doomadgee</w:t>
          </w:r>
        </w:p>
      </w:tc>
      <w:tc>
        <w:tcPr>
          <w:tcW w:w="567" w:type="dxa"/>
          <w:shd w:val="clear" w:color="auto" w:fill="DDB136"/>
          <w:vAlign w:val="center"/>
        </w:tcPr>
        <w:p w14:paraId="199FC702" w14:textId="77777777" w:rsidR="004C0B80" w:rsidRPr="005D2B2F" w:rsidRDefault="004C0B80" w:rsidP="00066DE4">
          <w:pPr>
            <w:pStyle w:val="Footer"/>
            <w:jc w:val="center"/>
            <w:rPr>
              <w:rFonts w:cs="Arial"/>
              <w:szCs w:val="20"/>
              <w:lang w:val="en-US"/>
            </w:rPr>
          </w:pPr>
        </w:p>
      </w:tc>
      <w:tc>
        <w:tcPr>
          <w:tcW w:w="1701" w:type="dxa"/>
          <w:shd w:val="clear" w:color="auto" w:fill="auto"/>
          <w:vAlign w:val="center"/>
        </w:tcPr>
        <w:p w14:paraId="21A25C4A" w14:textId="77777777" w:rsidR="004C0B80" w:rsidRPr="005D2B2F" w:rsidRDefault="004C0B80" w:rsidP="00066DE4">
          <w:pPr>
            <w:pStyle w:val="Footer"/>
            <w:jc w:val="center"/>
            <w:rPr>
              <w:rFonts w:cs="Arial"/>
              <w:szCs w:val="20"/>
              <w:lang w:val="en-US"/>
            </w:rPr>
          </w:pPr>
          <w:r w:rsidRPr="005D2B2F">
            <w:rPr>
              <w:rFonts w:cs="Arial"/>
              <w:szCs w:val="20"/>
              <w:lang w:val="en-US"/>
            </w:rPr>
            <w:t>Mossman Gorge</w:t>
          </w:r>
        </w:p>
      </w:tc>
      <w:tc>
        <w:tcPr>
          <w:tcW w:w="567" w:type="dxa"/>
          <w:shd w:val="clear" w:color="auto" w:fill="D9D9D9"/>
          <w:vAlign w:val="center"/>
        </w:tcPr>
        <w:p w14:paraId="6CBB3E13" w14:textId="77777777" w:rsidR="004C0B80" w:rsidRPr="005D2B2F" w:rsidRDefault="004C0B80" w:rsidP="00066DE4">
          <w:pPr>
            <w:pStyle w:val="Footer"/>
            <w:jc w:val="center"/>
            <w:rPr>
              <w:rFonts w:cs="Arial"/>
              <w:szCs w:val="20"/>
              <w:lang w:val="en-US"/>
            </w:rPr>
          </w:pPr>
        </w:p>
      </w:tc>
      <w:tc>
        <w:tcPr>
          <w:tcW w:w="1439" w:type="dxa"/>
          <w:shd w:val="clear" w:color="auto" w:fill="auto"/>
          <w:vAlign w:val="center"/>
        </w:tcPr>
        <w:p w14:paraId="66494BC5" w14:textId="77777777" w:rsidR="004C0B80" w:rsidRPr="005D2B2F" w:rsidRDefault="004C0B80" w:rsidP="00066DE4">
          <w:pPr>
            <w:pStyle w:val="Footer"/>
            <w:jc w:val="center"/>
            <w:rPr>
              <w:rFonts w:cs="Arial"/>
              <w:szCs w:val="20"/>
              <w:lang w:val="en-US"/>
            </w:rPr>
          </w:pPr>
          <w:r w:rsidRPr="005D2B2F">
            <w:rPr>
              <w:rFonts w:cs="Arial"/>
              <w:szCs w:val="20"/>
              <w:lang w:val="en-US"/>
            </w:rPr>
            <w:t>Office Weeks</w:t>
          </w:r>
        </w:p>
      </w:tc>
    </w:tr>
  </w:tbl>
  <w:p w14:paraId="29D85028" w14:textId="77777777" w:rsidR="004C0B80" w:rsidRPr="00043A4B" w:rsidRDefault="004C0B80" w:rsidP="00066DE4">
    <w:pPr>
      <w:pStyle w:val="Footer"/>
      <w:ind w:lef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7D143" w14:textId="4C111EB3" w:rsidR="004C0B80" w:rsidRDefault="004C0B80">
    <w:pPr>
      <w:pStyle w:val="Footer"/>
      <w:jc w:val="right"/>
    </w:pPr>
    <w:r>
      <w:t xml:space="preserve">Page </w:t>
    </w:r>
    <w:sdt>
      <w:sdtPr>
        <w:id w:val="-11091196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D176988" w14:textId="77777777" w:rsidR="004C0B80" w:rsidRPr="00343B70" w:rsidRDefault="004C0B80" w:rsidP="00066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E08E9" w14:textId="77777777" w:rsidR="004C0B80" w:rsidRDefault="004C0B80" w:rsidP="00176460">
      <w:pPr>
        <w:spacing w:after="0" w:line="240" w:lineRule="auto"/>
      </w:pPr>
      <w:r>
        <w:separator/>
      </w:r>
    </w:p>
  </w:footnote>
  <w:footnote w:type="continuationSeparator" w:id="0">
    <w:p w14:paraId="2F6A77D2" w14:textId="77777777" w:rsidR="004C0B80" w:rsidRDefault="004C0B80" w:rsidP="00176460">
      <w:pPr>
        <w:spacing w:after="0" w:line="240" w:lineRule="auto"/>
      </w:pPr>
      <w:r>
        <w:continuationSeparator/>
      </w:r>
    </w:p>
  </w:footnote>
  <w:footnote w:id="1">
    <w:p w14:paraId="55C39410" w14:textId="77777777" w:rsidR="004C0B80" w:rsidRDefault="004C0B80" w:rsidP="00176460">
      <w:r>
        <w:rPr>
          <w:rStyle w:val="FootnoteReference"/>
        </w:rPr>
        <w:footnoteRef/>
      </w:r>
      <w:r>
        <w:t xml:space="preserve"> Agency notices for the community of Doomadgee are presently received from the Department of Education and the Department of Child Safety, Youth and Women only.</w:t>
      </w:r>
    </w:p>
    <w:p w14:paraId="4B13FE1B" w14:textId="77777777" w:rsidR="004C0B80" w:rsidRPr="006A03EF" w:rsidRDefault="004C0B80" w:rsidP="00176460">
      <w:pPr>
        <w:pStyle w:val="FootnoteText"/>
        <w:rPr>
          <w:lang w:val="en-AU"/>
        </w:rPr>
      </w:pPr>
    </w:p>
  </w:footnote>
  <w:footnote w:id="2">
    <w:p w14:paraId="4DE83539" w14:textId="77777777" w:rsidR="004C0B80" w:rsidRPr="002A4EBE" w:rsidRDefault="004C0B80" w:rsidP="00A01A41">
      <w:pPr>
        <w:pStyle w:val="FootnoteText"/>
        <w:rPr>
          <w:sz w:val="16"/>
          <w:szCs w:val="16"/>
          <w:lang w:val="en-AU"/>
        </w:rPr>
      </w:pPr>
      <w:r w:rsidRPr="002A4EBE">
        <w:rPr>
          <w:rStyle w:val="FootnoteReference"/>
          <w:sz w:val="16"/>
          <w:szCs w:val="16"/>
        </w:rPr>
        <w:footnoteRef/>
      </w:r>
      <w:r w:rsidRPr="002A4EBE">
        <w:rPr>
          <w:sz w:val="16"/>
          <w:szCs w:val="16"/>
        </w:rPr>
        <w:t xml:space="preserve"> A full list of income management measures and locations is available on the Department of Human Services website. </w:t>
      </w:r>
      <w:hyperlink r:id="rId1" w:history="1">
        <w:r w:rsidRPr="002A4EBE">
          <w:rPr>
            <w:rStyle w:val="Hyperlink"/>
            <w:sz w:val="16"/>
            <w:szCs w:val="16"/>
          </w:rPr>
          <w:t>https://www.dss.gov.au/our-responsibilities/families-and-children/programmes-services/welfare-quarantining</w:t>
        </w:r>
      </w:hyperlink>
    </w:p>
  </w:footnote>
  <w:footnote w:id="3">
    <w:p w14:paraId="604EB5BB" w14:textId="77777777" w:rsidR="004C0B80" w:rsidRPr="002A4EBE" w:rsidRDefault="004C0B80" w:rsidP="00A01A41">
      <w:pPr>
        <w:pStyle w:val="FootnoteText"/>
        <w:rPr>
          <w:sz w:val="16"/>
          <w:szCs w:val="16"/>
          <w:lang w:val="en-AU"/>
        </w:rPr>
      </w:pPr>
      <w:r w:rsidRPr="002A4EBE">
        <w:rPr>
          <w:rStyle w:val="FootnoteReference"/>
          <w:sz w:val="16"/>
          <w:szCs w:val="16"/>
        </w:rPr>
        <w:footnoteRef/>
      </w:r>
      <w:r w:rsidRPr="002A4EBE">
        <w:rPr>
          <w:sz w:val="16"/>
          <w:szCs w:val="16"/>
        </w:rPr>
        <w:t xml:space="preserve"> </w:t>
      </w:r>
      <w:r w:rsidRPr="002A4EBE">
        <w:rPr>
          <w:sz w:val="16"/>
          <w:szCs w:val="16"/>
          <w:lang w:val="en-AU"/>
        </w:rPr>
        <w:t>Income management was introduced in Aurukun, Coen, Hope Vale and Mossman Gorge as part of Cape York Welfare Reform in 2008. In 2015, Doomadgee opted into the FRC and the same model of income management. Accordingly, ‘Cape York Income Management’ is used to refer to income management used in both the four Cape York communities as well as Doomadgee.</w:t>
      </w:r>
    </w:p>
  </w:footnote>
  <w:footnote w:id="4">
    <w:p w14:paraId="469EA199" w14:textId="77777777" w:rsidR="004C0B80" w:rsidRPr="00ED3185" w:rsidRDefault="004C0B80" w:rsidP="00A01A41">
      <w:pPr>
        <w:pStyle w:val="FootnoteText"/>
        <w:rPr>
          <w:lang w:val="en-AU"/>
        </w:rPr>
      </w:pPr>
      <w:r w:rsidRPr="002A4EBE">
        <w:rPr>
          <w:rStyle w:val="FootnoteReference"/>
          <w:sz w:val="16"/>
          <w:szCs w:val="16"/>
        </w:rPr>
        <w:footnoteRef/>
      </w:r>
      <w:r w:rsidRPr="002A4EBE">
        <w:rPr>
          <w:sz w:val="16"/>
          <w:szCs w:val="16"/>
        </w:rPr>
        <w:t xml:space="preserve"> </w:t>
      </w:r>
      <w:r w:rsidRPr="002A4EBE">
        <w:rPr>
          <w:sz w:val="16"/>
          <w:szCs w:val="16"/>
          <w:lang w:val="en-AU"/>
        </w:rPr>
        <w:t>The Commonwealth Government uses the overarching term ‘welfare quarantining’ to encompass both income management measures and the Cashless Debit Card.</w:t>
      </w:r>
      <w:r>
        <w:rPr>
          <w:lang w:val="en-AU"/>
        </w:rPr>
        <w:t xml:space="preserve"> </w:t>
      </w:r>
    </w:p>
  </w:footnote>
  <w:footnote w:id="5">
    <w:p w14:paraId="4EAA3C2E" w14:textId="77777777" w:rsidR="004C0B80" w:rsidRPr="002A4EBE" w:rsidRDefault="004C0B80" w:rsidP="00A01A41">
      <w:pPr>
        <w:pStyle w:val="FootnoteText"/>
        <w:rPr>
          <w:sz w:val="16"/>
          <w:szCs w:val="16"/>
          <w:lang w:val="en-AU"/>
        </w:rPr>
      </w:pPr>
      <w:r w:rsidRPr="002A4EBE">
        <w:rPr>
          <w:rStyle w:val="FootnoteReference"/>
          <w:sz w:val="16"/>
          <w:szCs w:val="16"/>
        </w:rPr>
        <w:footnoteRef/>
      </w:r>
      <w:r w:rsidRPr="002A4EBE">
        <w:rPr>
          <w:sz w:val="16"/>
          <w:szCs w:val="16"/>
        </w:rPr>
        <w:t xml:space="preserve"> The Cashless Debit Card applies to all people of working age income support payments in the </w:t>
      </w:r>
      <w:r w:rsidRPr="002A4EBE">
        <w:rPr>
          <w:sz w:val="16"/>
          <w:szCs w:val="16"/>
          <w:lang w:val="en-AU"/>
        </w:rPr>
        <w:t xml:space="preserve">Ceduna, Goldfields and East Kimberly regions. In Bundaberg and Hervey Bay the Cashless Debit Card applies to people aged under 35 on certain payments. </w:t>
      </w:r>
    </w:p>
  </w:footnote>
  <w:footnote w:id="6">
    <w:p w14:paraId="0684A38A" w14:textId="77777777" w:rsidR="004C0B80" w:rsidRDefault="004C0B80" w:rsidP="00066DE4">
      <w:pPr>
        <w:pStyle w:val="FootnoteText"/>
        <w:jc w:val="both"/>
      </w:pPr>
      <w:r>
        <w:rPr>
          <w:rStyle w:val="FootnoteReference"/>
        </w:rPr>
        <w:footnoteRef/>
      </w:r>
      <w:r w:rsidRPr="004971EA">
        <w:rPr>
          <w:sz w:val="16"/>
          <w:szCs w:val="16"/>
        </w:rPr>
        <w:t xml:space="preserve">  Note: </w:t>
      </w:r>
      <w:r w:rsidRPr="0044594D">
        <w:rPr>
          <w:sz w:val="16"/>
          <w:szCs w:val="16"/>
        </w:rPr>
        <w:t>Australian Statistical Geography Standard 2016 boundaries used are local government areas for Aurukun, Doomadgee and Hope Vale, and statistical areas level 1 (SA1s) of 3139616 for Coen and 3116408 for Mossman Gorge.</w:t>
      </w:r>
    </w:p>
  </w:footnote>
  <w:footnote w:id="7">
    <w:p w14:paraId="29828820" w14:textId="5ECAA099" w:rsidR="004C0B80" w:rsidRDefault="004C0B80" w:rsidP="00066DE4">
      <w:pPr>
        <w:pStyle w:val="FootnoteText"/>
      </w:pPr>
      <w:r w:rsidRPr="004971EA">
        <w:rPr>
          <w:rStyle w:val="FootnoteReference"/>
          <w:sz w:val="16"/>
          <w:szCs w:val="16"/>
        </w:rPr>
        <w:footnoteRef/>
      </w:r>
      <w:r w:rsidRPr="004971EA">
        <w:rPr>
          <w:sz w:val="16"/>
          <w:szCs w:val="16"/>
        </w:rPr>
        <w:t xml:space="preserve">  Note: Adults </w:t>
      </w:r>
      <w:r>
        <w:rPr>
          <w:sz w:val="16"/>
          <w:szCs w:val="16"/>
        </w:rPr>
        <w:t>18</w:t>
      </w:r>
      <w:r w:rsidRPr="004971EA">
        <w:rPr>
          <w:sz w:val="16"/>
          <w:szCs w:val="16"/>
        </w:rPr>
        <w:t xml:space="preserve"> years and over provided by the </w:t>
      </w:r>
      <w:r w:rsidRPr="004971EA">
        <w:rPr>
          <w:rFonts w:cs="Arial"/>
          <w:sz w:val="16"/>
          <w:szCs w:val="16"/>
        </w:rPr>
        <w:t xml:space="preserve">Queensland Government Statistician’s Office (QGSO), Queensland Treasury, based on the Australian Bureau of Statistics (ABS) </w:t>
      </w:r>
      <w:r>
        <w:rPr>
          <w:rFonts w:cs="Arial"/>
          <w:sz w:val="16"/>
          <w:szCs w:val="16"/>
        </w:rPr>
        <w:t xml:space="preserve">unpublished preliminary </w:t>
      </w:r>
      <w:r w:rsidRPr="004971EA">
        <w:rPr>
          <w:rFonts w:cs="Arial"/>
          <w:sz w:val="16"/>
          <w:szCs w:val="16"/>
        </w:rPr>
        <w:t>Estimated Resident Population (ERP) data by age and sex at the Local Govern</w:t>
      </w:r>
      <w:r>
        <w:rPr>
          <w:rFonts w:cs="Arial"/>
          <w:sz w:val="16"/>
          <w:szCs w:val="16"/>
        </w:rPr>
        <w:t>ment Area level for 30 June 2018</w:t>
      </w:r>
      <w:r w:rsidRPr="004971EA">
        <w:rPr>
          <w:rFonts w:cs="Arial"/>
          <w:sz w:val="16"/>
          <w:szCs w:val="16"/>
        </w:rPr>
        <w:t>.</w:t>
      </w:r>
    </w:p>
  </w:footnote>
  <w:footnote w:id="8">
    <w:p w14:paraId="0FAD06CC" w14:textId="2E0B92D2" w:rsidR="004C0B80" w:rsidRDefault="004C0B80" w:rsidP="00066DE4">
      <w:pPr>
        <w:pStyle w:val="FootnoteText"/>
      </w:pPr>
      <w:r>
        <w:rPr>
          <w:rStyle w:val="FootnoteReference"/>
        </w:rPr>
        <w:footnoteRef/>
      </w:r>
      <w:r w:rsidRPr="004971EA">
        <w:rPr>
          <w:sz w:val="16"/>
          <w:szCs w:val="16"/>
        </w:rPr>
        <w:t xml:space="preserve">  </w:t>
      </w:r>
      <w:r w:rsidRPr="0006058E">
        <w:rPr>
          <w:sz w:val="16"/>
          <w:szCs w:val="16"/>
        </w:rPr>
        <w:t xml:space="preserve">Note: Adults </w:t>
      </w:r>
      <w:r>
        <w:rPr>
          <w:sz w:val="16"/>
          <w:szCs w:val="16"/>
        </w:rPr>
        <w:t xml:space="preserve">18 years and over provided by </w:t>
      </w:r>
      <w:r>
        <w:rPr>
          <w:rFonts w:cs="Arial"/>
          <w:sz w:val="16"/>
          <w:szCs w:val="16"/>
        </w:rPr>
        <w:t>QGSO</w:t>
      </w:r>
      <w:r w:rsidRPr="0006058E">
        <w:rPr>
          <w:rFonts w:cs="Arial"/>
          <w:sz w:val="16"/>
          <w:szCs w:val="16"/>
        </w:rPr>
        <w:t xml:space="preserve">, Queensland Treasury, based on the </w:t>
      </w:r>
      <w:r>
        <w:rPr>
          <w:rFonts w:cs="Arial"/>
          <w:sz w:val="16"/>
          <w:szCs w:val="16"/>
        </w:rPr>
        <w:t>ABS</w:t>
      </w:r>
      <w:r w:rsidRPr="0006058E">
        <w:rPr>
          <w:rFonts w:cs="Arial"/>
          <w:sz w:val="16"/>
          <w:szCs w:val="16"/>
        </w:rPr>
        <w:t xml:space="preserve"> </w:t>
      </w:r>
      <w:r>
        <w:rPr>
          <w:rFonts w:cs="Arial"/>
          <w:sz w:val="16"/>
          <w:szCs w:val="16"/>
        </w:rPr>
        <w:t>unpublished preliminary ERP</w:t>
      </w:r>
      <w:r w:rsidRPr="0006058E">
        <w:rPr>
          <w:rFonts w:cs="Arial"/>
          <w:sz w:val="16"/>
          <w:szCs w:val="16"/>
        </w:rPr>
        <w:t xml:space="preserve"> data by age and sex at the </w:t>
      </w:r>
      <w:r w:rsidRPr="002376E4">
        <w:rPr>
          <w:rFonts w:cs="Arial"/>
          <w:sz w:val="16"/>
          <w:szCs w:val="16"/>
        </w:rPr>
        <w:t xml:space="preserve">Statistical </w:t>
      </w:r>
      <w:r w:rsidRPr="0006058E">
        <w:rPr>
          <w:rFonts w:cs="Arial"/>
          <w:sz w:val="16"/>
          <w:szCs w:val="16"/>
        </w:rPr>
        <w:t>Area level</w:t>
      </w:r>
      <w:r>
        <w:rPr>
          <w:rFonts w:cs="Arial"/>
          <w:sz w:val="16"/>
          <w:szCs w:val="16"/>
        </w:rPr>
        <w:t xml:space="preserve"> 1</w:t>
      </w:r>
      <w:r w:rsidRPr="0006058E">
        <w:rPr>
          <w:rFonts w:cs="Arial"/>
          <w:sz w:val="16"/>
          <w:szCs w:val="16"/>
        </w:rPr>
        <w:t xml:space="preserve"> for 30 June </w:t>
      </w:r>
      <w:r>
        <w:rPr>
          <w:rFonts w:cs="Arial"/>
          <w:sz w:val="16"/>
          <w:szCs w:val="16"/>
        </w:rPr>
        <w:t>2018.</w:t>
      </w:r>
    </w:p>
  </w:footnote>
  <w:footnote w:id="9">
    <w:p w14:paraId="7BEA8B69" w14:textId="25FFB8A2" w:rsidR="004C0B80" w:rsidRDefault="004C0B80" w:rsidP="00066DE4">
      <w:pPr>
        <w:pStyle w:val="FootnoteText"/>
      </w:pPr>
      <w:r>
        <w:rPr>
          <w:rStyle w:val="FootnoteReference"/>
        </w:rPr>
        <w:footnoteRef/>
      </w:r>
      <w:r w:rsidRPr="004971EA">
        <w:rPr>
          <w:sz w:val="16"/>
          <w:szCs w:val="16"/>
        </w:rPr>
        <w:t xml:space="preserve">  </w:t>
      </w:r>
      <w:r w:rsidRPr="008B5D72">
        <w:rPr>
          <w:sz w:val="16"/>
          <w:szCs w:val="16"/>
        </w:rPr>
        <w:t xml:space="preserve">Note: </w:t>
      </w:r>
      <w:r>
        <w:rPr>
          <w:sz w:val="16"/>
          <w:szCs w:val="16"/>
        </w:rPr>
        <w:t>Total population provided by</w:t>
      </w:r>
      <w:r w:rsidRPr="008B5D72">
        <w:rPr>
          <w:sz w:val="16"/>
          <w:szCs w:val="16"/>
        </w:rPr>
        <w:t xml:space="preserve"> </w:t>
      </w:r>
      <w:r>
        <w:rPr>
          <w:sz w:val="16"/>
          <w:szCs w:val="16"/>
        </w:rPr>
        <w:t>QGSO</w:t>
      </w:r>
      <w:r w:rsidRPr="008B5D72">
        <w:rPr>
          <w:sz w:val="16"/>
          <w:szCs w:val="16"/>
        </w:rPr>
        <w:t>, Queensland T</w:t>
      </w:r>
      <w:r>
        <w:rPr>
          <w:sz w:val="16"/>
          <w:szCs w:val="16"/>
        </w:rPr>
        <w:t xml:space="preserve">reasury, not 18 years and older, due to the small size of the total population </w:t>
      </w:r>
      <w:r w:rsidRPr="002376E4">
        <w:rPr>
          <w:rFonts w:cs="Arial"/>
          <w:sz w:val="16"/>
          <w:szCs w:val="16"/>
        </w:rPr>
        <w:t xml:space="preserve">from the ABS </w:t>
      </w:r>
      <w:r>
        <w:rPr>
          <w:rFonts w:cs="Arial"/>
          <w:sz w:val="16"/>
          <w:szCs w:val="16"/>
        </w:rPr>
        <w:t xml:space="preserve">unpublished preliminary </w:t>
      </w:r>
      <w:r w:rsidRPr="002376E4">
        <w:rPr>
          <w:rFonts w:cs="Arial"/>
          <w:sz w:val="16"/>
          <w:szCs w:val="16"/>
        </w:rPr>
        <w:t xml:space="preserve">ERP data at the Statistical Area level 1 for 30 June </w:t>
      </w:r>
      <w:r>
        <w:rPr>
          <w:rFonts w:cs="Arial"/>
          <w:sz w:val="16"/>
          <w:szCs w:val="16"/>
        </w:rPr>
        <w:t>2018</w:t>
      </w:r>
      <w:r w:rsidRPr="002376E4">
        <w:rPr>
          <w:rFont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4484D" w14:textId="648F3B91" w:rsidR="004C0B80" w:rsidRDefault="004C0B8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8179E" w14:textId="0C64BE34" w:rsidR="004C0B80" w:rsidRDefault="004C0B8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6CA49" w14:textId="0FE1881E" w:rsidR="004C0B80" w:rsidRDefault="004C0B80" w:rsidP="00047560">
    <w:pPr>
      <w:pStyle w:val="Header"/>
    </w:pPr>
  </w:p>
  <w:p w14:paraId="0EBB4131" w14:textId="77777777" w:rsidR="004C0B80" w:rsidRDefault="004C0B80" w:rsidP="00047560">
    <w:pPr>
      <w:pStyle w:val="Header"/>
    </w:pPr>
  </w:p>
  <w:p w14:paraId="40C0B324" w14:textId="77777777" w:rsidR="004C0B80" w:rsidRDefault="004C0B80" w:rsidP="00047560">
    <w:pPr>
      <w:pStyle w:val="Header"/>
    </w:pPr>
  </w:p>
  <w:p w14:paraId="3BA54AB7" w14:textId="77777777" w:rsidR="004C0B80" w:rsidRDefault="004C0B80" w:rsidP="00047560">
    <w:pPr>
      <w:pStyle w:val="Header"/>
    </w:pPr>
  </w:p>
  <w:p w14:paraId="4F3011C4" w14:textId="77777777" w:rsidR="004C0B80" w:rsidRDefault="004C0B80" w:rsidP="00047560">
    <w:pPr>
      <w:pStyle w:val="Header"/>
    </w:pPr>
  </w:p>
  <w:p w14:paraId="02266A64" w14:textId="77777777" w:rsidR="004C0B80" w:rsidRDefault="004C0B80" w:rsidP="00047560">
    <w:pPr>
      <w:pStyle w:val="Header"/>
    </w:pPr>
    <w:r>
      <w:t>CONTENTS</w:t>
    </w:r>
  </w:p>
  <w:p w14:paraId="16CC3E2B" w14:textId="77777777" w:rsidR="004C0B80" w:rsidRPr="00CE21A3" w:rsidRDefault="004C0B80" w:rsidP="0004756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11494" w14:textId="39299C7A" w:rsidR="004C0B80" w:rsidRDefault="004C0B8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EA632" w14:textId="6E818F36" w:rsidR="004C0B80" w:rsidRDefault="004C0B8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6522" w14:textId="7B5FEB92" w:rsidR="004C0B80" w:rsidRDefault="004C0B80" w:rsidP="00047560">
    <w:pPr>
      <w:pStyle w:val="Header"/>
    </w:pPr>
  </w:p>
  <w:p w14:paraId="54CB85E5" w14:textId="77777777" w:rsidR="004C0B80" w:rsidRDefault="004C0B80" w:rsidP="00047560">
    <w:pPr>
      <w:pStyle w:val="Header"/>
    </w:pPr>
  </w:p>
  <w:p w14:paraId="1EDC730B" w14:textId="77777777" w:rsidR="004C0B80" w:rsidRDefault="004C0B80" w:rsidP="00047560">
    <w:pPr>
      <w:pStyle w:val="Header"/>
    </w:pPr>
  </w:p>
  <w:p w14:paraId="0A36201A" w14:textId="77777777" w:rsidR="004C0B80" w:rsidRDefault="004C0B80" w:rsidP="00047560">
    <w:pPr>
      <w:pStyle w:val="Header"/>
    </w:pPr>
  </w:p>
  <w:p w14:paraId="597A3446" w14:textId="77777777" w:rsidR="004C0B80" w:rsidRDefault="004C0B80" w:rsidP="00047560">
    <w:pPr>
      <w:pStyle w:val="Header"/>
    </w:pPr>
  </w:p>
  <w:p w14:paraId="40344F6D" w14:textId="77777777" w:rsidR="004C0B80" w:rsidRDefault="004C0B80" w:rsidP="00047560">
    <w:pPr>
      <w:pStyle w:val="Header"/>
    </w:pPr>
    <w:r w:rsidRPr="008E71BA">
      <w:t>PREAMBLE – NOEL PEARSON</w:t>
    </w:r>
  </w:p>
  <w:p w14:paraId="31D7D4F3" w14:textId="77777777" w:rsidR="004C0B80" w:rsidRPr="00D35392" w:rsidRDefault="004C0B80" w:rsidP="0004756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F927D" w14:textId="5A2F955A" w:rsidR="004C0B80" w:rsidRDefault="004C0B8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7CDB8" w14:textId="283B592B" w:rsidR="004C0B80" w:rsidRDefault="004C0B8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C0961" w14:textId="07D890CE" w:rsidR="004C0B80" w:rsidRDefault="004C0B80" w:rsidP="00047560">
    <w:pPr>
      <w:pStyle w:val="Header"/>
    </w:pPr>
  </w:p>
  <w:p w14:paraId="7080BA82" w14:textId="77777777" w:rsidR="004C0B80" w:rsidRDefault="004C0B80" w:rsidP="00047560">
    <w:pPr>
      <w:pStyle w:val="Header"/>
    </w:pPr>
  </w:p>
  <w:p w14:paraId="157FF920" w14:textId="77777777" w:rsidR="004C0B80" w:rsidRDefault="004C0B80" w:rsidP="00047560">
    <w:pPr>
      <w:pStyle w:val="Header"/>
    </w:pPr>
  </w:p>
  <w:p w14:paraId="698509AE" w14:textId="77777777" w:rsidR="004C0B80" w:rsidRDefault="004C0B80" w:rsidP="00047560">
    <w:pPr>
      <w:pStyle w:val="Header"/>
    </w:pPr>
  </w:p>
  <w:p w14:paraId="2FD135DF" w14:textId="77777777" w:rsidR="004C0B80" w:rsidRDefault="004C0B80" w:rsidP="00047560">
    <w:pPr>
      <w:pStyle w:val="Header"/>
    </w:pPr>
  </w:p>
  <w:p w14:paraId="080C87CD" w14:textId="77777777" w:rsidR="004C0B80" w:rsidRDefault="004C0B80" w:rsidP="00047560">
    <w:pPr>
      <w:pStyle w:val="Header"/>
    </w:pPr>
    <w:r>
      <w:t>COMMISSIONER</w:t>
    </w:r>
  </w:p>
  <w:p w14:paraId="63C28A81" w14:textId="77777777" w:rsidR="004C0B80" w:rsidRPr="00CE21A3" w:rsidRDefault="004C0B80" w:rsidP="00047560">
    <w:pPr>
      <w:pStyle w:val="Header"/>
    </w:pPr>
    <w:r>
      <w:t>GLASGOW’S MESSAGE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C4E22" w14:textId="29DD420B" w:rsidR="004C0B80" w:rsidRDefault="004C0B8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EC365" w14:textId="6BEF345F" w:rsidR="004C0B80" w:rsidRDefault="004C0B80" w:rsidP="00047560">
    <w:pPr>
      <w:pStyle w:val="Header"/>
    </w:pPr>
    <w:r>
      <w:rPr>
        <w:noProof/>
      </w:rPr>
      <mc:AlternateContent>
        <mc:Choice Requires="wps">
          <w:drawing>
            <wp:anchor distT="0" distB="0" distL="114300" distR="114300" simplePos="0" relativeHeight="251672576" behindDoc="0" locked="0" layoutInCell="1" allowOverlap="1" wp14:anchorId="6D0851FF" wp14:editId="733E844B">
              <wp:simplePos x="0" y="0"/>
              <wp:positionH relativeFrom="column">
                <wp:posOffset>0</wp:posOffset>
              </wp:positionH>
              <wp:positionV relativeFrom="paragraph">
                <wp:posOffset>0</wp:posOffset>
              </wp:positionV>
              <wp:extent cx="5314950" cy="2125980"/>
              <wp:effectExtent l="0" t="0" r="0" b="0"/>
              <wp:wrapNone/>
              <wp:docPr id="20" name="WordArt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14950" cy="212598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FC35B8" id="_x0000_t202" coordsize="21600,21600" o:spt="202" path="m,l,21600r21600,l21600,xe">
              <v:stroke joinstyle="miter"/>
              <v:path gradientshapeok="t" o:connecttype="rect"/>
            </v:shapetype>
            <v:shape id="WordArt 81" o:spid="_x0000_s1026" type="#_x0000_t202" style="position:absolute;margin-left:0;margin-top:0;width:418.5pt;height:167.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" filled="f" stroked="f">
              <o:lock v:ext="edit" text="t" shapetype="t"/>
            </v:shape>
          </w:pict>
        </mc:Fallback>
      </mc:AlternateContent>
    </w:r>
    <w:r>
      <w:rPr>
        <w:noProof/>
      </w:rPr>
      <mc:AlternateContent>
        <mc:Choice Requires="wps">
          <w:drawing>
            <wp:anchor distT="0" distB="0" distL="114300" distR="114300" simplePos="0" relativeHeight="251670528" behindDoc="1" locked="0" layoutInCell="0" allowOverlap="1" wp14:anchorId="40661760" wp14:editId="279B8788">
              <wp:simplePos x="0" y="0"/>
              <wp:positionH relativeFrom="margin">
                <wp:align>center</wp:align>
              </wp:positionH>
              <wp:positionV relativeFrom="margin">
                <wp:align>center</wp:align>
              </wp:positionV>
              <wp:extent cx="6706870" cy="2682240"/>
              <wp:effectExtent l="0" t="1819275" r="0" b="1470660"/>
              <wp:wrapNone/>
              <wp:docPr id="21"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6870" cy="26822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A094E0" w14:textId="77777777" w:rsidR="004C0B80" w:rsidRDefault="004C0B80" w:rsidP="0004756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0661760" id="_x0000_t202" coordsize="21600,21600" o:spt="202" path="m,l,21600r21600,l21600,xe">
              <v:stroke joinstyle="miter"/>
              <v:path gradientshapeok="t" o:connecttype="rect"/>
            </v:shapetype>
            <v:shape id="WordArt 18" o:spid="_x0000_s1026" type="#_x0000_t202" style="position:absolute;margin-left:0;margin-top:0;width:528.1pt;height:211.2pt;rotation:-45;z-index:-251645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" o:allowincell="f" filled="f" stroked="f">
              <v:stroke joinstyle="round"/>
              <o:lock v:ext="edit" shapetype="t"/>
              <v:textbox style="mso-fit-shape-to-text:t">
                <w:txbxContent>
                  <w:p w14:paraId="5EA094E0" w14:textId="77777777" w:rsidR="004C0B80" w:rsidRDefault="004C0B80" w:rsidP="0004756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68480" behindDoc="1" locked="0" layoutInCell="0" allowOverlap="1" wp14:anchorId="14AB3517" wp14:editId="07206E2E">
              <wp:simplePos x="0" y="0"/>
              <wp:positionH relativeFrom="margin">
                <wp:align>center</wp:align>
              </wp:positionH>
              <wp:positionV relativeFrom="margin">
                <wp:align>center</wp:align>
              </wp:positionV>
              <wp:extent cx="5314950" cy="2125980"/>
              <wp:effectExtent l="0" t="1438275" r="0" b="1169670"/>
              <wp:wrapNone/>
              <wp:docPr id="22"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14950" cy="2125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CC6D5F" w14:textId="77777777" w:rsidR="004C0B80" w:rsidRDefault="004C0B80" w:rsidP="0004756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4AB3517" id="WordArt 16" o:spid="_x0000_s1027" type="#_x0000_t202" style="position:absolute;margin-left:0;margin-top:0;width:418.5pt;height:167.4pt;rotation:-45;z-index:-251648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" o:allowincell="f" filled="f" stroked="f">
              <v:stroke joinstyle="round"/>
              <o:lock v:ext="edit" shapetype="t"/>
              <v:textbox style="mso-fit-shape-to-text:t">
                <w:txbxContent>
                  <w:p w14:paraId="28CC6D5F" w14:textId="77777777" w:rsidR="004C0B80" w:rsidRDefault="004C0B80" w:rsidP="0004756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53AE2" w14:textId="65ED2083" w:rsidR="004C0B80" w:rsidRDefault="004C0B80" w:rsidP="00047560">
    <w:pPr>
      <w:pStyle w:val="Header"/>
    </w:pPr>
  </w:p>
  <w:p w14:paraId="6DD0DB19" w14:textId="77777777" w:rsidR="004C0B80" w:rsidRDefault="004C0B80" w:rsidP="00047560">
    <w:pPr>
      <w:pStyle w:val="Header"/>
    </w:pPr>
  </w:p>
  <w:p w14:paraId="0072369C" w14:textId="77777777" w:rsidR="004C0B80" w:rsidRDefault="004C0B80" w:rsidP="00047560">
    <w:pPr>
      <w:pStyle w:val="Header"/>
    </w:pPr>
  </w:p>
  <w:p w14:paraId="38A5C122" w14:textId="77777777" w:rsidR="004C0B80" w:rsidRDefault="004C0B80" w:rsidP="00047560">
    <w:pPr>
      <w:pStyle w:val="Header"/>
    </w:pPr>
  </w:p>
  <w:p w14:paraId="49EF139D" w14:textId="77777777" w:rsidR="004C0B80" w:rsidRDefault="004C0B80" w:rsidP="00047560">
    <w:pPr>
      <w:pStyle w:val="Header"/>
    </w:pPr>
  </w:p>
  <w:p w14:paraId="73D0404E" w14:textId="77777777" w:rsidR="004C0B80" w:rsidRDefault="004C0B80" w:rsidP="00047560">
    <w:pPr>
      <w:pStyle w:val="Header"/>
    </w:pPr>
    <w:r>
      <w:t>CONTACT DETAILS</w:t>
    </w:r>
  </w:p>
  <w:p w14:paraId="173FDB1D" w14:textId="77777777" w:rsidR="004C0B80" w:rsidRPr="00CE21A3" w:rsidRDefault="004C0B80" w:rsidP="00047560">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D09CA" w14:textId="52B91387" w:rsidR="004C0B80" w:rsidRDefault="004C0B80" w:rsidP="00047560">
    <w:pPr>
      <w:pStyle w:val="Header"/>
    </w:pPr>
    <w:r>
      <w:rPr>
        <w:noProof/>
      </w:rPr>
      <mc:AlternateContent>
        <mc:Choice Requires="wps">
          <w:drawing>
            <wp:anchor distT="0" distB="0" distL="114300" distR="114300" simplePos="0" relativeHeight="251673600" behindDoc="0" locked="0" layoutInCell="1" allowOverlap="1" wp14:anchorId="73101465" wp14:editId="4AEB59A2">
              <wp:simplePos x="0" y="0"/>
              <wp:positionH relativeFrom="column">
                <wp:posOffset>0</wp:posOffset>
              </wp:positionH>
              <wp:positionV relativeFrom="paragraph">
                <wp:posOffset>0</wp:posOffset>
              </wp:positionV>
              <wp:extent cx="5314950" cy="2125980"/>
              <wp:effectExtent l="0" t="0" r="0" b="0"/>
              <wp:wrapNone/>
              <wp:docPr id="23" name="WordArt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14950" cy="212598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AF97C80" id="_x0000_t202" coordsize="21600,21600" o:spt="202" path="m,l,21600r21600,l21600,xe">
              <v:stroke joinstyle="miter"/>
              <v:path gradientshapeok="t" o:connecttype="rect"/>
            </v:shapetype>
            <v:shape id="WordArt 82" o:spid="_x0000_s1026" type="#_x0000_t202" style="position:absolute;margin-left:0;margin-top:0;width:418.5pt;height:167.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" filled="f" stroked="f">
              <o:lock v:ext="edit" text="t" shapetype="t"/>
            </v:shape>
          </w:pict>
        </mc:Fallback>
      </mc:AlternateContent>
    </w:r>
  </w:p>
  <w:p w14:paraId="78CD7561" w14:textId="77777777" w:rsidR="004C0B80" w:rsidRDefault="004C0B80" w:rsidP="00047560">
    <w:pPr>
      <w:pStyle w:val="Header"/>
    </w:pPr>
  </w:p>
  <w:p w14:paraId="7D1CF2C3" w14:textId="77777777" w:rsidR="004C0B80" w:rsidRDefault="004C0B80" w:rsidP="00047560">
    <w:pPr>
      <w:pStyle w:val="Header"/>
    </w:pPr>
  </w:p>
  <w:p w14:paraId="5A9A0BAA" w14:textId="77777777" w:rsidR="004C0B80" w:rsidRDefault="004C0B80" w:rsidP="00047560">
    <w:pPr>
      <w:pStyle w:val="Header"/>
    </w:pPr>
  </w:p>
  <w:p w14:paraId="62BE5717" w14:textId="77777777" w:rsidR="004C0B80" w:rsidRDefault="004C0B80" w:rsidP="00047560">
    <w:pPr>
      <w:pStyle w:val="Header"/>
    </w:pPr>
  </w:p>
  <w:p w14:paraId="3B20017F" w14:textId="77777777" w:rsidR="004C0B80" w:rsidRDefault="004C0B80" w:rsidP="00047560">
    <w:pPr>
      <w:pStyle w:val="Header"/>
    </w:pPr>
    <w:r>
      <w:t>STRATEGIC OVERVIEW</w:t>
    </w:r>
  </w:p>
  <w:p w14:paraId="55E62D71" w14:textId="77777777" w:rsidR="004C0B80" w:rsidRPr="00C271E0" w:rsidRDefault="004C0B80" w:rsidP="00047560">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25254" w14:textId="1A37DB92" w:rsidR="004C0B80" w:rsidRDefault="004C0B80" w:rsidP="00047560">
    <w:pPr>
      <w:pStyle w:val="Header"/>
    </w:pPr>
    <w:r>
      <w:rPr>
        <w:noProof/>
      </w:rPr>
      <mc:AlternateContent>
        <mc:Choice Requires="wps">
          <w:drawing>
            <wp:anchor distT="0" distB="0" distL="114300" distR="114300" simplePos="0" relativeHeight="251671552" behindDoc="0" locked="0" layoutInCell="1" allowOverlap="1" wp14:anchorId="76408931" wp14:editId="24DC1882">
              <wp:simplePos x="0" y="0"/>
              <wp:positionH relativeFrom="column">
                <wp:posOffset>0</wp:posOffset>
              </wp:positionH>
              <wp:positionV relativeFrom="paragraph">
                <wp:posOffset>0</wp:posOffset>
              </wp:positionV>
              <wp:extent cx="5314950" cy="2125980"/>
              <wp:effectExtent l="0" t="0" r="0" b="0"/>
              <wp:wrapNone/>
              <wp:docPr id="24" name="WordArt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14950" cy="212598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D0701F" id="_x0000_t202" coordsize="21600,21600" o:spt="202" path="m,l,21600r21600,l21600,xe">
              <v:stroke joinstyle="miter"/>
              <v:path gradientshapeok="t" o:connecttype="rect"/>
            </v:shapetype>
            <v:shape id="WordArt 80" o:spid="_x0000_s1026" type="#_x0000_t202" style="position:absolute;margin-left:0;margin-top:0;width:418.5pt;height:16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" filled="f" stroked="f">
              <o:lock v:ext="edit" text="t" shapetype="t"/>
            </v:shape>
          </w:pict>
        </mc:Fallback>
      </mc:AlternateContent>
    </w:r>
    <w:r>
      <w:rPr>
        <w:noProof/>
      </w:rPr>
      <mc:AlternateContent>
        <mc:Choice Requires="wps">
          <w:drawing>
            <wp:anchor distT="0" distB="0" distL="114300" distR="114300" simplePos="0" relativeHeight="251669504" behindDoc="1" locked="0" layoutInCell="0" allowOverlap="1" wp14:anchorId="2AA508DF" wp14:editId="18521E18">
              <wp:simplePos x="0" y="0"/>
              <wp:positionH relativeFrom="margin">
                <wp:align>center</wp:align>
              </wp:positionH>
              <wp:positionV relativeFrom="margin">
                <wp:align>center</wp:align>
              </wp:positionV>
              <wp:extent cx="6706870" cy="2682240"/>
              <wp:effectExtent l="0" t="1819275" r="0" b="1470660"/>
              <wp:wrapNone/>
              <wp:docPr id="2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6870" cy="26822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A33337" w14:textId="77777777" w:rsidR="004C0B80" w:rsidRDefault="004C0B80" w:rsidP="0004756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AA508DF" id="_x0000_t202" coordsize="21600,21600" o:spt="202" path="m,l,21600r21600,l21600,xe">
              <v:stroke joinstyle="miter"/>
              <v:path gradientshapeok="t" o:connecttype="rect"/>
            </v:shapetype>
            <v:shape id="WordArt 17" o:spid="_x0000_s1028" type="#_x0000_t202" style="position:absolute;margin-left:0;margin-top:0;width:528.1pt;height:211.2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" o:allowincell="f" filled="f" stroked="f">
              <v:stroke joinstyle="round"/>
              <o:lock v:ext="edit" shapetype="t"/>
              <v:textbox style="mso-fit-shape-to-text:t">
                <w:txbxContent>
                  <w:p w14:paraId="3FA33337" w14:textId="77777777" w:rsidR="004C0B80" w:rsidRDefault="004C0B80" w:rsidP="0004756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67456" behindDoc="1" locked="0" layoutInCell="0" allowOverlap="1" wp14:anchorId="21593259" wp14:editId="75ED3993">
              <wp:simplePos x="0" y="0"/>
              <wp:positionH relativeFrom="margin">
                <wp:align>center</wp:align>
              </wp:positionH>
              <wp:positionV relativeFrom="margin">
                <wp:align>center</wp:align>
              </wp:positionV>
              <wp:extent cx="5314950" cy="2125980"/>
              <wp:effectExtent l="0" t="1438275" r="0" b="1169670"/>
              <wp:wrapNone/>
              <wp:docPr id="26"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14950" cy="2125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F5BC61" w14:textId="77777777" w:rsidR="004C0B80" w:rsidRDefault="004C0B80" w:rsidP="0004756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1593259" id="WordArt 15" o:spid="_x0000_s1029" type="#_x0000_t202" style="position:absolute;margin-left:0;margin-top:0;width:418.5pt;height:167.4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" o:allowincell="f" filled="f" stroked="f">
              <v:stroke joinstyle="round"/>
              <o:lock v:ext="edit" shapetype="t"/>
              <v:textbox style="mso-fit-shape-to-text:t">
                <w:txbxContent>
                  <w:p w14:paraId="12F5BC61" w14:textId="77777777" w:rsidR="004C0B80" w:rsidRDefault="004C0B80" w:rsidP="0004756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10639" w14:textId="21796AAC" w:rsidR="004C0B80" w:rsidRDefault="004C0B80" w:rsidP="00047560">
    <w:pPr>
      <w:pStyle w:val="Header"/>
    </w:pPr>
    <w:r>
      <w:rPr>
        <w:noProof/>
      </w:rPr>
      <mc:AlternateContent>
        <mc:Choice Requires="wps">
          <w:drawing>
            <wp:anchor distT="0" distB="0" distL="114300" distR="114300" simplePos="0" relativeHeight="251664384" behindDoc="0" locked="0" layoutInCell="1" allowOverlap="1" wp14:anchorId="69F0E70E" wp14:editId="59DCF620">
              <wp:simplePos x="0" y="0"/>
              <wp:positionH relativeFrom="column">
                <wp:posOffset>0</wp:posOffset>
              </wp:positionH>
              <wp:positionV relativeFrom="paragraph">
                <wp:posOffset>0</wp:posOffset>
              </wp:positionV>
              <wp:extent cx="5314950" cy="2125980"/>
              <wp:effectExtent l="0" t="0" r="0" b="0"/>
              <wp:wrapNone/>
              <wp:docPr id="7" name="WordArt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14950" cy="212598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DE02E75" id="_x0000_t202" coordsize="21600,21600" o:spt="202" path="m,l,21600r21600,l21600,xe">
              <v:stroke joinstyle="miter"/>
              <v:path gradientshapeok="t" o:connecttype="rect"/>
            </v:shapetype>
            <v:shape id="WordArt 81" o:spid="_x0000_s1026" type="#_x0000_t202" style="position:absolute;margin-left:0;margin-top:0;width:418.5pt;height:16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" filled="f" stroked="f">
              <o:lock v:ext="edit" text="t" shapetype="t"/>
            </v:shape>
          </w:pict>
        </mc:Fallback>
      </mc:AlternateContent>
    </w:r>
    <w:r>
      <w:rPr>
        <w:noProof/>
      </w:rPr>
      <mc:AlternateContent>
        <mc:Choice Requires="wps">
          <w:drawing>
            <wp:anchor distT="0" distB="0" distL="114300" distR="114300" simplePos="0" relativeHeight="251662336" behindDoc="1" locked="0" layoutInCell="0" allowOverlap="1" wp14:anchorId="0CDB1500" wp14:editId="4BC15FA4">
              <wp:simplePos x="0" y="0"/>
              <wp:positionH relativeFrom="margin">
                <wp:align>center</wp:align>
              </wp:positionH>
              <wp:positionV relativeFrom="margin">
                <wp:align>center</wp:align>
              </wp:positionV>
              <wp:extent cx="6706870" cy="2682240"/>
              <wp:effectExtent l="0" t="1819275" r="0" b="1470660"/>
              <wp:wrapNone/>
              <wp:docPr id="6"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6870" cy="26822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7211FB" w14:textId="77777777" w:rsidR="004C0B80" w:rsidRDefault="004C0B80" w:rsidP="0004756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DB1500" id="_x0000_t202" coordsize="21600,21600" o:spt="202" path="m,l,21600r21600,l21600,xe">
              <v:stroke joinstyle="miter"/>
              <v:path gradientshapeok="t" o:connecttype="rect"/>
            </v:shapetype>
            <v:shape id="_x0000_s1030" type="#_x0000_t202" style="position:absolute;margin-left:0;margin-top:0;width:528.1pt;height:211.2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" o:allowincell="f" filled="f" stroked="f">
              <v:stroke joinstyle="round"/>
              <o:lock v:ext="edit" shapetype="t"/>
              <v:textbox style="mso-fit-shape-to-text:t">
                <w:txbxContent>
                  <w:p w14:paraId="137211FB" w14:textId="77777777" w:rsidR="004C0B80" w:rsidRDefault="004C0B80" w:rsidP="0004756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60288" behindDoc="1" locked="0" layoutInCell="0" allowOverlap="1" wp14:anchorId="547EEAB9" wp14:editId="23FF9460">
              <wp:simplePos x="0" y="0"/>
              <wp:positionH relativeFrom="margin">
                <wp:align>center</wp:align>
              </wp:positionH>
              <wp:positionV relativeFrom="margin">
                <wp:align>center</wp:align>
              </wp:positionV>
              <wp:extent cx="5314950" cy="2125980"/>
              <wp:effectExtent l="0" t="1438275" r="0" b="1169670"/>
              <wp:wrapNone/>
              <wp:docPr id="5"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14950" cy="2125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C27E8D" w14:textId="77777777" w:rsidR="004C0B80" w:rsidRDefault="004C0B80" w:rsidP="0004756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7EEAB9" id="_x0000_s1031" type="#_x0000_t202" style="position:absolute;margin-left:0;margin-top:0;width:418.5pt;height:167.4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" o:allowincell="f" filled="f" stroked="f">
              <v:stroke joinstyle="round"/>
              <o:lock v:ext="edit" shapetype="t"/>
              <v:textbox style="mso-fit-shape-to-text:t">
                <w:txbxContent>
                  <w:p w14:paraId="1FC27E8D" w14:textId="77777777" w:rsidR="004C0B80" w:rsidRDefault="004C0B80" w:rsidP="0004756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A1B17" w14:textId="49FE1D61" w:rsidR="004C0B80" w:rsidRDefault="004C0B80" w:rsidP="00047560">
    <w:pPr>
      <w:pStyle w:val="Header"/>
    </w:pPr>
    <w:r>
      <w:rPr>
        <w:noProof/>
      </w:rPr>
      <mc:AlternateContent>
        <mc:Choice Requires="wps">
          <w:drawing>
            <wp:anchor distT="0" distB="0" distL="114300" distR="114300" simplePos="0" relativeHeight="251665408" behindDoc="0" locked="0" layoutInCell="1" allowOverlap="1" wp14:anchorId="5A04B647" wp14:editId="01D1B304">
              <wp:simplePos x="0" y="0"/>
              <wp:positionH relativeFrom="column">
                <wp:posOffset>0</wp:posOffset>
              </wp:positionH>
              <wp:positionV relativeFrom="paragraph">
                <wp:posOffset>0</wp:posOffset>
              </wp:positionV>
              <wp:extent cx="5314950" cy="2125980"/>
              <wp:effectExtent l="0" t="0" r="0" b="0"/>
              <wp:wrapNone/>
              <wp:docPr id="4" name="WordArt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14950" cy="212598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E51E4B" id="_x0000_t202" coordsize="21600,21600" o:spt="202" path="m,l,21600r21600,l21600,xe">
              <v:stroke joinstyle="miter"/>
              <v:path gradientshapeok="t" o:connecttype="rect"/>
            </v:shapetype>
            <v:shape id="WordArt 82" o:spid="_x0000_s1026" type="#_x0000_t202" style="position:absolute;margin-left:0;margin-top:0;width:418.5pt;height:16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" filled="f" stroked="f">
              <o:lock v:ext="edit" text="t" shapetype="t"/>
            </v:shape>
          </w:pict>
        </mc:Fallback>
      </mc:AlternateContent>
    </w:r>
  </w:p>
  <w:p w14:paraId="610DED1D" w14:textId="77777777" w:rsidR="004C0B80" w:rsidRDefault="004C0B80" w:rsidP="00047560">
    <w:pPr>
      <w:pStyle w:val="Header"/>
    </w:pPr>
  </w:p>
  <w:p w14:paraId="6E4E4E5E" w14:textId="77777777" w:rsidR="004C0B80" w:rsidRDefault="004C0B80" w:rsidP="00047560">
    <w:pPr>
      <w:pStyle w:val="Header"/>
    </w:pPr>
  </w:p>
  <w:p w14:paraId="4D216E60" w14:textId="77777777" w:rsidR="004C0B80" w:rsidRDefault="004C0B80" w:rsidP="00047560">
    <w:pPr>
      <w:pStyle w:val="Header"/>
    </w:pPr>
  </w:p>
  <w:p w14:paraId="16942707" w14:textId="77777777" w:rsidR="004C0B80" w:rsidRDefault="004C0B80" w:rsidP="00047560">
    <w:pPr>
      <w:pStyle w:val="Header"/>
    </w:pPr>
  </w:p>
  <w:p w14:paraId="4CA9FC54" w14:textId="77777777" w:rsidR="004C0B80" w:rsidRDefault="004C0B80" w:rsidP="00047560">
    <w:pPr>
      <w:pStyle w:val="Header"/>
    </w:pPr>
    <w:r>
      <w:t>STRATEGIC OVERVIEW</w:t>
    </w:r>
  </w:p>
  <w:p w14:paraId="3041F29E" w14:textId="77777777" w:rsidR="004C0B80" w:rsidRPr="00C271E0" w:rsidRDefault="004C0B80" w:rsidP="00047560">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173E4" w14:textId="212EF4FE" w:rsidR="004C0B80" w:rsidRDefault="004C0B80" w:rsidP="00047560">
    <w:pPr>
      <w:pStyle w:val="Header"/>
    </w:pPr>
    <w:r>
      <w:rPr>
        <w:noProof/>
      </w:rPr>
      <mc:AlternateContent>
        <mc:Choice Requires="wps">
          <w:drawing>
            <wp:anchor distT="0" distB="0" distL="114300" distR="114300" simplePos="0" relativeHeight="251663360" behindDoc="0" locked="0" layoutInCell="1" allowOverlap="1" wp14:anchorId="30FD66F6" wp14:editId="0463AC09">
              <wp:simplePos x="0" y="0"/>
              <wp:positionH relativeFrom="column">
                <wp:posOffset>0</wp:posOffset>
              </wp:positionH>
              <wp:positionV relativeFrom="paragraph">
                <wp:posOffset>0</wp:posOffset>
              </wp:positionV>
              <wp:extent cx="5314950" cy="2125980"/>
              <wp:effectExtent l="0" t="0" r="0" b="0"/>
              <wp:wrapNone/>
              <wp:docPr id="1" name="WordArt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14950" cy="212598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1CC5AE" id="_x0000_t202" coordsize="21600,21600" o:spt="202" path="m,l,21600r21600,l21600,xe">
              <v:stroke joinstyle="miter"/>
              <v:path gradientshapeok="t" o:connecttype="rect"/>
            </v:shapetype>
            <v:shape id="WordArt 80" o:spid="_x0000_s1026" type="#_x0000_t202" style="position:absolute;margin-left:0;margin-top:0;width:418.5pt;height:16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" filled="f" stroked="f">
              <o:lock v:ext="edit" text="t" shapetype="t"/>
            </v:shape>
          </w:pict>
        </mc:Fallback>
      </mc:AlternateContent>
    </w:r>
    <w:r>
      <w:rPr>
        <w:noProof/>
      </w:rPr>
      <mc:AlternateContent>
        <mc:Choice Requires="wps">
          <w:drawing>
            <wp:anchor distT="0" distB="0" distL="114300" distR="114300" simplePos="0" relativeHeight="251661312" behindDoc="1" locked="0" layoutInCell="0" allowOverlap="1" wp14:anchorId="7ECB7F60" wp14:editId="5FE28939">
              <wp:simplePos x="0" y="0"/>
              <wp:positionH relativeFrom="margin">
                <wp:align>center</wp:align>
              </wp:positionH>
              <wp:positionV relativeFrom="margin">
                <wp:align>center</wp:align>
              </wp:positionV>
              <wp:extent cx="6706870" cy="2682240"/>
              <wp:effectExtent l="0" t="1819275" r="0" b="1470660"/>
              <wp:wrapNone/>
              <wp:docPr id="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6870" cy="26822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34503D" w14:textId="77777777" w:rsidR="004C0B80" w:rsidRDefault="004C0B80" w:rsidP="0004756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ECB7F60" id="_x0000_t202" coordsize="21600,21600" o:spt="202" path="m,l,21600r21600,l21600,xe">
              <v:stroke joinstyle="miter"/>
              <v:path gradientshapeok="t" o:connecttype="rect"/>
            </v:shapetype>
            <v:shape id="_x0000_s1032" type="#_x0000_t202" style="position:absolute;margin-left:0;margin-top:0;width:528.1pt;height:211.2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" o:allowincell="f" filled="f" stroked="f">
              <v:stroke joinstyle="round"/>
              <o:lock v:ext="edit" shapetype="t"/>
              <v:textbox style="mso-fit-shape-to-text:t">
                <w:txbxContent>
                  <w:p w14:paraId="0534503D" w14:textId="77777777" w:rsidR="004C0B80" w:rsidRDefault="004C0B80" w:rsidP="0004756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9264" behindDoc="1" locked="0" layoutInCell="0" allowOverlap="1" wp14:anchorId="10B73995" wp14:editId="6028D5DB">
              <wp:simplePos x="0" y="0"/>
              <wp:positionH relativeFrom="margin">
                <wp:align>center</wp:align>
              </wp:positionH>
              <wp:positionV relativeFrom="margin">
                <wp:align>center</wp:align>
              </wp:positionV>
              <wp:extent cx="5314950" cy="2125980"/>
              <wp:effectExtent l="0" t="1438275" r="0" b="1169670"/>
              <wp:wrapNone/>
              <wp:docPr id="9"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14950" cy="2125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EDC33D" w14:textId="77777777" w:rsidR="004C0B80" w:rsidRDefault="004C0B80" w:rsidP="0004756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0B73995" id="_x0000_s1033" type="#_x0000_t202" style="position:absolute;margin-left:0;margin-top:0;width:418.5pt;height:167.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" o:allowincell="f" filled="f" stroked="f">
              <v:stroke joinstyle="round"/>
              <o:lock v:ext="edit" shapetype="t"/>
              <v:textbox style="mso-fit-shape-to-text:t">
                <w:txbxContent>
                  <w:p w14:paraId="12EDC33D" w14:textId="77777777" w:rsidR="004C0B80" w:rsidRDefault="004C0B80" w:rsidP="00047560">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94189" w14:textId="5A7A7A42" w:rsidR="004C0B80" w:rsidRDefault="004C0B80">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3E20A" w14:textId="27B111D7" w:rsidR="004C0B80" w:rsidRDefault="004C0B80" w:rsidP="00047560">
    <w:pPr>
      <w:pStyle w:val="Header"/>
    </w:pPr>
  </w:p>
  <w:p w14:paraId="57B39B8F" w14:textId="77777777" w:rsidR="004C0B80" w:rsidRDefault="004C0B80" w:rsidP="00047560">
    <w:pPr>
      <w:pStyle w:val="Header"/>
    </w:pPr>
  </w:p>
  <w:p w14:paraId="20639597" w14:textId="77777777" w:rsidR="004C0B80" w:rsidRDefault="004C0B80" w:rsidP="00047560">
    <w:pPr>
      <w:pStyle w:val="Header"/>
    </w:pPr>
  </w:p>
  <w:p w14:paraId="276E9720" w14:textId="77777777" w:rsidR="004C0B80" w:rsidRDefault="004C0B80" w:rsidP="00047560">
    <w:pPr>
      <w:pStyle w:val="Header"/>
    </w:pPr>
  </w:p>
  <w:p w14:paraId="58A87539" w14:textId="77777777" w:rsidR="004C0B80" w:rsidRDefault="004C0B80" w:rsidP="00047560">
    <w:pPr>
      <w:pStyle w:val="Header"/>
    </w:pPr>
  </w:p>
  <w:p w14:paraId="51A5FA4D" w14:textId="77777777" w:rsidR="004C0B80" w:rsidRDefault="004C0B80" w:rsidP="00047560">
    <w:pPr>
      <w:pStyle w:val="Header"/>
    </w:pPr>
    <w:r>
      <w:t>HOW THE FAMILY RESPONSIBILITIES</w:t>
    </w:r>
  </w:p>
  <w:p w14:paraId="678039B5" w14:textId="77777777" w:rsidR="004C0B80" w:rsidRPr="00CE21A3" w:rsidRDefault="004C0B80" w:rsidP="00047560">
    <w:pPr>
      <w:pStyle w:val="Header"/>
    </w:pPr>
    <w:r>
      <w:t>COMMISSION WORKS</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6DF80" w14:textId="34B9E45C" w:rsidR="004C0B80" w:rsidRDefault="004C0B80">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2ACB3" w14:textId="3BE37005" w:rsidR="004C0B80" w:rsidRDefault="004C0B80">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85197" w14:textId="1F4D4829" w:rsidR="004C0B80" w:rsidRPr="00CE21A3" w:rsidRDefault="004C0B80" w:rsidP="00047560">
    <w:pPr>
      <w:pStyle w:val="Header"/>
    </w:pPr>
    <w:r>
      <w:t>THE COMMISSION – WHO MAKES UP THE COMMISSION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CDE5E" w14:textId="3BE1E807" w:rsidR="004C0B80" w:rsidRDefault="004C0B80">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5A999" w14:textId="4F06331B" w:rsidR="004C0B80" w:rsidRDefault="004C0B80">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831AC" w14:textId="17BC23F8" w:rsidR="004C0B80" w:rsidRDefault="004C0B80">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EA6FB" w14:textId="27BCA7E7" w:rsidR="004C0B80" w:rsidRDefault="004C0B80" w:rsidP="00047560">
    <w:pPr>
      <w:pStyle w:val="Header"/>
    </w:pPr>
  </w:p>
  <w:p w14:paraId="5688C852" w14:textId="77777777" w:rsidR="004C0B80" w:rsidRDefault="004C0B80" w:rsidP="00047560">
    <w:pPr>
      <w:pStyle w:val="Header"/>
    </w:pPr>
  </w:p>
  <w:p w14:paraId="5879C329" w14:textId="77777777" w:rsidR="004C0B80" w:rsidRDefault="004C0B80" w:rsidP="00047560">
    <w:pPr>
      <w:pStyle w:val="Header"/>
    </w:pPr>
  </w:p>
  <w:p w14:paraId="5240DFC6" w14:textId="77777777" w:rsidR="004C0B80" w:rsidRDefault="004C0B80" w:rsidP="00047560">
    <w:pPr>
      <w:pStyle w:val="Header"/>
    </w:pPr>
  </w:p>
  <w:p w14:paraId="1DD58DA4" w14:textId="77777777" w:rsidR="004C0B80" w:rsidRDefault="004C0B80" w:rsidP="00047560">
    <w:pPr>
      <w:pStyle w:val="Header"/>
    </w:pPr>
  </w:p>
  <w:p w14:paraId="24A796D6" w14:textId="346703D8" w:rsidR="004C0B80" w:rsidRDefault="004C0B80" w:rsidP="007A2E57">
    <w:pPr>
      <w:pStyle w:val="Header"/>
    </w:pPr>
    <w:r>
      <w:t>CLIENT PROFILE</w:t>
    </w:r>
  </w:p>
  <w:p w14:paraId="4C524371" w14:textId="77777777" w:rsidR="004C0B80" w:rsidRPr="00CE21A3" w:rsidRDefault="004C0B80" w:rsidP="007A2E57">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6E985" w14:textId="72D60649" w:rsidR="004C0B80" w:rsidRDefault="004C0B80">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B3D86" w14:textId="1879B54D" w:rsidR="004C0B80" w:rsidRDefault="004C0B80">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F592D" w14:textId="102D06C5" w:rsidR="004C0B80" w:rsidRDefault="004C0B80" w:rsidP="00066DE4">
    <w:pPr>
      <w:pStyle w:val="Header"/>
    </w:pPr>
  </w:p>
  <w:p w14:paraId="749CFFC4" w14:textId="77777777" w:rsidR="004C0B80" w:rsidRDefault="004C0B80" w:rsidP="00066DE4">
    <w:pPr>
      <w:pStyle w:val="Header"/>
    </w:pPr>
  </w:p>
  <w:p w14:paraId="460CFC1D" w14:textId="77777777" w:rsidR="004C0B80" w:rsidRDefault="004C0B80" w:rsidP="00066DE4">
    <w:pPr>
      <w:pStyle w:val="Header"/>
    </w:pPr>
  </w:p>
  <w:p w14:paraId="7B30AC63" w14:textId="77777777" w:rsidR="004C0B80" w:rsidRDefault="004C0B80" w:rsidP="00066DE4">
    <w:pPr>
      <w:pStyle w:val="Header"/>
    </w:pPr>
  </w:p>
  <w:p w14:paraId="15525997" w14:textId="77777777" w:rsidR="004C0B80" w:rsidRDefault="004C0B80" w:rsidP="00066DE4">
    <w:pPr>
      <w:pStyle w:val="Header"/>
    </w:pPr>
  </w:p>
  <w:p w14:paraId="1343A0A5" w14:textId="77777777" w:rsidR="004C0B80" w:rsidRDefault="004C0B80" w:rsidP="00066DE4">
    <w:pPr>
      <w:pStyle w:val="Header"/>
    </w:pPr>
    <w:r>
      <w:t xml:space="preserve">LOCAL COMMISSIONERS’ </w:t>
    </w:r>
  </w:p>
  <w:p w14:paraId="2476828E" w14:textId="77777777" w:rsidR="004C0B80" w:rsidRPr="00CE21A3" w:rsidRDefault="004C0B80" w:rsidP="00066DE4">
    <w:pPr>
      <w:pStyle w:val="Header"/>
    </w:pPr>
    <w:r>
      <w:t>YEAR IN REVIEW</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49ABE" w14:textId="0B821559" w:rsidR="004C0B80" w:rsidRDefault="004C0B80">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9D38D" w14:textId="28582608" w:rsidR="004C0B80" w:rsidRDefault="004C0B80">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3F14D" w14:textId="58B7D25A" w:rsidR="004C0B80" w:rsidRPr="00297694" w:rsidRDefault="004C0B80" w:rsidP="00066DE4">
    <w:pPr>
      <w:pStyle w:val="Header"/>
    </w:pPr>
  </w:p>
  <w:p w14:paraId="41ECDA55" w14:textId="77777777" w:rsidR="004C0B80" w:rsidRPr="00297694" w:rsidRDefault="004C0B80" w:rsidP="00066DE4">
    <w:pPr>
      <w:pStyle w:val="Header"/>
    </w:pPr>
  </w:p>
  <w:p w14:paraId="3680D408" w14:textId="77777777" w:rsidR="004C0B80" w:rsidRPr="00297694" w:rsidRDefault="004C0B80" w:rsidP="00066DE4">
    <w:pPr>
      <w:pStyle w:val="Header"/>
    </w:pPr>
  </w:p>
  <w:p w14:paraId="075318FE" w14:textId="77777777" w:rsidR="004C0B80" w:rsidRPr="00297694" w:rsidRDefault="004C0B80" w:rsidP="00066DE4">
    <w:pPr>
      <w:pStyle w:val="Header"/>
    </w:pPr>
  </w:p>
  <w:p w14:paraId="19F272D6" w14:textId="77777777" w:rsidR="004C0B80" w:rsidRPr="00297694" w:rsidRDefault="004C0B80" w:rsidP="00066DE4">
    <w:pPr>
      <w:pStyle w:val="Header"/>
    </w:pPr>
  </w:p>
  <w:p w14:paraId="052C35D1" w14:textId="77777777" w:rsidR="004C0B80" w:rsidRPr="00297694" w:rsidRDefault="004C0B80" w:rsidP="00066DE4">
    <w:pPr>
      <w:pStyle w:val="Header"/>
    </w:pPr>
    <w:r>
      <w:t>DEPUTY COMMISSIONER</w:t>
    </w:r>
  </w:p>
  <w:p w14:paraId="0C193DA3" w14:textId="77777777" w:rsidR="004C0B80" w:rsidRPr="00297694" w:rsidRDefault="004C0B80" w:rsidP="00066DE4">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1798A" w14:textId="2A696518" w:rsidR="004C0B80" w:rsidRDefault="004C0B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B3C75" w14:textId="4072D734" w:rsidR="004C0B80" w:rsidRDefault="004C0B80">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7CB9D" w14:textId="6B60FC15" w:rsidR="004C0B80" w:rsidRDefault="004C0B80">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5C63B" w14:textId="02B3A2A0" w:rsidR="004C0B80" w:rsidRDefault="004C0B80" w:rsidP="00066DE4">
    <w:pPr>
      <w:pStyle w:val="Header"/>
    </w:pPr>
  </w:p>
  <w:p w14:paraId="0912B4DB" w14:textId="77777777" w:rsidR="004C0B80" w:rsidRDefault="004C0B80" w:rsidP="00066DE4">
    <w:pPr>
      <w:pStyle w:val="Header"/>
    </w:pPr>
  </w:p>
  <w:p w14:paraId="2DB0ECDB" w14:textId="77777777" w:rsidR="004C0B80" w:rsidRDefault="004C0B80" w:rsidP="00066DE4">
    <w:pPr>
      <w:pStyle w:val="Header"/>
    </w:pPr>
  </w:p>
  <w:p w14:paraId="777B6958" w14:textId="77777777" w:rsidR="004C0B80" w:rsidRDefault="004C0B80" w:rsidP="00066DE4">
    <w:pPr>
      <w:pStyle w:val="Header"/>
    </w:pPr>
  </w:p>
  <w:p w14:paraId="5485425D" w14:textId="77777777" w:rsidR="004C0B80" w:rsidRDefault="004C0B80" w:rsidP="00066DE4">
    <w:pPr>
      <w:pStyle w:val="Header"/>
    </w:pPr>
  </w:p>
  <w:p w14:paraId="174FCB1F" w14:textId="77777777" w:rsidR="004C0B80" w:rsidRDefault="004C0B80" w:rsidP="00066DE4">
    <w:pPr>
      <w:pStyle w:val="Header"/>
    </w:pPr>
    <w:r>
      <w:t>REGISTRAR’S</w:t>
    </w:r>
  </w:p>
  <w:p w14:paraId="6B3015DD" w14:textId="77777777" w:rsidR="004C0B80" w:rsidRPr="00CE21A3" w:rsidRDefault="004C0B80" w:rsidP="00066DE4">
    <w:pPr>
      <w:pStyle w:val="Header"/>
    </w:pPr>
    <w:r>
      <w:t>YEAR IN REVIEW</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06214" w14:textId="1F0DB18C" w:rsidR="004C0B80" w:rsidRDefault="004C0B80">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61CAA" w14:textId="044A7650" w:rsidR="004C0B80" w:rsidRDefault="004C0B80">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FD36" w14:textId="37A99A9A" w:rsidR="004C0B80" w:rsidRDefault="004C0B80" w:rsidP="00E4245D">
    <w:pPr>
      <w:pStyle w:val="Header"/>
    </w:pPr>
  </w:p>
  <w:p w14:paraId="1393D2D1" w14:textId="77777777" w:rsidR="004C0B80" w:rsidRDefault="004C0B80" w:rsidP="00E4245D">
    <w:pPr>
      <w:pStyle w:val="Header"/>
    </w:pPr>
  </w:p>
  <w:p w14:paraId="290B595E" w14:textId="77777777" w:rsidR="004C0B80" w:rsidRDefault="004C0B80" w:rsidP="00E4245D">
    <w:pPr>
      <w:pStyle w:val="Header"/>
    </w:pPr>
  </w:p>
  <w:p w14:paraId="337042E4" w14:textId="77777777" w:rsidR="004C0B80" w:rsidRDefault="004C0B80" w:rsidP="00E4245D">
    <w:pPr>
      <w:pStyle w:val="Header"/>
    </w:pPr>
  </w:p>
  <w:p w14:paraId="74C2F333" w14:textId="77777777" w:rsidR="004C0B80" w:rsidRDefault="004C0B80" w:rsidP="00E4245D">
    <w:pPr>
      <w:pStyle w:val="Header"/>
    </w:pPr>
  </w:p>
  <w:p w14:paraId="75F8EB94" w14:textId="77777777" w:rsidR="004C0B80" w:rsidRDefault="004C0B80" w:rsidP="00E4245D">
    <w:pPr>
      <w:pStyle w:val="Header"/>
    </w:pPr>
    <w:r>
      <w:t>LOCAL COMMISSIONER</w:t>
    </w:r>
  </w:p>
  <w:p w14:paraId="697276F0" w14:textId="77777777" w:rsidR="004C0B80" w:rsidRPr="00E4245D" w:rsidRDefault="004C0B80" w:rsidP="00E4245D">
    <w:pPr>
      <w:pStyle w:val="Header"/>
    </w:pPr>
    <w:r>
      <w:t>DEVELOPMENT WEEK</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5979D" w14:textId="4072844E" w:rsidR="004C0B80" w:rsidRDefault="004C0B80">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626E3" w14:textId="1D6FF1A0" w:rsidR="004C0B80" w:rsidRDefault="004C0B80">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5E1F6" w14:textId="6A9544F1" w:rsidR="004C0B80" w:rsidRDefault="004C0B80" w:rsidP="00066DE4">
    <w:pPr>
      <w:pStyle w:val="Header"/>
    </w:pPr>
  </w:p>
  <w:p w14:paraId="54EA6E83" w14:textId="77777777" w:rsidR="004C0B80" w:rsidRDefault="004C0B80" w:rsidP="00636F42">
    <w:pPr>
      <w:pStyle w:val="Header"/>
    </w:pPr>
  </w:p>
  <w:p w14:paraId="409E70C1" w14:textId="77777777" w:rsidR="004C0B80" w:rsidRDefault="004C0B80" w:rsidP="00636F42">
    <w:pPr>
      <w:pStyle w:val="Header"/>
    </w:pPr>
  </w:p>
  <w:p w14:paraId="19587BCD" w14:textId="77777777" w:rsidR="004C0B80" w:rsidRDefault="004C0B80" w:rsidP="00636F42">
    <w:pPr>
      <w:pStyle w:val="Header"/>
    </w:pPr>
  </w:p>
  <w:p w14:paraId="72921939" w14:textId="77777777" w:rsidR="004C0B80" w:rsidRDefault="004C0B80" w:rsidP="00636F42">
    <w:pPr>
      <w:pStyle w:val="Header"/>
    </w:pPr>
  </w:p>
  <w:p w14:paraId="69DE90EC" w14:textId="77777777" w:rsidR="004C0B80" w:rsidRDefault="004C0B80" w:rsidP="00636F42">
    <w:pPr>
      <w:pStyle w:val="Header"/>
    </w:pPr>
    <w:r>
      <w:t>OUR PERFORMANCE –</w:t>
    </w:r>
  </w:p>
  <w:p w14:paraId="1A6A9942" w14:textId="77777777" w:rsidR="004C0B80" w:rsidRPr="00CE21A3" w:rsidRDefault="004C0B80" w:rsidP="00636F42">
    <w:pPr>
      <w:pStyle w:val="Header"/>
    </w:pPr>
    <w:r>
      <w:t>REVIEW OF OPERATIONS</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7247C" w14:textId="009CE0FD" w:rsidR="004C0B80" w:rsidRDefault="004C0B80">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CB330" w14:textId="77777777" w:rsidR="004C0B80" w:rsidRDefault="004C0B80" w:rsidP="00703AF9">
    <w:pPr>
      <w:pStyle w:val="Header"/>
    </w:pPr>
    <w:r>
      <w:rPr>
        <w:noProof/>
      </w:rPr>
      <mc:AlternateContent>
        <mc:Choice Requires="wps">
          <w:drawing>
            <wp:anchor distT="0" distB="0" distL="114300" distR="114300" simplePos="0" relativeHeight="251863040" behindDoc="0" locked="0" layoutInCell="1" allowOverlap="1" wp14:anchorId="2EF0513B" wp14:editId="54691608">
              <wp:simplePos x="0" y="0"/>
              <wp:positionH relativeFrom="column">
                <wp:posOffset>0</wp:posOffset>
              </wp:positionH>
              <wp:positionV relativeFrom="paragraph">
                <wp:posOffset>0</wp:posOffset>
              </wp:positionV>
              <wp:extent cx="5314950" cy="2125980"/>
              <wp:effectExtent l="0" t="0" r="0" b="0"/>
              <wp:wrapNone/>
              <wp:docPr id="13" name="WordArt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14950" cy="212598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02D6D02" id="_x0000_t202" coordsize="21600,21600" o:spt="202" path="m,l,21600r21600,l21600,xe">
              <v:stroke joinstyle="miter"/>
              <v:path gradientshapeok="t" o:connecttype="rect"/>
            </v:shapetype>
            <v:shape id="WordArt 114" o:spid="_x0000_s1026" type="#_x0000_t202" style="position:absolute;margin-left:0;margin-top:0;width:418.5pt;height:167.4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" filled="f" stroked="f">
              <o:lock v:ext="edit" text="t" shapetype="t"/>
            </v:shape>
          </w:pict>
        </mc:Fallback>
      </mc:AlternateContent>
    </w:r>
    <w:r>
      <w:rPr>
        <w:noProof/>
        <w:lang w:val="en-AU" w:eastAsia="en-AU"/>
      </w:rPr>
      <mc:AlternateContent>
        <mc:Choice Requires="wps">
          <w:drawing>
            <wp:anchor distT="0" distB="0" distL="114300" distR="114300" simplePos="0" relativeHeight="251860992" behindDoc="1" locked="0" layoutInCell="0" allowOverlap="1" wp14:anchorId="5E7F0353" wp14:editId="49AF7FDD">
              <wp:simplePos x="0" y="0"/>
              <wp:positionH relativeFrom="margin">
                <wp:align>center</wp:align>
              </wp:positionH>
              <wp:positionV relativeFrom="margin">
                <wp:align>center</wp:align>
              </wp:positionV>
              <wp:extent cx="6706870" cy="2682240"/>
              <wp:effectExtent l="0" t="1819275" r="0" b="1470660"/>
              <wp:wrapNone/>
              <wp:docPr id="18" name="WordArt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6870" cy="26822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047B0B" w14:textId="77777777" w:rsidR="004C0B80" w:rsidRDefault="004C0B80" w:rsidP="00703AF9">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E7F0353" id="_x0000_t202" coordsize="21600,21600" o:spt="202" path="m,l,21600r21600,l21600,xe">
              <v:stroke joinstyle="miter"/>
              <v:path gradientshapeok="t" o:connecttype="rect"/>
            </v:shapetype>
            <v:shape id="WordArt 300" o:spid="_x0000_s1034" type="#_x0000_t202" style="position:absolute;margin-left:0;margin-top:0;width:528.1pt;height:211.2pt;rotation:-45;z-index:-2514554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" o:allowincell="f" filled="f" stroked="f">
              <v:stroke joinstyle="round"/>
              <o:lock v:ext="edit" shapetype="t"/>
              <v:textbox style="mso-fit-shape-to-text:t">
                <w:txbxContent>
                  <w:p w14:paraId="7B047B0B" w14:textId="77777777" w:rsidR="004C0B80" w:rsidRDefault="004C0B80" w:rsidP="00703AF9">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lang w:val="en-AU" w:eastAsia="en-AU"/>
      </w:rPr>
      <mc:AlternateContent>
        <mc:Choice Requires="wps">
          <w:drawing>
            <wp:anchor distT="0" distB="0" distL="114300" distR="114300" simplePos="0" relativeHeight="251858944" behindDoc="1" locked="0" layoutInCell="0" allowOverlap="1" wp14:anchorId="6CC90CA9" wp14:editId="77F7A541">
              <wp:simplePos x="0" y="0"/>
              <wp:positionH relativeFrom="margin">
                <wp:align>center</wp:align>
              </wp:positionH>
              <wp:positionV relativeFrom="margin">
                <wp:align>center</wp:align>
              </wp:positionV>
              <wp:extent cx="5314950" cy="2125980"/>
              <wp:effectExtent l="0" t="1438275" r="0" b="1169670"/>
              <wp:wrapNone/>
              <wp:docPr id="19" name="WordArt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14950" cy="2125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6C8B1E" w14:textId="77777777" w:rsidR="004C0B80" w:rsidRDefault="004C0B80" w:rsidP="00703AF9">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CC90CA9" id="WordArt 298" o:spid="_x0000_s1035" type="#_x0000_t202" style="position:absolute;margin-left:0;margin-top:0;width:418.5pt;height:167.4pt;rotation:-45;z-index:-2514575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" o:allowincell="f" filled="f" stroked="f">
              <v:stroke joinstyle="round"/>
              <o:lock v:ext="edit" shapetype="t"/>
              <v:textbox style="mso-fit-shape-to-text:t">
                <w:txbxContent>
                  <w:p w14:paraId="476C8B1E" w14:textId="77777777" w:rsidR="004C0B80" w:rsidRDefault="004C0B80" w:rsidP="00703AF9">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66DF5" w14:textId="10B6ABA7" w:rsidR="004C0B80" w:rsidRPr="00CE21A3" w:rsidRDefault="004C0B80" w:rsidP="00047560">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B0590" w14:textId="77777777" w:rsidR="004C0B80" w:rsidRDefault="004C0B80" w:rsidP="00703AF9">
    <w:pPr>
      <w:pStyle w:val="Header"/>
    </w:pPr>
    <w:r>
      <w:rPr>
        <w:noProof/>
      </w:rPr>
      <mc:AlternateContent>
        <mc:Choice Requires="wps">
          <w:drawing>
            <wp:anchor distT="0" distB="0" distL="114300" distR="114300" simplePos="0" relativeHeight="251864064" behindDoc="0" locked="0" layoutInCell="1" allowOverlap="1" wp14:anchorId="728BA42C" wp14:editId="72262C09">
              <wp:simplePos x="0" y="0"/>
              <wp:positionH relativeFrom="column">
                <wp:posOffset>0</wp:posOffset>
              </wp:positionH>
              <wp:positionV relativeFrom="paragraph">
                <wp:posOffset>0</wp:posOffset>
              </wp:positionV>
              <wp:extent cx="5314950" cy="2125980"/>
              <wp:effectExtent l="0" t="0" r="0" b="0"/>
              <wp:wrapNone/>
              <wp:docPr id="41" name="WordArt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14950" cy="212598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FC3232" id="_x0000_t202" coordsize="21600,21600" o:spt="202" path="m,l,21600r21600,l21600,xe">
              <v:stroke joinstyle="miter"/>
              <v:path gradientshapeok="t" o:connecttype="rect"/>
            </v:shapetype>
            <v:shape id="WordArt 115" o:spid="_x0000_s1026" type="#_x0000_t202" style="position:absolute;margin-left:0;margin-top:0;width:418.5pt;height:167.4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" filled="f" stroked="f">
              <o:lock v:ext="edit" text="t" shapetype="t"/>
            </v:shape>
          </w:pict>
        </mc:Fallback>
      </mc:AlternateContent>
    </w:r>
  </w:p>
  <w:p w14:paraId="4BE120E1" w14:textId="77777777" w:rsidR="004C0B80" w:rsidRDefault="004C0B80" w:rsidP="00703AF9">
    <w:pPr>
      <w:pStyle w:val="Header"/>
    </w:pPr>
  </w:p>
  <w:p w14:paraId="16B74117" w14:textId="77777777" w:rsidR="004C0B80" w:rsidRDefault="004C0B80" w:rsidP="00703AF9">
    <w:pPr>
      <w:pStyle w:val="Header"/>
    </w:pPr>
  </w:p>
  <w:p w14:paraId="0F48D1AC" w14:textId="77777777" w:rsidR="004C0B80" w:rsidRDefault="004C0B80" w:rsidP="00703AF9">
    <w:pPr>
      <w:pStyle w:val="Header"/>
    </w:pPr>
  </w:p>
  <w:p w14:paraId="77A05D71" w14:textId="77777777" w:rsidR="004C0B80" w:rsidRDefault="004C0B80" w:rsidP="00703AF9">
    <w:pPr>
      <w:pStyle w:val="Header"/>
    </w:pPr>
  </w:p>
  <w:p w14:paraId="5E2DAD76" w14:textId="77777777" w:rsidR="004C0B80" w:rsidRDefault="004C0B80" w:rsidP="00703AF9">
    <w:pPr>
      <w:pStyle w:val="Header"/>
    </w:pPr>
    <w:r>
      <w:t>OUR PERFORMANCE –</w:t>
    </w:r>
  </w:p>
  <w:p w14:paraId="196479FC" w14:textId="77777777" w:rsidR="004C0B80" w:rsidRDefault="004C0B80" w:rsidP="00703AF9">
    <w:pPr>
      <w:pStyle w:val="Header"/>
    </w:pPr>
    <w:r>
      <w:t>REVIEW OF OPERATIONS</w:t>
    </w:r>
  </w:p>
  <w:p w14:paraId="3EA88486" w14:textId="77777777" w:rsidR="004C0B80" w:rsidRPr="00F8787A" w:rsidRDefault="004C0B80" w:rsidP="00703AF9">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E0356" w14:textId="77777777" w:rsidR="004C0B80" w:rsidRDefault="004C0B80" w:rsidP="00703AF9">
    <w:pPr>
      <w:pStyle w:val="Header"/>
    </w:pPr>
    <w:r>
      <w:rPr>
        <w:noProof/>
      </w:rPr>
      <mc:AlternateContent>
        <mc:Choice Requires="wps">
          <w:drawing>
            <wp:anchor distT="0" distB="0" distL="114300" distR="114300" simplePos="0" relativeHeight="251862016" behindDoc="0" locked="0" layoutInCell="1" allowOverlap="1" wp14:anchorId="3D743F72" wp14:editId="2FB2BABA">
              <wp:simplePos x="0" y="0"/>
              <wp:positionH relativeFrom="column">
                <wp:posOffset>0</wp:posOffset>
              </wp:positionH>
              <wp:positionV relativeFrom="paragraph">
                <wp:posOffset>0</wp:posOffset>
              </wp:positionV>
              <wp:extent cx="5314950" cy="2125980"/>
              <wp:effectExtent l="0" t="0" r="0" b="0"/>
              <wp:wrapNone/>
              <wp:docPr id="46" name="WordArt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14950" cy="212598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8985282" id="_x0000_t202" coordsize="21600,21600" o:spt="202" path="m,l,21600r21600,l21600,xe">
              <v:stroke joinstyle="miter"/>
              <v:path gradientshapeok="t" o:connecttype="rect"/>
            </v:shapetype>
            <v:shape id="WordArt 113" o:spid="_x0000_s1026" type="#_x0000_t202" style="position:absolute;margin-left:0;margin-top:0;width:418.5pt;height:167.4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" filled="f" stroked="f">
              <o:lock v:ext="edit" text="t" shapetype="t"/>
            </v:shape>
          </w:pict>
        </mc:Fallback>
      </mc:AlternateContent>
    </w:r>
    <w:r>
      <w:rPr>
        <w:noProof/>
        <w:lang w:val="en-AU" w:eastAsia="en-AU"/>
      </w:rPr>
      <mc:AlternateContent>
        <mc:Choice Requires="wps">
          <w:drawing>
            <wp:anchor distT="0" distB="0" distL="114300" distR="114300" simplePos="0" relativeHeight="251859968" behindDoc="1" locked="0" layoutInCell="0" allowOverlap="1" wp14:anchorId="76B241E4" wp14:editId="2F96BD3E">
              <wp:simplePos x="0" y="0"/>
              <wp:positionH relativeFrom="margin">
                <wp:align>center</wp:align>
              </wp:positionH>
              <wp:positionV relativeFrom="margin">
                <wp:align>center</wp:align>
              </wp:positionV>
              <wp:extent cx="6706870" cy="2682240"/>
              <wp:effectExtent l="0" t="1819275" r="0" b="1470660"/>
              <wp:wrapNone/>
              <wp:docPr id="47" name="WordArt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6870" cy="26822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CB7A6A" w14:textId="77777777" w:rsidR="004C0B80" w:rsidRDefault="004C0B80" w:rsidP="00703AF9">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6B241E4" id="_x0000_t202" coordsize="21600,21600" o:spt="202" path="m,l,21600r21600,l21600,xe">
              <v:stroke joinstyle="miter"/>
              <v:path gradientshapeok="t" o:connecttype="rect"/>
            </v:shapetype>
            <v:shape id="WordArt 299" o:spid="_x0000_s1036" type="#_x0000_t202" style="position:absolute;margin-left:0;margin-top:0;width:528.1pt;height:211.2pt;rotation:-45;z-index:-2514565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" o:allowincell="f" filled="f" stroked="f">
              <v:stroke joinstyle="round"/>
              <o:lock v:ext="edit" shapetype="t"/>
              <v:textbox style="mso-fit-shape-to-text:t">
                <w:txbxContent>
                  <w:p w14:paraId="6FCB7A6A" w14:textId="77777777" w:rsidR="004C0B80" w:rsidRDefault="004C0B80" w:rsidP="00703AF9">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lang w:val="en-AU" w:eastAsia="en-AU"/>
      </w:rPr>
      <mc:AlternateContent>
        <mc:Choice Requires="wps">
          <w:drawing>
            <wp:anchor distT="0" distB="0" distL="114300" distR="114300" simplePos="0" relativeHeight="251857920" behindDoc="1" locked="0" layoutInCell="0" allowOverlap="1" wp14:anchorId="44E6BF47" wp14:editId="6344D2C5">
              <wp:simplePos x="0" y="0"/>
              <wp:positionH relativeFrom="margin">
                <wp:align>center</wp:align>
              </wp:positionH>
              <wp:positionV relativeFrom="margin">
                <wp:align>center</wp:align>
              </wp:positionV>
              <wp:extent cx="5314950" cy="2125980"/>
              <wp:effectExtent l="0" t="1438275" r="0" b="1169670"/>
              <wp:wrapNone/>
              <wp:docPr id="48" name="WordArt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14950" cy="2125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7D0212" w14:textId="77777777" w:rsidR="004C0B80" w:rsidRDefault="004C0B80" w:rsidP="00703AF9">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4E6BF47" id="WordArt 297" o:spid="_x0000_s1037" type="#_x0000_t202" style="position:absolute;margin-left:0;margin-top:0;width:418.5pt;height:167.4pt;rotation:-45;z-index:-2514585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" o:allowincell="f" filled="f" stroked="f">
              <v:stroke joinstyle="round"/>
              <o:lock v:ext="edit" shapetype="t"/>
              <v:textbox style="mso-fit-shape-to-text:t">
                <w:txbxContent>
                  <w:p w14:paraId="437D0212" w14:textId="77777777" w:rsidR="004C0B80" w:rsidRDefault="004C0B80" w:rsidP="00703AF9">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FADCB" w14:textId="5FD792CF" w:rsidR="004C0B80" w:rsidRDefault="004C0B80">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1DA0D" w14:textId="6C27FB05" w:rsidR="004C0B80" w:rsidRDefault="004C0B80" w:rsidP="00066DE4">
    <w:pPr>
      <w:pStyle w:val="Header"/>
    </w:pPr>
  </w:p>
  <w:p w14:paraId="6B771351" w14:textId="77777777" w:rsidR="004C0B80" w:rsidRDefault="004C0B80" w:rsidP="00066DE4">
    <w:pPr>
      <w:pStyle w:val="Header"/>
    </w:pPr>
  </w:p>
  <w:p w14:paraId="522CE829" w14:textId="77777777" w:rsidR="004C0B80" w:rsidRDefault="004C0B80" w:rsidP="00066DE4">
    <w:pPr>
      <w:pStyle w:val="Header"/>
    </w:pPr>
  </w:p>
  <w:p w14:paraId="1FD34FBA" w14:textId="77777777" w:rsidR="004C0B80" w:rsidRDefault="004C0B80" w:rsidP="00066DE4">
    <w:pPr>
      <w:pStyle w:val="Header"/>
    </w:pPr>
  </w:p>
  <w:p w14:paraId="08A65C74" w14:textId="77777777" w:rsidR="004C0B80" w:rsidRDefault="004C0B80" w:rsidP="00066DE4">
    <w:pPr>
      <w:pStyle w:val="Header"/>
    </w:pPr>
  </w:p>
  <w:p w14:paraId="2D4A159B" w14:textId="16FD0934" w:rsidR="004C0B80" w:rsidRPr="00314E9F" w:rsidRDefault="004C0B80" w:rsidP="00066DE4">
    <w:pPr>
      <w:pStyle w:val="Header"/>
    </w:pPr>
    <w:r>
      <w:t>INCOME MANAGEMENT MODELS</w:t>
    </w:r>
  </w:p>
  <w:p w14:paraId="0E2BA677" w14:textId="77777777" w:rsidR="004C0B80" w:rsidRPr="00F95658" w:rsidRDefault="004C0B80" w:rsidP="00066DE4">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3C324" w14:textId="7B82B145" w:rsidR="004C0B80" w:rsidRDefault="004C0B80">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A5C14" w14:textId="7F2F19FE" w:rsidR="004C0B80" w:rsidRDefault="004C0B80" w:rsidP="00066DE4">
    <w:pPr>
      <w:pStyle w:val="Header"/>
    </w:pPr>
  </w:p>
  <w:p w14:paraId="2D5B3260" w14:textId="77777777" w:rsidR="004C0B80" w:rsidRDefault="004C0B80" w:rsidP="00066DE4">
    <w:pPr>
      <w:pStyle w:val="Header"/>
    </w:pPr>
  </w:p>
  <w:p w14:paraId="1EA84ED0" w14:textId="77777777" w:rsidR="004C0B80" w:rsidRDefault="004C0B80" w:rsidP="00066DE4">
    <w:pPr>
      <w:pStyle w:val="Header"/>
    </w:pPr>
  </w:p>
  <w:p w14:paraId="39E45568" w14:textId="77777777" w:rsidR="004C0B80" w:rsidRDefault="004C0B80" w:rsidP="00066DE4">
    <w:pPr>
      <w:pStyle w:val="Header"/>
    </w:pPr>
  </w:p>
  <w:p w14:paraId="07AD5A71" w14:textId="77777777" w:rsidR="004C0B80" w:rsidRDefault="004C0B80" w:rsidP="00066DE4">
    <w:pPr>
      <w:pStyle w:val="Header"/>
    </w:pPr>
  </w:p>
  <w:p w14:paraId="2073447E" w14:textId="77777777" w:rsidR="004C0B80" w:rsidRDefault="004C0B80" w:rsidP="00066DE4">
    <w:pPr>
      <w:pStyle w:val="Header"/>
    </w:pPr>
    <w:r>
      <w:t>CHALLENGES</w:t>
    </w:r>
  </w:p>
  <w:p w14:paraId="01176C65" w14:textId="77777777" w:rsidR="004C0B80" w:rsidRPr="00314E9F" w:rsidRDefault="004C0B80" w:rsidP="00066DE4">
    <w:pPr>
      <w:pStyle w:val="Header"/>
    </w:pPr>
    <w:r>
      <w:t>AND OUTLOOK</w:t>
    </w:r>
  </w:p>
  <w:p w14:paraId="7AA61144" w14:textId="77777777" w:rsidR="004C0B80" w:rsidRPr="00F95658" w:rsidRDefault="004C0B80" w:rsidP="00066DE4">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583AD" w14:textId="2AB02DA3" w:rsidR="004C0B80" w:rsidRDefault="004C0B80">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A349B" w14:textId="43D38933" w:rsidR="004C0B80" w:rsidRDefault="004C0B80" w:rsidP="00066DE4">
    <w:pPr>
      <w:pStyle w:val="Header"/>
    </w:pPr>
  </w:p>
  <w:p w14:paraId="7D00E809" w14:textId="77777777" w:rsidR="004C0B80" w:rsidRDefault="004C0B80" w:rsidP="00066DE4">
    <w:pPr>
      <w:pStyle w:val="Header"/>
    </w:pPr>
  </w:p>
  <w:p w14:paraId="26D29749" w14:textId="77777777" w:rsidR="004C0B80" w:rsidRDefault="004C0B80" w:rsidP="00066DE4">
    <w:pPr>
      <w:pStyle w:val="Header"/>
    </w:pPr>
  </w:p>
  <w:p w14:paraId="7802824A" w14:textId="77777777" w:rsidR="004C0B80" w:rsidRDefault="004C0B80" w:rsidP="00066DE4">
    <w:pPr>
      <w:pStyle w:val="Header"/>
    </w:pPr>
  </w:p>
  <w:p w14:paraId="134D489F" w14:textId="77777777" w:rsidR="004C0B80" w:rsidRDefault="004C0B80" w:rsidP="00066DE4">
    <w:pPr>
      <w:pStyle w:val="Header"/>
    </w:pPr>
  </w:p>
  <w:p w14:paraId="03478C78" w14:textId="079F587F" w:rsidR="004C0B80" w:rsidRPr="00314E9F" w:rsidRDefault="004C0B80" w:rsidP="005E3406">
    <w:pPr>
      <w:pStyle w:val="Header"/>
    </w:pPr>
    <w:r>
      <w:t>GOVERNANCE</w:t>
    </w:r>
  </w:p>
  <w:p w14:paraId="52C1773E" w14:textId="77777777" w:rsidR="004C0B80" w:rsidRPr="00883014" w:rsidRDefault="004C0B80" w:rsidP="00066DE4">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B5E" w14:textId="54D5D744" w:rsidR="004C0B80" w:rsidRDefault="004C0B80">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35A76" w14:textId="6A4549DA" w:rsidR="004C0B80" w:rsidRDefault="004C0B80" w:rsidP="00066DE4">
    <w:pPr>
      <w:pStyle w:val="Header"/>
    </w:pPr>
  </w:p>
  <w:p w14:paraId="6CE21444" w14:textId="77777777" w:rsidR="004C0B80" w:rsidRDefault="004C0B80" w:rsidP="00066DE4">
    <w:pPr>
      <w:pStyle w:val="Header"/>
    </w:pPr>
  </w:p>
  <w:p w14:paraId="383065C5" w14:textId="77777777" w:rsidR="004C0B80" w:rsidRDefault="004C0B80" w:rsidP="00066DE4">
    <w:pPr>
      <w:pStyle w:val="Header"/>
    </w:pPr>
  </w:p>
  <w:p w14:paraId="33BD1427" w14:textId="77777777" w:rsidR="004C0B80" w:rsidRDefault="004C0B80" w:rsidP="00066DE4">
    <w:pPr>
      <w:pStyle w:val="Header"/>
    </w:pPr>
  </w:p>
  <w:p w14:paraId="77BAF0FC" w14:textId="77777777" w:rsidR="004C0B80" w:rsidRDefault="004C0B80" w:rsidP="00066DE4">
    <w:pPr>
      <w:pStyle w:val="Header"/>
    </w:pPr>
  </w:p>
  <w:p w14:paraId="59BBE510" w14:textId="5A07DB44" w:rsidR="004C0B80" w:rsidRPr="00314E9F" w:rsidRDefault="004C0B80" w:rsidP="005E3406">
    <w:pPr>
      <w:pStyle w:val="Header"/>
    </w:pPr>
    <w:r>
      <w:t>CLIENT PROFILE</w:t>
    </w:r>
  </w:p>
  <w:p w14:paraId="184F77D9" w14:textId="77777777" w:rsidR="004C0B80" w:rsidRPr="00883014" w:rsidRDefault="004C0B80" w:rsidP="00066D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40DE5" w14:textId="55051E93" w:rsidR="004C0B80" w:rsidRDefault="004C0B80">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387C1" w14:textId="22B56537" w:rsidR="004C0B80" w:rsidRDefault="004C0B80">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93DF3" w14:textId="23F8BE08" w:rsidR="004C0B80" w:rsidRDefault="004C0B80" w:rsidP="00B331D4">
    <w:pPr>
      <w:pStyle w:val="Header"/>
    </w:pPr>
    <w:r>
      <w:t xml:space="preserve">FINANCIALS </w:t>
    </w:r>
  </w:p>
  <w:p w14:paraId="122A864C" w14:textId="77777777" w:rsidR="004C0B80" w:rsidRPr="00883014" w:rsidRDefault="004C0B80" w:rsidP="00066DE4">
    <w:pPr>
      <w:pStyle w:val="Header"/>
    </w:pPr>
    <w:r>
      <w:t>FAMILY RESPONSIBILITIES COMMISSION</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33A90" w14:textId="25435234" w:rsidR="004C0B80" w:rsidRDefault="004C0B80">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57260" w14:textId="277FB381" w:rsidR="004C0B80" w:rsidRDefault="004C0B80">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886FA" w14:textId="69161A80" w:rsidR="004C0B80" w:rsidRDefault="004C0B80" w:rsidP="00066DE4">
    <w:pPr>
      <w:pStyle w:val="Header"/>
    </w:pPr>
  </w:p>
  <w:p w14:paraId="4BBF192F" w14:textId="77777777" w:rsidR="004C0B80" w:rsidRDefault="004C0B80" w:rsidP="00066DE4">
    <w:pPr>
      <w:pStyle w:val="Header"/>
    </w:pPr>
  </w:p>
  <w:p w14:paraId="7D35FD48" w14:textId="77777777" w:rsidR="004C0B80" w:rsidRDefault="004C0B80" w:rsidP="00066DE4">
    <w:pPr>
      <w:pStyle w:val="Header"/>
    </w:pPr>
  </w:p>
  <w:p w14:paraId="1B42B1DD" w14:textId="77777777" w:rsidR="004C0B80" w:rsidRDefault="004C0B80" w:rsidP="00066DE4">
    <w:pPr>
      <w:pStyle w:val="Header"/>
    </w:pPr>
  </w:p>
  <w:p w14:paraId="68AE24C1" w14:textId="77777777" w:rsidR="004C0B80" w:rsidRDefault="004C0B80" w:rsidP="00066DE4">
    <w:pPr>
      <w:pStyle w:val="Header"/>
    </w:pPr>
  </w:p>
  <w:p w14:paraId="7BC4E62A" w14:textId="77777777" w:rsidR="004C0B80" w:rsidRDefault="004C0B80" w:rsidP="00066DE4">
    <w:pPr>
      <w:pStyle w:val="Header"/>
    </w:pPr>
    <w:r>
      <w:t>APPENDICES</w:t>
    </w:r>
  </w:p>
  <w:p w14:paraId="4BBEC23B" w14:textId="77777777" w:rsidR="004C0B80" w:rsidRPr="00CE21A3" w:rsidRDefault="004C0B80" w:rsidP="00066DE4">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9D5D9" w14:textId="189F0496" w:rsidR="004C0B80" w:rsidRDefault="004C0B80">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9B7CB" w14:textId="755E74E3" w:rsidR="004C0B80" w:rsidRDefault="004C0B80">
    <w:pPr>
      <w:pStyle w:val="Header"/>
    </w:pPr>
    <w:r>
      <w:rPr>
        <w:noProof/>
      </w:rPr>
      <mc:AlternateContent>
        <mc:Choice Requires="wps">
          <w:drawing>
            <wp:anchor distT="0" distB="0" distL="114300" distR="114300" simplePos="0" relativeHeight="251680768" behindDoc="0" locked="0" layoutInCell="1" allowOverlap="1" wp14:anchorId="1107E352" wp14:editId="76A86DAB">
              <wp:simplePos x="0" y="0"/>
              <wp:positionH relativeFrom="column">
                <wp:posOffset>0</wp:posOffset>
              </wp:positionH>
              <wp:positionV relativeFrom="paragraph">
                <wp:posOffset>0</wp:posOffset>
              </wp:positionV>
              <wp:extent cx="5314950" cy="2125980"/>
              <wp:effectExtent l="0" t="0" r="0" b="0"/>
              <wp:wrapNone/>
              <wp:docPr id="29" name="WordArt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14950" cy="212598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E5BF680" id="_x0000_t202" coordsize="21600,21600" o:spt="202" path="m,l,21600r21600,l21600,xe">
              <v:stroke joinstyle="miter"/>
              <v:path gradientshapeok="t" o:connecttype="rect"/>
            </v:shapetype>
            <v:shape id="WordArt 135" o:spid="_x0000_s1026" type="#_x0000_t202" style="position:absolute;margin-left:0;margin-top:0;width:418.5pt;height:167.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" filled="f" stroked="f">
              <o:lock v:ext="edit" text="t" shapetype="t"/>
            </v:shape>
          </w:pict>
        </mc:Fallback>
      </mc:AlternateContent>
    </w:r>
    <w:r>
      <w:rPr>
        <w:noProof/>
        <w:lang w:val="en-AU" w:eastAsia="en-AU"/>
      </w:rPr>
      <mc:AlternateContent>
        <mc:Choice Requires="wps">
          <w:drawing>
            <wp:anchor distT="0" distB="0" distL="114300" distR="114300" simplePos="0" relativeHeight="251678720" behindDoc="1" locked="0" layoutInCell="0" allowOverlap="1" wp14:anchorId="368431C2" wp14:editId="0875A40A">
              <wp:simplePos x="0" y="0"/>
              <wp:positionH relativeFrom="margin">
                <wp:align>center</wp:align>
              </wp:positionH>
              <wp:positionV relativeFrom="margin">
                <wp:align>center</wp:align>
              </wp:positionV>
              <wp:extent cx="6706870" cy="2682240"/>
              <wp:effectExtent l="0" t="1819275" r="0" b="1470660"/>
              <wp:wrapNone/>
              <wp:docPr id="30" name="WordArt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6870" cy="26822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E2B20B" w14:textId="77777777" w:rsidR="004C0B80" w:rsidRDefault="004C0B80" w:rsidP="00066DE4">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8431C2" id="_x0000_t202" coordsize="21600,21600" o:spt="202" path="m,l,21600r21600,l21600,xe">
              <v:stroke joinstyle="miter"/>
              <v:path gradientshapeok="t" o:connecttype="rect"/>
            </v:shapetype>
            <v:shape id="WordArt 58" o:spid="_x0000_s1038" type="#_x0000_t202" style="position:absolute;margin-left:0;margin-top:0;width:528.1pt;height:211.2pt;rotation:-45;z-index:-251637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" o:allowincell="f" filled="f" stroked="f">
              <v:stroke joinstyle="round"/>
              <o:lock v:ext="edit" shapetype="t"/>
              <v:textbox style="mso-fit-shape-to-text:t">
                <w:txbxContent>
                  <w:p w14:paraId="12E2B20B" w14:textId="77777777" w:rsidR="004C0B80" w:rsidRDefault="004C0B80" w:rsidP="00066DE4">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lang w:val="en-AU" w:eastAsia="en-AU"/>
      </w:rPr>
      <mc:AlternateContent>
        <mc:Choice Requires="wps">
          <w:drawing>
            <wp:anchor distT="0" distB="0" distL="114300" distR="114300" simplePos="0" relativeHeight="251676672" behindDoc="1" locked="0" layoutInCell="0" allowOverlap="1" wp14:anchorId="2422CED4" wp14:editId="66656185">
              <wp:simplePos x="0" y="0"/>
              <wp:positionH relativeFrom="margin">
                <wp:align>center</wp:align>
              </wp:positionH>
              <wp:positionV relativeFrom="margin">
                <wp:align>center</wp:align>
              </wp:positionV>
              <wp:extent cx="5314950" cy="2125980"/>
              <wp:effectExtent l="0" t="1438275" r="0" b="1169670"/>
              <wp:wrapNone/>
              <wp:docPr id="31" name="WordArt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14950" cy="2125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8AE13F" w14:textId="77777777" w:rsidR="004C0B80" w:rsidRDefault="004C0B80" w:rsidP="00066DE4">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422CED4" id="WordArt 56" o:spid="_x0000_s1039" type="#_x0000_t202" style="position:absolute;margin-left:0;margin-top:0;width:418.5pt;height:167.4pt;rotation:-45;z-index:-251639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" o:allowincell="f" filled="f" stroked="f">
              <v:stroke joinstyle="round"/>
              <o:lock v:ext="edit" shapetype="t"/>
              <v:textbox style="mso-fit-shape-to-text:t">
                <w:txbxContent>
                  <w:p w14:paraId="138AE13F" w14:textId="77777777" w:rsidR="004C0B80" w:rsidRDefault="004C0B80" w:rsidP="00066DE4">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47F3B" w14:textId="43B72E83" w:rsidR="004C0B80" w:rsidRPr="00463FFB" w:rsidRDefault="004C0B80" w:rsidP="00066DE4">
    <w:pPr>
      <w:pStyle w:val="Header"/>
    </w:pPr>
    <w:r>
      <w:rPr>
        <w:noProof/>
      </w:rPr>
      <mc:AlternateContent>
        <mc:Choice Requires="wps">
          <w:drawing>
            <wp:anchor distT="0" distB="0" distL="114300" distR="114300" simplePos="0" relativeHeight="251681792" behindDoc="0" locked="0" layoutInCell="1" allowOverlap="1" wp14:anchorId="76314407" wp14:editId="5B0BC790">
              <wp:simplePos x="0" y="0"/>
              <wp:positionH relativeFrom="column">
                <wp:posOffset>0</wp:posOffset>
              </wp:positionH>
              <wp:positionV relativeFrom="paragraph">
                <wp:posOffset>0</wp:posOffset>
              </wp:positionV>
              <wp:extent cx="5314950" cy="2125980"/>
              <wp:effectExtent l="0" t="0" r="0" b="0"/>
              <wp:wrapNone/>
              <wp:docPr id="32" name="WordArt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14950" cy="212598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44119D6" id="_x0000_t202" coordsize="21600,21600" o:spt="202" path="m,l,21600r21600,l21600,xe">
              <v:stroke joinstyle="miter"/>
              <v:path gradientshapeok="t" o:connecttype="rect"/>
            </v:shapetype>
            <v:shape id="WordArt 136" o:spid="_x0000_s1026" type="#_x0000_t202" style="position:absolute;margin-left:0;margin-top:0;width:418.5pt;height:167.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" filled="f" stroked="f">
              <o:lock v:ext="edit" text="t" shapetype="t"/>
            </v:shape>
          </w:pict>
        </mc:Fallback>
      </mc:AlternateContent>
    </w:r>
    <w:r>
      <w:t>APPENDICES</w: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9D018" w14:textId="10039B03" w:rsidR="004C0B80" w:rsidRDefault="004C0B80">
    <w:pPr>
      <w:pStyle w:val="Header"/>
    </w:pPr>
    <w:r>
      <w:rPr>
        <w:noProof/>
      </w:rPr>
      <mc:AlternateContent>
        <mc:Choice Requires="wps">
          <w:drawing>
            <wp:anchor distT="0" distB="0" distL="114300" distR="114300" simplePos="0" relativeHeight="251679744" behindDoc="0" locked="0" layoutInCell="1" allowOverlap="1" wp14:anchorId="3BEA49A2" wp14:editId="26178DB7">
              <wp:simplePos x="0" y="0"/>
              <wp:positionH relativeFrom="column">
                <wp:posOffset>0</wp:posOffset>
              </wp:positionH>
              <wp:positionV relativeFrom="paragraph">
                <wp:posOffset>0</wp:posOffset>
              </wp:positionV>
              <wp:extent cx="5314950" cy="2125980"/>
              <wp:effectExtent l="0" t="0" r="0" b="0"/>
              <wp:wrapNone/>
              <wp:docPr id="33" name="WordArt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14950" cy="212598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B7E921" id="_x0000_t202" coordsize="21600,21600" o:spt="202" path="m,l,21600r21600,l21600,xe">
              <v:stroke joinstyle="miter"/>
              <v:path gradientshapeok="t" o:connecttype="rect"/>
            </v:shapetype>
            <v:shape id="WordArt 134" o:spid="_x0000_s1026" type="#_x0000_t202" style="position:absolute;margin-left:0;margin-top:0;width:418.5pt;height:167.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" filled="f" stroked="f">
              <o:lock v:ext="edit" text="t" shapetype="t"/>
            </v:shape>
          </w:pict>
        </mc:Fallback>
      </mc:AlternateContent>
    </w:r>
    <w:r>
      <w:rPr>
        <w:noProof/>
        <w:lang w:val="en-AU" w:eastAsia="en-AU"/>
      </w:rPr>
      <mc:AlternateContent>
        <mc:Choice Requires="wps">
          <w:drawing>
            <wp:anchor distT="0" distB="0" distL="114300" distR="114300" simplePos="0" relativeHeight="251677696" behindDoc="1" locked="0" layoutInCell="0" allowOverlap="1" wp14:anchorId="70A4725B" wp14:editId="6FC3F4D5">
              <wp:simplePos x="0" y="0"/>
              <wp:positionH relativeFrom="margin">
                <wp:align>center</wp:align>
              </wp:positionH>
              <wp:positionV relativeFrom="margin">
                <wp:align>center</wp:align>
              </wp:positionV>
              <wp:extent cx="6706870" cy="2682240"/>
              <wp:effectExtent l="0" t="1819275" r="0" b="1470660"/>
              <wp:wrapNone/>
              <wp:docPr id="34" name="WordArt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6870" cy="26822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2C15D8" w14:textId="77777777" w:rsidR="004C0B80" w:rsidRDefault="004C0B80" w:rsidP="00066DE4">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A4725B" id="_x0000_t202" coordsize="21600,21600" o:spt="202" path="m,l,21600r21600,l21600,xe">
              <v:stroke joinstyle="miter"/>
              <v:path gradientshapeok="t" o:connecttype="rect"/>
            </v:shapetype>
            <v:shape id="WordArt 57" o:spid="_x0000_s1040" type="#_x0000_t202" style="position:absolute;margin-left:0;margin-top:0;width:528.1pt;height:211.2pt;rotation:-45;z-index:-251638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" o:allowincell="f" filled="f" stroked="f">
              <v:stroke joinstyle="round"/>
              <o:lock v:ext="edit" shapetype="t"/>
              <v:textbox style="mso-fit-shape-to-text:t">
                <w:txbxContent>
                  <w:p w14:paraId="7E2C15D8" w14:textId="77777777" w:rsidR="004C0B80" w:rsidRDefault="004C0B80" w:rsidP="00066DE4">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lang w:val="en-AU" w:eastAsia="en-AU"/>
      </w:rPr>
      <mc:AlternateContent>
        <mc:Choice Requires="wps">
          <w:drawing>
            <wp:anchor distT="0" distB="0" distL="114300" distR="114300" simplePos="0" relativeHeight="251675648" behindDoc="1" locked="0" layoutInCell="0" allowOverlap="1" wp14:anchorId="4B947F3F" wp14:editId="1AE27512">
              <wp:simplePos x="0" y="0"/>
              <wp:positionH relativeFrom="margin">
                <wp:align>center</wp:align>
              </wp:positionH>
              <wp:positionV relativeFrom="margin">
                <wp:align>center</wp:align>
              </wp:positionV>
              <wp:extent cx="5314950" cy="2125980"/>
              <wp:effectExtent l="0" t="1438275" r="0" b="1169670"/>
              <wp:wrapNone/>
              <wp:docPr id="40" name="WordArt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14950" cy="2125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2EAA28" w14:textId="77777777" w:rsidR="004C0B80" w:rsidRDefault="004C0B80" w:rsidP="00066DE4">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B947F3F" id="WordArt 55" o:spid="_x0000_s1041" type="#_x0000_t202" style="position:absolute;margin-left:0;margin-top:0;width:418.5pt;height:167.4pt;rotation:-45;z-index:-251640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" o:allowincell="f" filled="f" stroked="f">
              <v:stroke joinstyle="round"/>
              <o:lock v:ext="edit" shapetype="t"/>
              <v:textbox style="mso-fit-shape-to-text:t">
                <w:txbxContent>
                  <w:p w14:paraId="7F2EAA28" w14:textId="77777777" w:rsidR="004C0B80" w:rsidRDefault="004C0B80" w:rsidP="00066DE4">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5B75A" w14:textId="01B5DD7B" w:rsidR="004C0B80" w:rsidRDefault="004C0B8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717EB" w14:textId="22AC4B01" w:rsidR="004C0B80" w:rsidRDefault="004C0B80">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0E5FF" w14:textId="38FE78A6" w:rsidR="004C0B80" w:rsidRPr="00CE21A3" w:rsidRDefault="004C0B80" w:rsidP="00066DE4">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213BD" w14:textId="65802FC7" w:rsidR="004C0B80" w:rsidRDefault="004C0B80">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6DD03" w14:textId="34CD8063" w:rsidR="004C0B80" w:rsidRDefault="004C0B80">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92B" w14:textId="4AC33832" w:rsidR="004C0B80" w:rsidRDefault="004C0B80" w:rsidP="00066DE4">
    <w:pPr>
      <w:pStyle w:val="Header"/>
    </w:pPr>
  </w:p>
  <w:p w14:paraId="1808D869" w14:textId="77777777" w:rsidR="004C0B80" w:rsidRDefault="004C0B80" w:rsidP="00066DE4">
    <w:pPr>
      <w:pStyle w:val="Header"/>
    </w:pPr>
  </w:p>
  <w:p w14:paraId="2662FA0E" w14:textId="77777777" w:rsidR="004C0B80" w:rsidRDefault="004C0B80" w:rsidP="00066DE4">
    <w:pPr>
      <w:pStyle w:val="Header"/>
    </w:pPr>
  </w:p>
  <w:p w14:paraId="3E1FB09F" w14:textId="77777777" w:rsidR="004C0B80" w:rsidRDefault="004C0B80" w:rsidP="00066DE4">
    <w:pPr>
      <w:pStyle w:val="Header"/>
    </w:pPr>
  </w:p>
  <w:p w14:paraId="60C78CD1" w14:textId="77777777" w:rsidR="004C0B80" w:rsidRDefault="004C0B80" w:rsidP="00066DE4">
    <w:pPr>
      <w:pStyle w:val="Header"/>
    </w:pPr>
  </w:p>
  <w:p w14:paraId="62720B96" w14:textId="77777777" w:rsidR="004C0B80" w:rsidRDefault="004C0B80" w:rsidP="00066DE4">
    <w:pPr>
      <w:pStyle w:val="Header"/>
    </w:pPr>
    <w:r>
      <w:t>APPENDICES</w:t>
    </w:r>
  </w:p>
  <w:p w14:paraId="4C335547" w14:textId="77777777" w:rsidR="004C0B80" w:rsidRPr="00CE21A3" w:rsidRDefault="004C0B80" w:rsidP="00066DE4">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B5257" w14:textId="15673E4B" w:rsidR="004C0B80" w:rsidRDefault="004C0B80">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B3845" w14:textId="12E07F60" w:rsidR="004C0B80" w:rsidRDefault="004C0B80">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318EA" w14:textId="49833155" w:rsidR="004C0B80" w:rsidRDefault="004C0B80" w:rsidP="00066DE4">
    <w:pPr>
      <w:pStyle w:val="Header"/>
    </w:pPr>
  </w:p>
  <w:p w14:paraId="56DF74C4" w14:textId="77777777" w:rsidR="004C0B80" w:rsidRDefault="004C0B80" w:rsidP="00066DE4">
    <w:pPr>
      <w:pStyle w:val="Header"/>
    </w:pPr>
  </w:p>
  <w:p w14:paraId="558F600A" w14:textId="77777777" w:rsidR="004C0B80" w:rsidRDefault="004C0B80" w:rsidP="00066DE4">
    <w:pPr>
      <w:pStyle w:val="Header"/>
    </w:pPr>
  </w:p>
  <w:p w14:paraId="78643B7E" w14:textId="77777777" w:rsidR="004C0B80" w:rsidRDefault="004C0B80" w:rsidP="00066DE4">
    <w:pPr>
      <w:pStyle w:val="Header"/>
    </w:pPr>
  </w:p>
  <w:p w14:paraId="384B4523" w14:textId="77777777" w:rsidR="004C0B80" w:rsidRDefault="004C0B80" w:rsidP="00066DE4">
    <w:pPr>
      <w:pStyle w:val="Header"/>
    </w:pPr>
  </w:p>
  <w:p w14:paraId="3AA82D00" w14:textId="77777777" w:rsidR="004C0B80" w:rsidRDefault="004C0B80" w:rsidP="00066DE4">
    <w:pPr>
      <w:pStyle w:val="Header"/>
    </w:pPr>
    <w:r>
      <w:t>APPENDICES</w:t>
    </w:r>
  </w:p>
  <w:p w14:paraId="60D3384F" w14:textId="77777777" w:rsidR="004C0B80" w:rsidRPr="00CE21A3" w:rsidRDefault="004C0B80" w:rsidP="00066DE4">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2FE37" w14:textId="3E4FB506" w:rsidR="004C0B80" w:rsidRDefault="004C0B80">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EE14D" w14:textId="63EBC43C" w:rsidR="004C0B80" w:rsidRDefault="004C0B80">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46E90" w14:textId="66D424A9" w:rsidR="004C0B80" w:rsidRDefault="004C0B80" w:rsidP="00553655">
    <w:pPr>
      <w:pStyle w:val="Header"/>
    </w:pPr>
  </w:p>
  <w:p w14:paraId="217272D7" w14:textId="77777777" w:rsidR="004C0B80" w:rsidRDefault="004C0B80" w:rsidP="00553655">
    <w:pPr>
      <w:pStyle w:val="Header"/>
    </w:pPr>
  </w:p>
  <w:p w14:paraId="3EAC647E" w14:textId="77777777" w:rsidR="004C0B80" w:rsidRDefault="004C0B80" w:rsidP="00553655">
    <w:pPr>
      <w:pStyle w:val="Header"/>
    </w:pPr>
  </w:p>
  <w:p w14:paraId="76980D10" w14:textId="77777777" w:rsidR="004C0B80" w:rsidRDefault="004C0B80" w:rsidP="00553655">
    <w:pPr>
      <w:pStyle w:val="Header"/>
    </w:pPr>
  </w:p>
  <w:p w14:paraId="423A101B" w14:textId="77777777" w:rsidR="004C0B80" w:rsidRDefault="004C0B80" w:rsidP="00553655">
    <w:pPr>
      <w:pStyle w:val="Header"/>
    </w:pPr>
  </w:p>
  <w:p w14:paraId="4888A7DC" w14:textId="77777777" w:rsidR="004C0B80" w:rsidRDefault="004C0B80" w:rsidP="00553655">
    <w:pPr>
      <w:pStyle w:val="Header"/>
    </w:pPr>
    <w:r>
      <w:t>GLOSSARY OF TERMS</w:t>
    </w:r>
  </w:p>
  <w:p w14:paraId="3D9C8AC6" w14:textId="77777777" w:rsidR="004C0B80" w:rsidRPr="00C5205C" w:rsidRDefault="004C0B80" w:rsidP="0055365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59524" w14:textId="46C61BE9" w:rsidR="004C0B80" w:rsidRPr="00CE21A3" w:rsidRDefault="004C0B80" w:rsidP="00047560">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D289" w14:textId="49087134" w:rsidR="004C0B80" w:rsidRDefault="004C0B80">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5F0E5" w14:textId="5C642E56" w:rsidR="004C0B80" w:rsidRDefault="004C0B80">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1043F" w14:textId="0A527196" w:rsidR="004C0B80" w:rsidRDefault="004C0B80" w:rsidP="00553655">
    <w:pPr>
      <w:pStyle w:val="Header"/>
    </w:pPr>
  </w:p>
  <w:p w14:paraId="233CC6E5" w14:textId="77777777" w:rsidR="004C0B80" w:rsidRDefault="004C0B80" w:rsidP="00553655">
    <w:pPr>
      <w:pStyle w:val="Header"/>
    </w:pPr>
  </w:p>
  <w:p w14:paraId="6DA70925" w14:textId="77777777" w:rsidR="004C0B80" w:rsidRDefault="004C0B80" w:rsidP="00553655">
    <w:pPr>
      <w:pStyle w:val="Header"/>
    </w:pPr>
  </w:p>
  <w:p w14:paraId="3C16B4FF" w14:textId="77777777" w:rsidR="004C0B80" w:rsidRDefault="004C0B80" w:rsidP="00553655">
    <w:pPr>
      <w:pStyle w:val="Header"/>
    </w:pPr>
  </w:p>
  <w:p w14:paraId="4E2A6B7C" w14:textId="77777777" w:rsidR="004C0B80" w:rsidRDefault="004C0B80" w:rsidP="00553655">
    <w:pPr>
      <w:pStyle w:val="Header"/>
    </w:pPr>
  </w:p>
  <w:p w14:paraId="4C6A4D83" w14:textId="77777777" w:rsidR="004C0B80" w:rsidRDefault="004C0B80" w:rsidP="00553655">
    <w:pPr>
      <w:pStyle w:val="Header"/>
    </w:pPr>
    <w:r>
      <w:t>CONTACT DETAILS</w:t>
    </w:r>
  </w:p>
  <w:p w14:paraId="252C6FC9" w14:textId="77777777" w:rsidR="004C0B80" w:rsidRPr="00CE21A3" w:rsidRDefault="004C0B80" w:rsidP="00553655">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58806" w14:textId="738F52B0" w:rsidR="004C0B80" w:rsidRDefault="004C0B8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09DA3" w14:textId="4AE3DD44" w:rsidR="004C0B80" w:rsidRDefault="004C0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9"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10"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8"/>
  </w:num>
  <w:num w:numId="5">
    <w:abstractNumId w:val="10"/>
  </w:num>
  <w:num w:numId="6">
    <w:abstractNumId w:val="1"/>
  </w:num>
  <w:num w:numId="7">
    <w:abstractNumId w:val="0"/>
  </w:num>
  <w:num w:numId="8">
    <w:abstractNumId w:val="14"/>
  </w:num>
  <w:num w:numId="9">
    <w:abstractNumId w:val="11"/>
  </w:num>
  <w:num w:numId="10">
    <w:abstractNumId w:val="15"/>
  </w:num>
  <w:num w:numId="11">
    <w:abstractNumId w:val="4"/>
  </w:num>
  <w:num w:numId="12">
    <w:abstractNumId w:val="5"/>
  </w:num>
  <w:num w:numId="13">
    <w:abstractNumId w:val="9"/>
  </w:num>
  <w:num w:numId="14">
    <w:abstractNumId w:val="12"/>
  </w:num>
  <w:num w:numId="15">
    <w:abstractNumId w:val="6"/>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4F4A"/>
    <w:rsid w:val="00017901"/>
    <w:rsid w:val="00021998"/>
    <w:rsid w:val="00022F7A"/>
    <w:rsid w:val="00023834"/>
    <w:rsid w:val="00026F4C"/>
    <w:rsid w:val="00027E78"/>
    <w:rsid w:val="00031A5E"/>
    <w:rsid w:val="000353D9"/>
    <w:rsid w:val="000430A1"/>
    <w:rsid w:val="000460FB"/>
    <w:rsid w:val="00047560"/>
    <w:rsid w:val="000515A2"/>
    <w:rsid w:val="00063B79"/>
    <w:rsid w:val="00065ADC"/>
    <w:rsid w:val="0006609B"/>
    <w:rsid w:val="00066DE4"/>
    <w:rsid w:val="000718B6"/>
    <w:rsid w:val="00072DC2"/>
    <w:rsid w:val="00073564"/>
    <w:rsid w:val="000762D4"/>
    <w:rsid w:val="0007689C"/>
    <w:rsid w:val="00077B74"/>
    <w:rsid w:val="00080033"/>
    <w:rsid w:val="0008620F"/>
    <w:rsid w:val="00093A38"/>
    <w:rsid w:val="000A24AF"/>
    <w:rsid w:val="000A486F"/>
    <w:rsid w:val="000B15B1"/>
    <w:rsid w:val="000B74C2"/>
    <w:rsid w:val="000C250A"/>
    <w:rsid w:val="000C3367"/>
    <w:rsid w:val="000C5308"/>
    <w:rsid w:val="000D2108"/>
    <w:rsid w:val="000E37EE"/>
    <w:rsid w:val="000E426A"/>
    <w:rsid w:val="000E71ED"/>
    <w:rsid w:val="000E7D7C"/>
    <w:rsid w:val="000F29F4"/>
    <w:rsid w:val="00100A80"/>
    <w:rsid w:val="001021E4"/>
    <w:rsid w:val="00110473"/>
    <w:rsid w:val="001161F7"/>
    <w:rsid w:val="00120AFC"/>
    <w:rsid w:val="0013048C"/>
    <w:rsid w:val="001355A5"/>
    <w:rsid w:val="00135D86"/>
    <w:rsid w:val="00140BAC"/>
    <w:rsid w:val="00140D6A"/>
    <w:rsid w:val="00142ED9"/>
    <w:rsid w:val="00150DA5"/>
    <w:rsid w:val="001569A9"/>
    <w:rsid w:val="00165546"/>
    <w:rsid w:val="00166D33"/>
    <w:rsid w:val="001707D9"/>
    <w:rsid w:val="00170939"/>
    <w:rsid w:val="00171741"/>
    <w:rsid w:val="001755ED"/>
    <w:rsid w:val="00176460"/>
    <w:rsid w:val="001803B7"/>
    <w:rsid w:val="001822CE"/>
    <w:rsid w:val="001911DA"/>
    <w:rsid w:val="001928E3"/>
    <w:rsid w:val="00193066"/>
    <w:rsid w:val="001937FA"/>
    <w:rsid w:val="00197911"/>
    <w:rsid w:val="001A0120"/>
    <w:rsid w:val="001A36E3"/>
    <w:rsid w:val="001A444A"/>
    <w:rsid w:val="001A5D2B"/>
    <w:rsid w:val="001A5DFE"/>
    <w:rsid w:val="001B07A5"/>
    <w:rsid w:val="001B11BE"/>
    <w:rsid w:val="001B3060"/>
    <w:rsid w:val="001B6CCE"/>
    <w:rsid w:val="001B7200"/>
    <w:rsid w:val="001C64D7"/>
    <w:rsid w:val="001D03FA"/>
    <w:rsid w:val="001D54AF"/>
    <w:rsid w:val="001E13C6"/>
    <w:rsid w:val="001E3006"/>
    <w:rsid w:val="001F0A0B"/>
    <w:rsid w:val="001F1B84"/>
    <w:rsid w:val="001F6EDE"/>
    <w:rsid w:val="00200F97"/>
    <w:rsid w:val="00201D64"/>
    <w:rsid w:val="00201F48"/>
    <w:rsid w:val="0020270B"/>
    <w:rsid w:val="00205807"/>
    <w:rsid w:val="002064F8"/>
    <w:rsid w:val="0020675D"/>
    <w:rsid w:val="00207BBE"/>
    <w:rsid w:val="00210E59"/>
    <w:rsid w:val="0021126A"/>
    <w:rsid w:val="00214FE7"/>
    <w:rsid w:val="00215D36"/>
    <w:rsid w:val="002168A8"/>
    <w:rsid w:val="00232E1C"/>
    <w:rsid w:val="00235A8B"/>
    <w:rsid w:val="002413ED"/>
    <w:rsid w:val="002435B7"/>
    <w:rsid w:val="00244953"/>
    <w:rsid w:val="00247FB3"/>
    <w:rsid w:val="00255D6E"/>
    <w:rsid w:val="00263043"/>
    <w:rsid w:val="00263954"/>
    <w:rsid w:val="00263ABF"/>
    <w:rsid w:val="002655E6"/>
    <w:rsid w:val="00270528"/>
    <w:rsid w:val="002853A3"/>
    <w:rsid w:val="00286EE1"/>
    <w:rsid w:val="00293B67"/>
    <w:rsid w:val="002959D5"/>
    <w:rsid w:val="00296EA0"/>
    <w:rsid w:val="002A1591"/>
    <w:rsid w:val="002A20B4"/>
    <w:rsid w:val="002A3197"/>
    <w:rsid w:val="002A4CBB"/>
    <w:rsid w:val="002A4E49"/>
    <w:rsid w:val="002A5F28"/>
    <w:rsid w:val="002A649F"/>
    <w:rsid w:val="002A741E"/>
    <w:rsid w:val="002B04ED"/>
    <w:rsid w:val="002B28AA"/>
    <w:rsid w:val="002B2B87"/>
    <w:rsid w:val="002C013C"/>
    <w:rsid w:val="002C1AFC"/>
    <w:rsid w:val="002C2BFF"/>
    <w:rsid w:val="002D0C16"/>
    <w:rsid w:val="002D6CD6"/>
    <w:rsid w:val="002E0070"/>
    <w:rsid w:val="002E0E25"/>
    <w:rsid w:val="002E7C53"/>
    <w:rsid w:val="002F2786"/>
    <w:rsid w:val="002F4061"/>
    <w:rsid w:val="002F4349"/>
    <w:rsid w:val="002F6410"/>
    <w:rsid w:val="003002F4"/>
    <w:rsid w:val="00300E8C"/>
    <w:rsid w:val="00301C1B"/>
    <w:rsid w:val="00302B0D"/>
    <w:rsid w:val="003052B1"/>
    <w:rsid w:val="00307095"/>
    <w:rsid w:val="0031180F"/>
    <w:rsid w:val="00316B6D"/>
    <w:rsid w:val="003211D2"/>
    <w:rsid w:val="00321322"/>
    <w:rsid w:val="00324BC2"/>
    <w:rsid w:val="003258B7"/>
    <w:rsid w:val="003259C9"/>
    <w:rsid w:val="003301B7"/>
    <w:rsid w:val="00330997"/>
    <w:rsid w:val="003416B5"/>
    <w:rsid w:val="00342867"/>
    <w:rsid w:val="00342BFA"/>
    <w:rsid w:val="00347F8B"/>
    <w:rsid w:val="00351852"/>
    <w:rsid w:val="00351947"/>
    <w:rsid w:val="00352BEA"/>
    <w:rsid w:val="00354BF8"/>
    <w:rsid w:val="00355550"/>
    <w:rsid w:val="00364453"/>
    <w:rsid w:val="003651A0"/>
    <w:rsid w:val="003673F0"/>
    <w:rsid w:val="00372018"/>
    <w:rsid w:val="003731C7"/>
    <w:rsid w:val="00375B89"/>
    <w:rsid w:val="00377FB0"/>
    <w:rsid w:val="00380329"/>
    <w:rsid w:val="0038254C"/>
    <w:rsid w:val="00386B04"/>
    <w:rsid w:val="00387A3A"/>
    <w:rsid w:val="003916F7"/>
    <w:rsid w:val="00395FBC"/>
    <w:rsid w:val="00397AC5"/>
    <w:rsid w:val="003A0009"/>
    <w:rsid w:val="003A099B"/>
    <w:rsid w:val="003A0C5C"/>
    <w:rsid w:val="003A7D99"/>
    <w:rsid w:val="003C0E96"/>
    <w:rsid w:val="003D0428"/>
    <w:rsid w:val="003D1426"/>
    <w:rsid w:val="003D23F7"/>
    <w:rsid w:val="003E09C0"/>
    <w:rsid w:val="003E1F2B"/>
    <w:rsid w:val="003E22D4"/>
    <w:rsid w:val="003E4D6E"/>
    <w:rsid w:val="003E51EB"/>
    <w:rsid w:val="003F02DA"/>
    <w:rsid w:val="003F1B3A"/>
    <w:rsid w:val="003F1DF7"/>
    <w:rsid w:val="003F34C7"/>
    <w:rsid w:val="003F42C4"/>
    <w:rsid w:val="003F59DF"/>
    <w:rsid w:val="004006FA"/>
    <w:rsid w:val="00400CDE"/>
    <w:rsid w:val="004036DD"/>
    <w:rsid w:val="00406A60"/>
    <w:rsid w:val="004077D5"/>
    <w:rsid w:val="00407A0D"/>
    <w:rsid w:val="00413E34"/>
    <w:rsid w:val="0041415B"/>
    <w:rsid w:val="00416C1F"/>
    <w:rsid w:val="00423555"/>
    <w:rsid w:val="00424DA6"/>
    <w:rsid w:val="004304D6"/>
    <w:rsid w:val="00435753"/>
    <w:rsid w:val="004407C0"/>
    <w:rsid w:val="00440E87"/>
    <w:rsid w:val="004421A9"/>
    <w:rsid w:val="00442897"/>
    <w:rsid w:val="00443439"/>
    <w:rsid w:val="004443FB"/>
    <w:rsid w:val="00446902"/>
    <w:rsid w:val="004503DE"/>
    <w:rsid w:val="00455517"/>
    <w:rsid w:val="00461E53"/>
    <w:rsid w:val="00462AD5"/>
    <w:rsid w:val="004650EA"/>
    <w:rsid w:val="00465B53"/>
    <w:rsid w:val="00465C44"/>
    <w:rsid w:val="00473114"/>
    <w:rsid w:val="00473BDB"/>
    <w:rsid w:val="00474457"/>
    <w:rsid w:val="004758C4"/>
    <w:rsid w:val="004807C5"/>
    <w:rsid w:val="00494DB4"/>
    <w:rsid w:val="0049642B"/>
    <w:rsid w:val="004A5ACC"/>
    <w:rsid w:val="004A7E7A"/>
    <w:rsid w:val="004B0ABC"/>
    <w:rsid w:val="004B29FB"/>
    <w:rsid w:val="004B4753"/>
    <w:rsid w:val="004B5B3B"/>
    <w:rsid w:val="004C0B80"/>
    <w:rsid w:val="004C2F14"/>
    <w:rsid w:val="004D32A3"/>
    <w:rsid w:val="004E16C2"/>
    <w:rsid w:val="004E7182"/>
    <w:rsid w:val="004F7FEC"/>
    <w:rsid w:val="00500545"/>
    <w:rsid w:val="005009DC"/>
    <w:rsid w:val="0050413E"/>
    <w:rsid w:val="00504D03"/>
    <w:rsid w:val="005133C8"/>
    <w:rsid w:val="0051400F"/>
    <w:rsid w:val="00514739"/>
    <w:rsid w:val="0051512D"/>
    <w:rsid w:val="00515A05"/>
    <w:rsid w:val="00516FE3"/>
    <w:rsid w:val="005215DA"/>
    <w:rsid w:val="00523939"/>
    <w:rsid w:val="0053085C"/>
    <w:rsid w:val="00532D21"/>
    <w:rsid w:val="00536C63"/>
    <w:rsid w:val="00550CE8"/>
    <w:rsid w:val="005527DE"/>
    <w:rsid w:val="00553655"/>
    <w:rsid w:val="00555385"/>
    <w:rsid w:val="00560CDC"/>
    <w:rsid w:val="00563CB0"/>
    <w:rsid w:val="00577EF7"/>
    <w:rsid w:val="00582209"/>
    <w:rsid w:val="0058401A"/>
    <w:rsid w:val="005844E2"/>
    <w:rsid w:val="00585E05"/>
    <w:rsid w:val="0059030C"/>
    <w:rsid w:val="005A0BCC"/>
    <w:rsid w:val="005A2D61"/>
    <w:rsid w:val="005A67E8"/>
    <w:rsid w:val="005B2FE5"/>
    <w:rsid w:val="005B5DF6"/>
    <w:rsid w:val="005C0FB3"/>
    <w:rsid w:val="005D2982"/>
    <w:rsid w:val="005D32E4"/>
    <w:rsid w:val="005E0A7E"/>
    <w:rsid w:val="005E33C4"/>
    <w:rsid w:val="005E3406"/>
    <w:rsid w:val="005E374B"/>
    <w:rsid w:val="005E4497"/>
    <w:rsid w:val="005E7E0B"/>
    <w:rsid w:val="005F3C9F"/>
    <w:rsid w:val="005F439B"/>
    <w:rsid w:val="005F6B0B"/>
    <w:rsid w:val="005F6B9D"/>
    <w:rsid w:val="0060361C"/>
    <w:rsid w:val="00610BEF"/>
    <w:rsid w:val="00613F4E"/>
    <w:rsid w:val="00615CFD"/>
    <w:rsid w:val="00621724"/>
    <w:rsid w:val="006218B0"/>
    <w:rsid w:val="006225E9"/>
    <w:rsid w:val="00625333"/>
    <w:rsid w:val="0062722F"/>
    <w:rsid w:val="006279D0"/>
    <w:rsid w:val="00627ADE"/>
    <w:rsid w:val="00631372"/>
    <w:rsid w:val="00631612"/>
    <w:rsid w:val="0063219A"/>
    <w:rsid w:val="0063246E"/>
    <w:rsid w:val="00632942"/>
    <w:rsid w:val="00633677"/>
    <w:rsid w:val="0063507A"/>
    <w:rsid w:val="00636822"/>
    <w:rsid w:val="00636B04"/>
    <w:rsid w:val="00636BEC"/>
    <w:rsid w:val="00636F42"/>
    <w:rsid w:val="006377D5"/>
    <w:rsid w:val="00641609"/>
    <w:rsid w:val="0064339D"/>
    <w:rsid w:val="00650F49"/>
    <w:rsid w:val="00651CF7"/>
    <w:rsid w:val="006522EE"/>
    <w:rsid w:val="0066001C"/>
    <w:rsid w:val="0066478C"/>
    <w:rsid w:val="00665E52"/>
    <w:rsid w:val="00666A3C"/>
    <w:rsid w:val="00667F7D"/>
    <w:rsid w:val="0067256C"/>
    <w:rsid w:val="0067432C"/>
    <w:rsid w:val="00674A92"/>
    <w:rsid w:val="0067559C"/>
    <w:rsid w:val="00675FA3"/>
    <w:rsid w:val="00683DAA"/>
    <w:rsid w:val="0068546A"/>
    <w:rsid w:val="006873D5"/>
    <w:rsid w:val="006925E3"/>
    <w:rsid w:val="006A5891"/>
    <w:rsid w:val="006A6677"/>
    <w:rsid w:val="006A71A4"/>
    <w:rsid w:val="006B0065"/>
    <w:rsid w:val="006B1384"/>
    <w:rsid w:val="006B25C1"/>
    <w:rsid w:val="006C022B"/>
    <w:rsid w:val="006C1F8D"/>
    <w:rsid w:val="006C306D"/>
    <w:rsid w:val="006C5B3E"/>
    <w:rsid w:val="006C6FC4"/>
    <w:rsid w:val="006D0B23"/>
    <w:rsid w:val="006D2AFB"/>
    <w:rsid w:val="006D57B4"/>
    <w:rsid w:val="006D7879"/>
    <w:rsid w:val="006E3328"/>
    <w:rsid w:val="006E46A1"/>
    <w:rsid w:val="006F0825"/>
    <w:rsid w:val="007018E7"/>
    <w:rsid w:val="00703064"/>
    <w:rsid w:val="00703AF9"/>
    <w:rsid w:val="00704B00"/>
    <w:rsid w:val="00706445"/>
    <w:rsid w:val="00711EF1"/>
    <w:rsid w:val="00713BB8"/>
    <w:rsid w:val="00717015"/>
    <w:rsid w:val="00724085"/>
    <w:rsid w:val="00727731"/>
    <w:rsid w:val="007301C9"/>
    <w:rsid w:val="00735500"/>
    <w:rsid w:val="007358B3"/>
    <w:rsid w:val="007530B3"/>
    <w:rsid w:val="00753464"/>
    <w:rsid w:val="00754EB5"/>
    <w:rsid w:val="00757C55"/>
    <w:rsid w:val="00757F68"/>
    <w:rsid w:val="00761469"/>
    <w:rsid w:val="00763D72"/>
    <w:rsid w:val="0076563D"/>
    <w:rsid w:val="00770E5E"/>
    <w:rsid w:val="00774060"/>
    <w:rsid w:val="0077515C"/>
    <w:rsid w:val="007826C6"/>
    <w:rsid w:val="007839A8"/>
    <w:rsid w:val="00783A1C"/>
    <w:rsid w:val="00784129"/>
    <w:rsid w:val="007870B5"/>
    <w:rsid w:val="007872A7"/>
    <w:rsid w:val="00794BB9"/>
    <w:rsid w:val="007968C2"/>
    <w:rsid w:val="0079696B"/>
    <w:rsid w:val="007A08E7"/>
    <w:rsid w:val="007A2031"/>
    <w:rsid w:val="007A241F"/>
    <w:rsid w:val="007A2E57"/>
    <w:rsid w:val="007B1CA7"/>
    <w:rsid w:val="007B37CE"/>
    <w:rsid w:val="007B4873"/>
    <w:rsid w:val="007C0486"/>
    <w:rsid w:val="007C08F1"/>
    <w:rsid w:val="007C6AED"/>
    <w:rsid w:val="007D0EDD"/>
    <w:rsid w:val="007F1376"/>
    <w:rsid w:val="007F3479"/>
    <w:rsid w:val="007F6A47"/>
    <w:rsid w:val="00807008"/>
    <w:rsid w:val="0081133B"/>
    <w:rsid w:val="00811CF2"/>
    <w:rsid w:val="008122FA"/>
    <w:rsid w:val="00814A1D"/>
    <w:rsid w:val="00815023"/>
    <w:rsid w:val="00820C02"/>
    <w:rsid w:val="00826466"/>
    <w:rsid w:val="00827AEC"/>
    <w:rsid w:val="00827B67"/>
    <w:rsid w:val="0083017B"/>
    <w:rsid w:val="00832B88"/>
    <w:rsid w:val="00832C6D"/>
    <w:rsid w:val="00833549"/>
    <w:rsid w:val="00840680"/>
    <w:rsid w:val="00843155"/>
    <w:rsid w:val="008530E4"/>
    <w:rsid w:val="00853D61"/>
    <w:rsid w:val="00855BD2"/>
    <w:rsid w:val="00857AFA"/>
    <w:rsid w:val="008609B2"/>
    <w:rsid w:val="008609CB"/>
    <w:rsid w:val="0086460B"/>
    <w:rsid w:val="00865F07"/>
    <w:rsid w:val="00867D65"/>
    <w:rsid w:val="0087217F"/>
    <w:rsid w:val="00876CD4"/>
    <w:rsid w:val="008808E2"/>
    <w:rsid w:val="00881DBE"/>
    <w:rsid w:val="008878B2"/>
    <w:rsid w:val="00891105"/>
    <w:rsid w:val="00892086"/>
    <w:rsid w:val="00893766"/>
    <w:rsid w:val="0089531C"/>
    <w:rsid w:val="00896062"/>
    <w:rsid w:val="008A015F"/>
    <w:rsid w:val="008A32D0"/>
    <w:rsid w:val="008A395C"/>
    <w:rsid w:val="008B04C0"/>
    <w:rsid w:val="008B05C3"/>
    <w:rsid w:val="008B26F5"/>
    <w:rsid w:val="008B63FB"/>
    <w:rsid w:val="008C27F7"/>
    <w:rsid w:val="008C4508"/>
    <w:rsid w:val="008C4658"/>
    <w:rsid w:val="008C4A7C"/>
    <w:rsid w:val="008D227C"/>
    <w:rsid w:val="008D27CD"/>
    <w:rsid w:val="008E112E"/>
    <w:rsid w:val="008E29C6"/>
    <w:rsid w:val="008E5989"/>
    <w:rsid w:val="008E65CA"/>
    <w:rsid w:val="008E6FB8"/>
    <w:rsid w:val="008F1E14"/>
    <w:rsid w:val="008F1FA3"/>
    <w:rsid w:val="008F2845"/>
    <w:rsid w:val="008F28FC"/>
    <w:rsid w:val="008F3758"/>
    <w:rsid w:val="008F44C6"/>
    <w:rsid w:val="008F4A19"/>
    <w:rsid w:val="008F6148"/>
    <w:rsid w:val="008F6611"/>
    <w:rsid w:val="008F7C6D"/>
    <w:rsid w:val="0090293F"/>
    <w:rsid w:val="00902983"/>
    <w:rsid w:val="0090338B"/>
    <w:rsid w:val="00906F35"/>
    <w:rsid w:val="009126C1"/>
    <w:rsid w:val="00913BCE"/>
    <w:rsid w:val="00914093"/>
    <w:rsid w:val="00914EF1"/>
    <w:rsid w:val="0091558A"/>
    <w:rsid w:val="00915F0A"/>
    <w:rsid w:val="00922BBB"/>
    <w:rsid w:val="0092618C"/>
    <w:rsid w:val="0093554F"/>
    <w:rsid w:val="00935687"/>
    <w:rsid w:val="009372C9"/>
    <w:rsid w:val="009447E1"/>
    <w:rsid w:val="00944E68"/>
    <w:rsid w:val="009450E9"/>
    <w:rsid w:val="009523F5"/>
    <w:rsid w:val="00954EBF"/>
    <w:rsid w:val="0095516D"/>
    <w:rsid w:val="00955E47"/>
    <w:rsid w:val="00957111"/>
    <w:rsid w:val="009667A6"/>
    <w:rsid w:val="00970A2C"/>
    <w:rsid w:val="00971F3D"/>
    <w:rsid w:val="00972A7B"/>
    <w:rsid w:val="00982E31"/>
    <w:rsid w:val="009844C0"/>
    <w:rsid w:val="00986593"/>
    <w:rsid w:val="00996F93"/>
    <w:rsid w:val="009978AB"/>
    <w:rsid w:val="009A13C4"/>
    <w:rsid w:val="009A2A87"/>
    <w:rsid w:val="009A3C02"/>
    <w:rsid w:val="009A5140"/>
    <w:rsid w:val="009A5667"/>
    <w:rsid w:val="009A699F"/>
    <w:rsid w:val="009B01DA"/>
    <w:rsid w:val="009B129E"/>
    <w:rsid w:val="009B3406"/>
    <w:rsid w:val="009B654E"/>
    <w:rsid w:val="009C0C2F"/>
    <w:rsid w:val="009C3592"/>
    <w:rsid w:val="009D27BC"/>
    <w:rsid w:val="009D4454"/>
    <w:rsid w:val="009E6AEF"/>
    <w:rsid w:val="009F12C0"/>
    <w:rsid w:val="009F5659"/>
    <w:rsid w:val="009F6974"/>
    <w:rsid w:val="009F6C56"/>
    <w:rsid w:val="00A01035"/>
    <w:rsid w:val="00A01A41"/>
    <w:rsid w:val="00A03C31"/>
    <w:rsid w:val="00A0421F"/>
    <w:rsid w:val="00A058D9"/>
    <w:rsid w:val="00A064D1"/>
    <w:rsid w:val="00A07A84"/>
    <w:rsid w:val="00A10510"/>
    <w:rsid w:val="00A120B1"/>
    <w:rsid w:val="00A125AF"/>
    <w:rsid w:val="00A133D1"/>
    <w:rsid w:val="00A15C5A"/>
    <w:rsid w:val="00A31E20"/>
    <w:rsid w:val="00A33BB2"/>
    <w:rsid w:val="00A33F25"/>
    <w:rsid w:val="00A343DD"/>
    <w:rsid w:val="00A361AE"/>
    <w:rsid w:val="00A41A67"/>
    <w:rsid w:val="00A44203"/>
    <w:rsid w:val="00A60992"/>
    <w:rsid w:val="00A64AAB"/>
    <w:rsid w:val="00A65158"/>
    <w:rsid w:val="00A6543E"/>
    <w:rsid w:val="00A712F2"/>
    <w:rsid w:val="00A71C23"/>
    <w:rsid w:val="00A72285"/>
    <w:rsid w:val="00A80D83"/>
    <w:rsid w:val="00A823EF"/>
    <w:rsid w:val="00A83C1C"/>
    <w:rsid w:val="00A85047"/>
    <w:rsid w:val="00A87B7C"/>
    <w:rsid w:val="00A907CB"/>
    <w:rsid w:val="00A90858"/>
    <w:rsid w:val="00A9507D"/>
    <w:rsid w:val="00A955DC"/>
    <w:rsid w:val="00AA0849"/>
    <w:rsid w:val="00AA2451"/>
    <w:rsid w:val="00AA380A"/>
    <w:rsid w:val="00AA3BD1"/>
    <w:rsid w:val="00AA54E0"/>
    <w:rsid w:val="00AA5E4F"/>
    <w:rsid w:val="00AB03E8"/>
    <w:rsid w:val="00AB1EEC"/>
    <w:rsid w:val="00AB2C87"/>
    <w:rsid w:val="00AB361E"/>
    <w:rsid w:val="00AB3BB8"/>
    <w:rsid w:val="00AB6B71"/>
    <w:rsid w:val="00AC305D"/>
    <w:rsid w:val="00AD1D1E"/>
    <w:rsid w:val="00AD7353"/>
    <w:rsid w:val="00AE131D"/>
    <w:rsid w:val="00AE1B90"/>
    <w:rsid w:val="00AE2343"/>
    <w:rsid w:val="00AF1774"/>
    <w:rsid w:val="00AF330A"/>
    <w:rsid w:val="00AF3745"/>
    <w:rsid w:val="00B04466"/>
    <w:rsid w:val="00B04981"/>
    <w:rsid w:val="00B13E24"/>
    <w:rsid w:val="00B14E5E"/>
    <w:rsid w:val="00B15BC0"/>
    <w:rsid w:val="00B16F6B"/>
    <w:rsid w:val="00B2274E"/>
    <w:rsid w:val="00B237F0"/>
    <w:rsid w:val="00B25718"/>
    <w:rsid w:val="00B305FB"/>
    <w:rsid w:val="00B331D4"/>
    <w:rsid w:val="00B53AC2"/>
    <w:rsid w:val="00B557DE"/>
    <w:rsid w:val="00B648F0"/>
    <w:rsid w:val="00B6612D"/>
    <w:rsid w:val="00B66791"/>
    <w:rsid w:val="00B66A21"/>
    <w:rsid w:val="00B73381"/>
    <w:rsid w:val="00B7510C"/>
    <w:rsid w:val="00B75D19"/>
    <w:rsid w:val="00B80FDE"/>
    <w:rsid w:val="00B811D6"/>
    <w:rsid w:val="00B816D5"/>
    <w:rsid w:val="00B84A5B"/>
    <w:rsid w:val="00B915E2"/>
    <w:rsid w:val="00B951C8"/>
    <w:rsid w:val="00B97CB7"/>
    <w:rsid w:val="00BA09B0"/>
    <w:rsid w:val="00BA173A"/>
    <w:rsid w:val="00BA1BBC"/>
    <w:rsid w:val="00BA3738"/>
    <w:rsid w:val="00BA71E8"/>
    <w:rsid w:val="00BB09C3"/>
    <w:rsid w:val="00BB6FA7"/>
    <w:rsid w:val="00BC3193"/>
    <w:rsid w:val="00BC3D8B"/>
    <w:rsid w:val="00BC57FF"/>
    <w:rsid w:val="00BC59A9"/>
    <w:rsid w:val="00BC76E1"/>
    <w:rsid w:val="00BC793B"/>
    <w:rsid w:val="00BC7DEF"/>
    <w:rsid w:val="00BD6EEF"/>
    <w:rsid w:val="00BD7A73"/>
    <w:rsid w:val="00BE3A0E"/>
    <w:rsid w:val="00BE431B"/>
    <w:rsid w:val="00BE559B"/>
    <w:rsid w:val="00BF706B"/>
    <w:rsid w:val="00BF7659"/>
    <w:rsid w:val="00C0194E"/>
    <w:rsid w:val="00C0314A"/>
    <w:rsid w:val="00C10AFD"/>
    <w:rsid w:val="00C11862"/>
    <w:rsid w:val="00C20C14"/>
    <w:rsid w:val="00C24FB8"/>
    <w:rsid w:val="00C27251"/>
    <w:rsid w:val="00C30B75"/>
    <w:rsid w:val="00C31D49"/>
    <w:rsid w:val="00C365D8"/>
    <w:rsid w:val="00C411FD"/>
    <w:rsid w:val="00C433E1"/>
    <w:rsid w:val="00C452B9"/>
    <w:rsid w:val="00C46839"/>
    <w:rsid w:val="00C519CE"/>
    <w:rsid w:val="00C62066"/>
    <w:rsid w:val="00C635DE"/>
    <w:rsid w:val="00C636A6"/>
    <w:rsid w:val="00C63832"/>
    <w:rsid w:val="00C64812"/>
    <w:rsid w:val="00C67902"/>
    <w:rsid w:val="00C71F34"/>
    <w:rsid w:val="00C74C84"/>
    <w:rsid w:val="00C80190"/>
    <w:rsid w:val="00C8085E"/>
    <w:rsid w:val="00C82EEE"/>
    <w:rsid w:val="00C91329"/>
    <w:rsid w:val="00C931E9"/>
    <w:rsid w:val="00C96371"/>
    <w:rsid w:val="00CA1090"/>
    <w:rsid w:val="00CA113C"/>
    <w:rsid w:val="00CA3C23"/>
    <w:rsid w:val="00CA59D3"/>
    <w:rsid w:val="00CA6D77"/>
    <w:rsid w:val="00CA6E3E"/>
    <w:rsid w:val="00CB6723"/>
    <w:rsid w:val="00CB7B1B"/>
    <w:rsid w:val="00CC1F78"/>
    <w:rsid w:val="00CC48E2"/>
    <w:rsid w:val="00CC6ADA"/>
    <w:rsid w:val="00CD4AD5"/>
    <w:rsid w:val="00CE2E50"/>
    <w:rsid w:val="00CE2FD4"/>
    <w:rsid w:val="00CE43AC"/>
    <w:rsid w:val="00CF4AA9"/>
    <w:rsid w:val="00CF72FB"/>
    <w:rsid w:val="00D04ECD"/>
    <w:rsid w:val="00D11677"/>
    <w:rsid w:val="00D16648"/>
    <w:rsid w:val="00D208A9"/>
    <w:rsid w:val="00D24A0A"/>
    <w:rsid w:val="00D26CFF"/>
    <w:rsid w:val="00D333AA"/>
    <w:rsid w:val="00D35149"/>
    <w:rsid w:val="00D405EC"/>
    <w:rsid w:val="00D40A6A"/>
    <w:rsid w:val="00D42212"/>
    <w:rsid w:val="00D43432"/>
    <w:rsid w:val="00D4505F"/>
    <w:rsid w:val="00D452A4"/>
    <w:rsid w:val="00D6081F"/>
    <w:rsid w:val="00D65228"/>
    <w:rsid w:val="00D751B5"/>
    <w:rsid w:val="00D807BC"/>
    <w:rsid w:val="00D8526D"/>
    <w:rsid w:val="00D87054"/>
    <w:rsid w:val="00D915DC"/>
    <w:rsid w:val="00D91640"/>
    <w:rsid w:val="00D9279B"/>
    <w:rsid w:val="00D93869"/>
    <w:rsid w:val="00D93A78"/>
    <w:rsid w:val="00DA14A8"/>
    <w:rsid w:val="00DA63E1"/>
    <w:rsid w:val="00DA6D4D"/>
    <w:rsid w:val="00DB04A6"/>
    <w:rsid w:val="00DB1E57"/>
    <w:rsid w:val="00DB221F"/>
    <w:rsid w:val="00DB2B64"/>
    <w:rsid w:val="00DB43FB"/>
    <w:rsid w:val="00DB76DC"/>
    <w:rsid w:val="00DC21CC"/>
    <w:rsid w:val="00DC52B9"/>
    <w:rsid w:val="00DC6324"/>
    <w:rsid w:val="00DC6689"/>
    <w:rsid w:val="00DD4E46"/>
    <w:rsid w:val="00DE1A21"/>
    <w:rsid w:val="00DF019A"/>
    <w:rsid w:val="00DF5737"/>
    <w:rsid w:val="00DF751B"/>
    <w:rsid w:val="00E032E8"/>
    <w:rsid w:val="00E03E78"/>
    <w:rsid w:val="00E051E7"/>
    <w:rsid w:val="00E06FB2"/>
    <w:rsid w:val="00E0767F"/>
    <w:rsid w:val="00E12318"/>
    <w:rsid w:val="00E126F5"/>
    <w:rsid w:val="00E21C82"/>
    <w:rsid w:val="00E22451"/>
    <w:rsid w:val="00E2337B"/>
    <w:rsid w:val="00E27572"/>
    <w:rsid w:val="00E31489"/>
    <w:rsid w:val="00E3446F"/>
    <w:rsid w:val="00E361BF"/>
    <w:rsid w:val="00E378D3"/>
    <w:rsid w:val="00E37C4C"/>
    <w:rsid w:val="00E4245D"/>
    <w:rsid w:val="00E4268C"/>
    <w:rsid w:val="00E5241A"/>
    <w:rsid w:val="00E54FFF"/>
    <w:rsid w:val="00E56B40"/>
    <w:rsid w:val="00E6130D"/>
    <w:rsid w:val="00E61755"/>
    <w:rsid w:val="00E62541"/>
    <w:rsid w:val="00E7004D"/>
    <w:rsid w:val="00E8067A"/>
    <w:rsid w:val="00E81127"/>
    <w:rsid w:val="00E84693"/>
    <w:rsid w:val="00E9306D"/>
    <w:rsid w:val="00E953F9"/>
    <w:rsid w:val="00E97202"/>
    <w:rsid w:val="00EA0864"/>
    <w:rsid w:val="00EA2002"/>
    <w:rsid w:val="00EA3870"/>
    <w:rsid w:val="00EA3A08"/>
    <w:rsid w:val="00EA54DF"/>
    <w:rsid w:val="00EA7BF1"/>
    <w:rsid w:val="00EB09C6"/>
    <w:rsid w:val="00EB2333"/>
    <w:rsid w:val="00EB4C67"/>
    <w:rsid w:val="00EB642A"/>
    <w:rsid w:val="00EC362F"/>
    <w:rsid w:val="00EC58F2"/>
    <w:rsid w:val="00EC67FF"/>
    <w:rsid w:val="00ED150D"/>
    <w:rsid w:val="00ED3D64"/>
    <w:rsid w:val="00ED4A49"/>
    <w:rsid w:val="00ED6CF5"/>
    <w:rsid w:val="00EE032C"/>
    <w:rsid w:val="00EE0C4C"/>
    <w:rsid w:val="00EE2E8B"/>
    <w:rsid w:val="00EF37DF"/>
    <w:rsid w:val="00F001B1"/>
    <w:rsid w:val="00F00F1D"/>
    <w:rsid w:val="00F0586F"/>
    <w:rsid w:val="00F10A9A"/>
    <w:rsid w:val="00F10AC8"/>
    <w:rsid w:val="00F113F4"/>
    <w:rsid w:val="00F156A8"/>
    <w:rsid w:val="00F161DB"/>
    <w:rsid w:val="00F2111F"/>
    <w:rsid w:val="00F2374F"/>
    <w:rsid w:val="00F27C8E"/>
    <w:rsid w:val="00F30BDA"/>
    <w:rsid w:val="00F366EE"/>
    <w:rsid w:val="00F376C8"/>
    <w:rsid w:val="00F3797F"/>
    <w:rsid w:val="00F4242D"/>
    <w:rsid w:val="00F51DB7"/>
    <w:rsid w:val="00F55589"/>
    <w:rsid w:val="00F57321"/>
    <w:rsid w:val="00F62FF7"/>
    <w:rsid w:val="00F6557A"/>
    <w:rsid w:val="00F6663F"/>
    <w:rsid w:val="00F703C9"/>
    <w:rsid w:val="00F7619C"/>
    <w:rsid w:val="00F7795D"/>
    <w:rsid w:val="00F810FC"/>
    <w:rsid w:val="00F817B6"/>
    <w:rsid w:val="00F8387B"/>
    <w:rsid w:val="00F83AB8"/>
    <w:rsid w:val="00F855B1"/>
    <w:rsid w:val="00F9133C"/>
    <w:rsid w:val="00F97B5D"/>
    <w:rsid w:val="00FA14D7"/>
    <w:rsid w:val="00FA400E"/>
    <w:rsid w:val="00FA5745"/>
    <w:rsid w:val="00FA7AFB"/>
    <w:rsid w:val="00FA7DA2"/>
    <w:rsid w:val="00FB1E67"/>
    <w:rsid w:val="00FB6452"/>
    <w:rsid w:val="00FB6490"/>
    <w:rsid w:val="00FB6B83"/>
    <w:rsid w:val="00FC31AD"/>
    <w:rsid w:val="00FD1AE1"/>
    <w:rsid w:val="00FD32BA"/>
    <w:rsid w:val="00FD3A92"/>
    <w:rsid w:val="00FE1D30"/>
    <w:rsid w:val="00FE3318"/>
    <w:rsid w:val="00FE381F"/>
    <w:rsid w:val="00FE5BAF"/>
    <w:rsid w:val="00FE7F59"/>
    <w:rsid w:val="00FF53EA"/>
    <w:rsid w:val="00FF60F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2">
    <w:name w:val="heading 2"/>
    <w:basedOn w:val="Normal"/>
    <w:next w:val="Normal"/>
    <w:link w:val="Heading2Char"/>
    <w:uiPriority w:val="9"/>
    <w:qFormat/>
    <w:rsid w:val="00B97CB7"/>
    <w:pPr>
      <w:keepNext/>
      <w:spacing w:before="180" w:after="180" w:line="280" w:lineRule="exact"/>
      <w:outlineLvl w:val="1"/>
    </w:pPr>
    <w:rPr>
      <w:rFonts w:eastAsia="Times New Roman" w:cs="Times New Roman"/>
      <w:b/>
      <w:bCs/>
      <w:iCs/>
      <w:color w:val="446E82"/>
      <w:sz w:val="28"/>
      <w:szCs w:val="28"/>
      <w:lang w:val="en-GB"/>
    </w:rPr>
  </w:style>
  <w:style w:type="paragraph" w:styleId="Heading3">
    <w:name w:val="heading 3"/>
    <w:basedOn w:val="Normal"/>
    <w:next w:val="Normal"/>
    <w:link w:val="Heading3Char"/>
    <w:uiPriority w:val="9"/>
    <w:unhideWhenUsed/>
    <w:qFormat/>
    <w:rsid w:val="008B04C0"/>
    <w:pPr>
      <w:keepNext/>
      <w:keepLines/>
      <w:spacing w:line="280" w:lineRule="exact"/>
      <w:outlineLvl w:val="2"/>
    </w:pPr>
    <w:rPr>
      <w:rFonts w:eastAsiaTheme="majorEastAsia" w:cstheme="majorBidi"/>
      <w:b/>
      <w:color w:val="446E82"/>
      <w:sz w:val="24"/>
      <w:szCs w:val="24"/>
    </w:rPr>
  </w:style>
  <w:style w:type="paragraph" w:styleId="Heading4">
    <w:name w:val="heading 4"/>
    <w:basedOn w:val="Normal"/>
    <w:next w:val="Normal"/>
    <w:link w:val="Heading4Char"/>
    <w:uiPriority w:val="9"/>
    <w:unhideWhenUsed/>
    <w:qFormat/>
    <w:rsid w:val="00BC3193"/>
    <w:pPr>
      <w:keepNext/>
      <w:keepLines/>
      <w:spacing w:line="280" w:lineRule="exact"/>
      <w:outlineLvl w:val="3"/>
    </w:pPr>
    <w:rPr>
      <w:rFonts w:eastAsiaTheme="majorEastAsia" w:cstheme="majorBidi"/>
      <w:b/>
      <w:iCs/>
      <w:color w:val="446E8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B129E"/>
    <w:pPr>
      <w:spacing w:before="240" w:after="60"/>
      <w:jc w:val="center"/>
      <w:outlineLvl w:val="0"/>
    </w:pPr>
    <w:rPr>
      <w:rFonts w:eastAsia="Times New Roman" w:cs="Times New Roman"/>
      <w:b/>
      <w:bCs/>
      <w:color w:val="446E82"/>
      <w:kern w:val="28"/>
      <w:sz w:val="36"/>
      <w:szCs w:val="32"/>
      <w:lang w:val="en-GB"/>
    </w:rPr>
  </w:style>
  <w:style w:type="character" w:customStyle="1" w:styleId="TitleChar">
    <w:name w:val="Title Char"/>
    <w:basedOn w:val="DefaultParagraphFont"/>
    <w:link w:val="Title"/>
    <w:rsid w:val="009B129E"/>
    <w:rPr>
      <w:rFonts w:ascii="Arial" w:eastAsia="Times New Roman" w:hAnsi="Arial" w:cs="Times New Roman"/>
      <w:b/>
      <w:bCs/>
      <w:color w:val="446E82"/>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semiHidden/>
    <w:rsid w:val="009B129E"/>
  </w:style>
  <w:style w:type="character" w:customStyle="1" w:styleId="HeaderChar1">
    <w:name w:val="Header Char1"/>
    <w:link w:val="Header"/>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B97CB7"/>
    <w:rPr>
      <w:rFonts w:ascii="Arial" w:eastAsia="Times New Roman" w:hAnsi="Arial" w:cs="Times New Roman"/>
      <w:b/>
      <w:bCs/>
      <w:iCs/>
      <w:color w:val="446E82"/>
      <w:sz w:val="28"/>
      <w:szCs w:val="28"/>
      <w:lang w:val="en-GB"/>
    </w:rPr>
  </w:style>
  <w:style w:type="character" w:customStyle="1" w:styleId="Heading3Char">
    <w:name w:val="Heading 3 Char"/>
    <w:basedOn w:val="DefaultParagraphFont"/>
    <w:link w:val="Heading3"/>
    <w:uiPriority w:val="9"/>
    <w:rsid w:val="008B04C0"/>
    <w:rPr>
      <w:rFonts w:ascii="Arial" w:eastAsiaTheme="majorEastAsia" w:hAnsi="Arial" w:cstheme="majorBidi"/>
      <w:b/>
      <w:color w:val="446E82"/>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semiHidden/>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semiHidden/>
    <w:rsid w:val="00176460"/>
    <w:rPr>
      <w:rFonts w:ascii="Arial" w:eastAsia="Times New Roman" w:hAnsi="Arial" w:cs="Times New Roman"/>
      <w:sz w:val="20"/>
      <w:szCs w:val="20"/>
      <w:lang w:val="en-GB"/>
    </w:rPr>
  </w:style>
  <w:style w:type="character" w:styleId="FootnoteReference">
    <w:name w:val="footnote reference"/>
    <w:uiPriority w:val="99"/>
    <w:semiHidden/>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BC3193"/>
    <w:rPr>
      <w:rFonts w:ascii="Arial" w:eastAsiaTheme="majorEastAsia" w:hAnsi="Arial" w:cstheme="majorBidi"/>
      <w:b/>
      <w:iCs/>
      <w:color w:val="446E82"/>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047560"/>
    <w:pPr>
      <w:spacing w:after="0" w:line="240" w:lineRule="auto"/>
      <w:ind w:left="720"/>
    </w:pPr>
    <w:rPr>
      <w:rFonts w:ascii="Calibri" w:eastAsia="Calibri" w:hAnsi="Calibri" w:cs="Times New Roman"/>
      <w:sz w:val="22"/>
      <w:lang w:val="en-GB"/>
    </w:rPr>
  </w:style>
  <w:style w:type="paragraph" w:styleId="ListBullet4">
    <w:name w:val="List Bullet 4"/>
    <w:basedOn w:val="Normal"/>
    <w:uiPriority w:val="99"/>
    <w:semiHidden/>
    <w:unhideWhenUsed/>
    <w:rsid w:val="0060361C"/>
    <w:pPr>
      <w:numPr>
        <w:numId w:val="6"/>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semiHidden/>
    <w:unhideWhenUsed/>
    <w:rsid w:val="00B6612D"/>
    <w:pPr>
      <w:spacing w:line="240" w:lineRule="auto"/>
    </w:pPr>
    <w:rPr>
      <w:szCs w:val="20"/>
    </w:rPr>
  </w:style>
  <w:style w:type="character" w:customStyle="1" w:styleId="CommentTextChar">
    <w:name w:val="Comment Text Char"/>
    <w:basedOn w:val="DefaultParagraphFont"/>
    <w:link w:val="CommentText"/>
    <w:uiPriority w:val="99"/>
    <w:semiHidden/>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qpc.qld.gov.au/inquiries/service-delivery-in-queenslands-remote-and-discrete-indigenous-communities/" TargetMode="External"/><Relationship Id="rId117" Type="http://schemas.openxmlformats.org/officeDocument/2006/relationships/theme" Target="theme/theme1.xml"/><Relationship Id="rId21" Type="http://schemas.openxmlformats.org/officeDocument/2006/relationships/header" Target="header11.xml"/><Relationship Id="rId42" Type="http://schemas.openxmlformats.org/officeDocument/2006/relationships/header" Target="header24.xml"/><Relationship Id="rId47" Type="http://schemas.openxmlformats.org/officeDocument/2006/relationships/header" Target="header28.xml"/><Relationship Id="rId63" Type="http://schemas.openxmlformats.org/officeDocument/2006/relationships/header" Target="header44.xml"/><Relationship Id="rId68" Type="http://schemas.openxmlformats.org/officeDocument/2006/relationships/header" Target="header49.xml"/><Relationship Id="rId84" Type="http://schemas.openxmlformats.org/officeDocument/2006/relationships/header" Target="header60.xml"/><Relationship Id="rId89" Type="http://schemas.openxmlformats.org/officeDocument/2006/relationships/footer" Target="footer6.xml"/><Relationship Id="rId112" Type="http://schemas.openxmlformats.org/officeDocument/2006/relationships/hyperlink" Target="https://statistics.qgso.qld.gov.au/qld-regional-profiles" TargetMode="External"/><Relationship Id="rId16" Type="http://schemas.openxmlformats.org/officeDocument/2006/relationships/header" Target="header6.xml"/><Relationship Id="rId107" Type="http://schemas.openxmlformats.org/officeDocument/2006/relationships/header" Target="header78.xml"/><Relationship Id="rId11" Type="http://schemas.openxmlformats.org/officeDocument/2006/relationships/header" Target="header2.xml"/><Relationship Id="rId24" Type="http://schemas.openxmlformats.org/officeDocument/2006/relationships/header" Target="header14.xml"/><Relationship Id="rId32" Type="http://schemas.openxmlformats.org/officeDocument/2006/relationships/hyperlink" Target="https://www.dss.gov.au/sites/default/files/documents/03_2013/cywr_evaluation_report_v1.2_0.pdf" TargetMode="External"/><Relationship Id="rId37" Type="http://schemas.openxmlformats.org/officeDocument/2006/relationships/footer" Target="footer3.xml"/><Relationship Id="rId40" Type="http://schemas.openxmlformats.org/officeDocument/2006/relationships/header" Target="header23.xml"/><Relationship Id="rId45" Type="http://schemas.openxmlformats.org/officeDocument/2006/relationships/header" Target="header26.xml"/><Relationship Id="rId53" Type="http://schemas.openxmlformats.org/officeDocument/2006/relationships/header" Target="header34.xml"/><Relationship Id="rId58" Type="http://schemas.openxmlformats.org/officeDocument/2006/relationships/header" Target="header39.xml"/><Relationship Id="rId66" Type="http://schemas.openxmlformats.org/officeDocument/2006/relationships/header" Target="header47.xml"/><Relationship Id="rId74" Type="http://schemas.openxmlformats.org/officeDocument/2006/relationships/header" Target="header54.xml"/><Relationship Id="rId79" Type="http://schemas.openxmlformats.org/officeDocument/2006/relationships/header" Target="header56.xml"/><Relationship Id="rId87" Type="http://schemas.openxmlformats.org/officeDocument/2006/relationships/header" Target="header63.xml"/><Relationship Id="rId102" Type="http://schemas.openxmlformats.org/officeDocument/2006/relationships/header" Target="header74.xml"/><Relationship Id="rId110" Type="http://schemas.openxmlformats.org/officeDocument/2006/relationships/hyperlink" Target="http://www.frcq.org.au" TargetMode="External"/><Relationship Id="rId115" Type="http://schemas.openxmlformats.org/officeDocument/2006/relationships/header" Target="header83.xml"/><Relationship Id="rId5" Type="http://schemas.openxmlformats.org/officeDocument/2006/relationships/webSettings" Target="webSettings.xml"/><Relationship Id="rId61" Type="http://schemas.openxmlformats.org/officeDocument/2006/relationships/header" Target="header42.xml"/><Relationship Id="rId82" Type="http://schemas.openxmlformats.org/officeDocument/2006/relationships/header" Target="header59.xml"/><Relationship Id="rId90" Type="http://schemas.openxmlformats.org/officeDocument/2006/relationships/header" Target="header65.xml"/><Relationship Id="rId95" Type="http://schemas.openxmlformats.org/officeDocument/2006/relationships/header" Target="header69.xml"/><Relationship Id="rId19" Type="http://schemas.openxmlformats.org/officeDocument/2006/relationships/header" Target="header9.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yperlink" Target="https://qpc.blob.core.windows.net/wordpress/2018/06/Service-delivery-Final-Report.pdf" TargetMode="External"/><Relationship Id="rId30" Type="http://schemas.openxmlformats.org/officeDocument/2006/relationships/header" Target="header17.xml"/><Relationship Id="rId35" Type="http://schemas.openxmlformats.org/officeDocument/2006/relationships/header" Target="header19.xml"/><Relationship Id="rId43" Type="http://schemas.openxmlformats.org/officeDocument/2006/relationships/hyperlink" Target="http://www.dss.gov.au/our-responsibilities/families-and-children/publications-articles/cape-york-welfare-reform-fact-sheets/income-management-for-cape-york-welfare-reform" TargetMode="External"/><Relationship Id="rId48" Type="http://schemas.openxmlformats.org/officeDocument/2006/relationships/header" Target="header29.xml"/><Relationship Id="rId56" Type="http://schemas.openxmlformats.org/officeDocument/2006/relationships/header" Target="header37.xml"/><Relationship Id="rId64" Type="http://schemas.openxmlformats.org/officeDocument/2006/relationships/header" Target="header45.xml"/><Relationship Id="rId69" Type="http://schemas.openxmlformats.org/officeDocument/2006/relationships/header" Target="header50.xml"/><Relationship Id="rId77" Type="http://schemas.openxmlformats.org/officeDocument/2006/relationships/hyperlink" Target="https://data.qld.gov.au" TargetMode="External"/><Relationship Id="rId100" Type="http://schemas.openxmlformats.org/officeDocument/2006/relationships/header" Target="header73.xml"/><Relationship Id="rId105" Type="http://schemas.openxmlformats.org/officeDocument/2006/relationships/footer" Target="footer10.xml"/><Relationship Id="rId113" Type="http://schemas.openxmlformats.org/officeDocument/2006/relationships/header" Target="header81.xml"/><Relationship Id="rId8" Type="http://schemas.openxmlformats.org/officeDocument/2006/relationships/footer" Target="footer1.xml"/><Relationship Id="rId51" Type="http://schemas.openxmlformats.org/officeDocument/2006/relationships/header" Target="header32.xml"/><Relationship Id="rId72" Type="http://schemas.openxmlformats.org/officeDocument/2006/relationships/header" Target="header52.xml"/><Relationship Id="rId80" Type="http://schemas.openxmlformats.org/officeDocument/2006/relationships/header" Target="header57.xml"/><Relationship Id="rId85" Type="http://schemas.openxmlformats.org/officeDocument/2006/relationships/header" Target="header61.xml"/><Relationship Id="rId93" Type="http://schemas.openxmlformats.org/officeDocument/2006/relationships/footer" Target="footer7.xml"/><Relationship Id="rId98" Type="http://schemas.openxmlformats.org/officeDocument/2006/relationships/header" Target="header7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yperlink" Target="https://www.dss.gov.au/sites/default/files/documents/implementation-review-of-frc-sept-2010.pdf" TargetMode="External"/><Relationship Id="rId38" Type="http://schemas.openxmlformats.org/officeDocument/2006/relationships/header" Target="header21.xml"/><Relationship Id="rId46" Type="http://schemas.openxmlformats.org/officeDocument/2006/relationships/header" Target="header27.xml"/><Relationship Id="rId59" Type="http://schemas.openxmlformats.org/officeDocument/2006/relationships/header" Target="header40.xml"/><Relationship Id="rId67" Type="http://schemas.openxmlformats.org/officeDocument/2006/relationships/header" Target="header48.xml"/><Relationship Id="rId103" Type="http://schemas.openxmlformats.org/officeDocument/2006/relationships/header" Target="header75.xml"/><Relationship Id="rId108" Type="http://schemas.openxmlformats.org/officeDocument/2006/relationships/header" Target="header79.xml"/><Relationship Id="rId116" Type="http://schemas.openxmlformats.org/officeDocument/2006/relationships/fontTable" Target="fontTable.xml"/><Relationship Id="rId20" Type="http://schemas.openxmlformats.org/officeDocument/2006/relationships/header" Target="header10.xml"/><Relationship Id="rId41" Type="http://schemas.openxmlformats.org/officeDocument/2006/relationships/footer" Target="footer4.xml"/><Relationship Id="rId54" Type="http://schemas.openxmlformats.org/officeDocument/2006/relationships/header" Target="header35.xml"/><Relationship Id="rId62" Type="http://schemas.openxmlformats.org/officeDocument/2006/relationships/header" Target="header43.xml"/><Relationship Id="rId70" Type="http://schemas.openxmlformats.org/officeDocument/2006/relationships/footer" Target="footer5.xml"/><Relationship Id="rId75" Type="http://schemas.openxmlformats.org/officeDocument/2006/relationships/header" Target="header55.xml"/><Relationship Id="rId83" Type="http://schemas.openxmlformats.org/officeDocument/2006/relationships/hyperlink" Target="https://www.frcq.org.au" TargetMode="External"/><Relationship Id="rId88" Type="http://schemas.openxmlformats.org/officeDocument/2006/relationships/header" Target="header64.xml"/><Relationship Id="rId91" Type="http://schemas.openxmlformats.org/officeDocument/2006/relationships/header" Target="header66.xml"/><Relationship Id="rId96" Type="http://schemas.openxmlformats.org/officeDocument/2006/relationships/header" Target="header70.xml"/><Relationship Id="rId111" Type="http://schemas.openxmlformats.org/officeDocument/2006/relationships/hyperlink" Target="https://www.datsip.qld.gov.au/programs-initiatives/family-responsibilities-commissio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yperlink" Target="https://www.dss.gov.au/families-and-children-programs-services-welfare-quarantining-income-management/strategic-review-of-cape-york-income-management" TargetMode="External"/><Relationship Id="rId36" Type="http://schemas.openxmlformats.org/officeDocument/2006/relationships/header" Target="header20.xml"/><Relationship Id="rId49" Type="http://schemas.openxmlformats.org/officeDocument/2006/relationships/header" Target="header30.xml"/><Relationship Id="rId57" Type="http://schemas.openxmlformats.org/officeDocument/2006/relationships/header" Target="header38.xml"/><Relationship Id="rId106" Type="http://schemas.openxmlformats.org/officeDocument/2006/relationships/header" Target="header77.xml"/><Relationship Id="rId114" Type="http://schemas.openxmlformats.org/officeDocument/2006/relationships/header" Target="header82.xml"/><Relationship Id="rId10" Type="http://schemas.openxmlformats.org/officeDocument/2006/relationships/header" Target="header1.xml"/><Relationship Id="rId31" Type="http://schemas.openxmlformats.org/officeDocument/2006/relationships/header" Target="header18.xml"/><Relationship Id="rId44" Type="http://schemas.openxmlformats.org/officeDocument/2006/relationships/header" Target="header25.xml"/><Relationship Id="rId52" Type="http://schemas.openxmlformats.org/officeDocument/2006/relationships/header" Target="header33.xml"/><Relationship Id="rId60" Type="http://schemas.openxmlformats.org/officeDocument/2006/relationships/header" Target="header41.xml"/><Relationship Id="rId65" Type="http://schemas.openxmlformats.org/officeDocument/2006/relationships/header" Target="header46.xml"/><Relationship Id="rId73" Type="http://schemas.openxmlformats.org/officeDocument/2006/relationships/header" Target="header53.xml"/><Relationship Id="rId78" Type="http://schemas.openxmlformats.org/officeDocument/2006/relationships/hyperlink" Target="https://www.frcq.org.au" TargetMode="External"/><Relationship Id="rId81" Type="http://schemas.openxmlformats.org/officeDocument/2006/relationships/header" Target="header58.xml"/><Relationship Id="rId86" Type="http://schemas.openxmlformats.org/officeDocument/2006/relationships/header" Target="header62.xml"/><Relationship Id="rId94" Type="http://schemas.openxmlformats.org/officeDocument/2006/relationships/header" Target="header68.xml"/><Relationship Id="rId99" Type="http://schemas.openxmlformats.org/officeDocument/2006/relationships/header" Target="header72.xml"/><Relationship Id="rId10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http://www.frcq.org.au" TargetMode="External"/><Relationship Id="rId13" Type="http://schemas.openxmlformats.org/officeDocument/2006/relationships/footer" Target="footer2.xml"/><Relationship Id="rId18" Type="http://schemas.openxmlformats.org/officeDocument/2006/relationships/header" Target="header8.xml"/><Relationship Id="rId39" Type="http://schemas.openxmlformats.org/officeDocument/2006/relationships/header" Target="header22.xml"/><Relationship Id="rId109" Type="http://schemas.openxmlformats.org/officeDocument/2006/relationships/header" Target="header80.xml"/><Relationship Id="rId34" Type="http://schemas.openxmlformats.org/officeDocument/2006/relationships/hyperlink" Target="https://www.dss.gov.au/sites/default/files/documents/12_2018/final-report-strategic-review-cape-york-income-management.pdf" TargetMode="External"/><Relationship Id="rId50" Type="http://schemas.openxmlformats.org/officeDocument/2006/relationships/header" Target="header31.xml"/><Relationship Id="rId55" Type="http://schemas.openxmlformats.org/officeDocument/2006/relationships/header" Target="header36.xml"/><Relationship Id="rId76" Type="http://schemas.openxmlformats.org/officeDocument/2006/relationships/hyperlink" Target="https://www.frcq.org.au" TargetMode="External"/><Relationship Id="rId97" Type="http://schemas.openxmlformats.org/officeDocument/2006/relationships/footer" Target="footer8.xml"/><Relationship Id="rId104" Type="http://schemas.openxmlformats.org/officeDocument/2006/relationships/header" Target="header76.xml"/><Relationship Id="rId7" Type="http://schemas.openxmlformats.org/officeDocument/2006/relationships/endnotes" Target="endnotes.xml"/><Relationship Id="rId71" Type="http://schemas.openxmlformats.org/officeDocument/2006/relationships/header" Target="header51.xml"/><Relationship Id="rId92" Type="http://schemas.openxmlformats.org/officeDocument/2006/relationships/header" Target="header67.xml"/><Relationship Id="rId2" Type="http://schemas.openxmlformats.org/officeDocument/2006/relationships/numbering" Target="numbering.xml"/><Relationship Id="rId29" Type="http://schemas.openxmlformats.org/officeDocument/2006/relationships/header" Target="header16.xml"/></Relationships>
</file>

<file path=word/_rels/footnotes.xml.rels><?xml version="1.0" encoding="UTF-8" standalone="yes"?>
<Relationships xmlns="http://schemas.openxmlformats.org/package/2006/relationships"><Relationship Id="rId1" Type="http://schemas.openxmlformats.org/officeDocument/2006/relationships/hyperlink" Target="https://www.dss.gov.au/our-responsibilities/families-and-children/programmes-services/welfare-quarant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D47AF-C30C-476F-9DCC-9F5E7C611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91</Pages>
  <Words>34418</Words>
  <Characters>196188</Characters>
  <Application>Microsoft Office Word</Application>
  <DocSecurity>0</DocSecurity>
  <Lines>1634</Lines>
  <Paragraphs>460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30</cp:revision>
  <cp:lastPrinted>2019-10-01T05:12:00Z</cp:lastPrinted>
  <dcterms:created xsi:type="dcterms:W3CDTF">2019-11-08T05:03:00Z</dcterms:created>
  <dcterms:modified xsi:type="dcterms:W3CDTF">2019-11-08T05:55:00Z</dcterms:modified>
</cp:coreProperties>
</file>